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C14BBB" w:rsidRPr="0032660F" w:rsidRDefault="00C14BBB" w:rsidP="003C254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3C254F" w:rsidRPr="0032660F" w:rsidTr="00B3494B">
        <w:tc>
          <w:tcPr>
            <w:tcW w:w="5098" w:type="dxa"/>
          </w:tcPr>
          <w:p w:rsidR="003C254F" w:rsidRPr="0032660F" w:rsidRDefault="003C254F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____________Н. В. Лапицкая</w:t>
            </w:r>
          </w:p>
          <w:p w:rsidR="003C254F" w:rsidRPr="0032660F" w:rsidRDefault="003C254F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на тему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БГУИР ДП Х-ХХ ХХ ХХ ХХ 076 ПЗ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829" w:type="dxa"/>
          </w:tcPr>
          <w:p w:rsidR="003C254F" w:rsidRPr="0032660F" w:rsidRDefault="00610394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Н.Д. Бостынец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охране труда</w:t>
            </w:r>
          </w:p>
        </w:tc>
        <w:tc>
          <w:tcPr>
            <w:tcW w:w="2829" w:type="dxa"/>
          </w:tcPr>
          <w:p w:rsidR="003C254F" w:rsidRPr="0032660F" w:rsidRDefault="00610394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Е.А. Криштопова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</w:tc>
        <w:tc>
          <w:tcPr>
            <w:tcW w:w="2829" w:type="dxa"/>
          </w:tcPr>
          <w:p w:rsidR="003C254F" w:rsidRPr="0032660F" w:rsidRDefault="00A7262C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3C254F" w:rsidRPr="0032660F">
              <w:rPr>
                <w:rFonts w:ascii="Times New Roman" w:hAnsi="Times New Roman" w:cs="Times New Roman"/>
                <w:sz w:val="28"/>
                <w:szCs w:val="28"/>
              </w:rPr>
              <w:t>Ю. Бранцевич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Минск 2015</w:t>
      </w:r>
    </w:p>
    <w:p w:rsidR="00C2226A" w:rsidRPr="0032660F" w:rsidRDefault="00C2226A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lastRenderedPageBreak/>
        <w:t>6  ТЕХНИКО-ЭКОНОМИЧЕСКОЕ ОБОСНОВАНИЕ ЦЕЛЕСООБРАЗНОСТИ РАЗРАБОТКИ И ИСПОЛЬЗОВАНИЯ ПРОГРАММНОГО СРЕДСТВА</w:t>
      </w:r>
      <w:r w:rsidR="005822F4" w:rsidRPr="0032660F">
        <w:rPr>
          <w:rFonts w:ascii="Times New Roman" w:hAnsi="Times New Roman" w:cs="Times New Roman"/>
          <w:b/>
          <w:sz w:val="28"/>
          <w:szCs w:val="28"/>
        </w:rPr>
        <w:t xml:space="preserve"> ДЛЯ СИНТЕЗА ПАНОРАМНЫХ ИЗОБРАЖЕНИЙ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32660F">
        <w:rPr>
          <w:rFonts w:ascii="Times New Roman" w:hAnsi="Times New Roman" w:cs="Times New Roman"/>
          <w:sz w:val="28"/>
          <w:szCs w:val="28"/>
        </w:rPr>
        <w:t>Функции, назначение и потенциальные пользователи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Задача</w:t>
      </w:r>
      <w:r w:rsidR="005822F4" w:rsidRPr="0032660F">
        <w:rPr>
          <w:rFonts w:ascii="Times New Roman" w:hAnsi="Times New Roman" w:cs="Times New Roman"/>
          <w:sz w:val="28"/>
          <w:szCs w:val="28"/>
        </w:rPr>
        <w:t xml:space="preserve"> п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 w:rsidRPr="0032660F">
        <w:rPr>
          <w:rFonts w:ascii="Times New Roman" w:hAnsi="Times New Roman" w:cs="Times New Roman"/>
          <w:sz w:val="28"/>
          <w:szCs w:val="28"/>
        </w:rPr>
        <w:t>весьма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 Подобные процедуры лишь в </w:t>
      </w:r>
      <w:r w:rsidR="00083722" w:rsidRPr="0032660F">
        <w:rPr>
          <w:rFonts w:ascii="Times New Roman" w:hAnsi="Times New Roman" w:cs="Times New Roman"/>
          <w:sz w:val="28"/>
          <w:szCs w:val="28"/>
        </w:rPr>
        <w:t>малой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5822F4" w:rsidRPr="0032660F">
        <w:rPr>
          <w:rFonts w:ascii="Times New Roman" w:hAnsi="Times New Roman" w:cs="Times New Roman"/>
          <w:sz w:val="28"/>
          <w:szCs w:val="28"/>
        </w:rPr>
        <w:t>п</w:t>
      </w:r>
      <w:r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является гибкость настройки и управления процессом генерации панорамы. </w:t>
      </w:r>
    </w:p>
    <w:p w:rsidR="005822F4" w:rsidRPr="0032660F" w:rsidRDefault="005822F4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Экономическая целесообразность инвестиций в разработку и использование программного средства </w:t>
      </w:r>
      <w:r w:rsidR="00664805" w:rsidRPr="0032660F">
        <w:rPr>
          <w:rFonts w:ascii="Times New Roman" w:hAnsi="Times New Roman" w:cs="Times New Roman"/>
          <w:sz w:val="28"/>
          <w:szCs w:val="28"/>
        </w:rPr>
        <w:t>выявляется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на основе расчета и оценки следующих показателей:</w:t>
      </w:r>
    </w:p>
    <w:p w:rsidR="00F53C22" w:rsidRPr="0032660F" w:rsidRDefault="00F53C22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чистый дисконтированный доход;</w:t>
      </w:r>
    </w:p>
    <w:p w:rsidR="005822F4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рентабельность инвестиций;</w:t>
      </w:r>
    </w:p>
    <w:p w:rsidR="00C6350A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- </w:t>
      </w:r>
      <w:r w:rsidR="00AD125A" w:rsidRPr="0032660F">
        <w:rPr>
          <w:rFonts w:ascii="Times New Roman" w:hAnsi="Times New Roman" w:cs="Times New Roman"/>
          <w:sz w:val="28"/>
          <w:szCs w:val="28"/>
        </w:rPr>
        <w:t>срок окупаемости инвестиций.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6.2</w:t>
      </w:r>
      <w:r w:rsidRPr="0032660F">
        <w:rPr>
          <w:rFonts w:ascii="Times New Roman" w:hAnsi="Times New Roman" w:cs="Times New Roman"/>
          <w:sz w:val="28"/>
          <w:szCs w:val="28"/>
        </w:rPr>
        <w:t xml:space="preserve"> Расчет затрат на разработку</w:t>
      </w:r>
      <w:r w:rsidR="00D7392B" w:rsidRPr="0032660F">
        <w:rPr>
          <w:rFonts w:ascii="Times New Roman" w:hAnsi="Times New Roman" w:cs="Times New Roman"/>
          <w:sz w:val="28"/>
          <w:szCs w:val="28"/>
        </w:rPr>
        <w:t xml:space="preserve"> и реализацию</w:t>
      </w:r>
      <w:r w:rsidRPr="0032660F"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lastRenderedPageBreak/>
        <w:t>- затраты на дополнительную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отчисления на социальные нужны;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32660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(6.1)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w:r w:rsidRPr="0032660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2660F">
        <w:rPr>
          <w:rFonts w:ascii="Times New Roman" w:hAnsi="Times New Roman" w:cs="Times New Roman"/>
          <w:sz w:val="28"/>
          <w:szCs w:val="28"/>
        </w:rPr>
        <w:t xml:space="preserve"> – количество исполнителей, занятых в разработке ПС; </w:t>
      </w:r>
    </w:p>
    <w:p w:rsidR="001E656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часовая заработная плата </w:t>
      </w:r>
      <w:r w:rsidR="00C2226A" w:rsidRPr="0032660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2226A" w:rsidRPr="0032660F">
        <w:rPr>
          <w:rFonts w:ascii="Times New Roman" w:hAnsi="Times New Roman" w:cs="Times New Roman"/>
          <w:sz w:val="28"/>
          <w:szCs w:val="28"/>
        </w:rPr>
        <w:t>-</w:t>
      </w:r>
      <w:r w:rsidR="007669F2" w:rsidRPr="0032660F">
        <w:rPr>
          <w:rFonts w:ascii="Times New Roman" w:hAnsi="Times New Roman" w:cs="Times New Roman"/>
          <w:sz w:val="28"/>
          <w:szCs w:val="28"/>
        </w:rPr>
        <w:t>го исполнителя, р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C1A31" w:rsidRPr="0032660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трудоемкость работ, производимых</w:t>
      </w:r>
      <w:r w:rsidR="00C2226A" w:rsidRPr="004B2E0C">
        <w:rPr>
          <w:rFonts w:ascii="Times New Roman" w:hAnsi="Times New Roman" w:cs="Times New Roman"/>
          <w:sz w:val="28"/>
          <w:szCs w:val="28"/>
        </w:rPr>
        <w:t xml:space="preserve"> i</w:t>
      </w:r>
      <w:r w:rsidR="0085159F" w:rsidRPr="0032660F">
        <w:rPr>
          <w:rFonts w:ascii="Times New Roman" w:hAnsi="Times New Roman" w:cs="Times New Roman"/>
          <w:sz w:val="28"/>
          <w:szCs w:val="28"/>
        </w:rPr>
        <w:t>-м исполнителем, ч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643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Для </w:t>
      </w:r>
      <w:r w:rsidR="00AE0945" w:rsidRPr="0032660F">
        <w:rPr>
          <w:rFonts w:ascii="Times New Roman" w:hAnsi="Times New Roman" w:cs="Times New Roman"/>
          <w:sz w:val="28"/>
          <w:szCs w:val="28"/>
        </w:rPr>
        <w:t>инженера-программиста квалификационный разряд – 13 (тарифный коэффициент 3.04). При месячной ставке первого разряда</w:t>
      </w:r>
      <w:r w:rsidR="00151600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E0945" w:rsidRPr="0032660F">
        <w:rPr>
          <w:rFonts w:ascii="Times New Roman" w:hAnsi="Times New Roman" w:cs="Times New Roman"/>
          <w:sz w:val="28"/>
          <w:szCs w:val="28"/>
        </w:rPr>
        <w:t xml:space="preserve">2 млн. р., </w:t>
      </w:r>
      <w:r w:rsidR="00CB6643" w:rsidRPr="0032660F">
        <w:rPr>
          <w:rFonts w:ascii="Times New Roman" w:hAnsi="Times New Roman" w:cs="Times New Roman"/>
          <w:sz w:val="28"/>
          <w:szCs w:val="28"/>
        </w:rPr>
        <w:t xml:space="preserve">месячная ставка каждого </w:t>
      </w:r>
      <w:r w:rsidR="006444CD" w:rsidRPr="0032660F">
        <w:rPr>
          <w:rFonts w:ascii="Times New Roman" w:hAnsi="Times New Roman" w:cs="Times New Roman"/>
          <w:sz w:val="28"/>
          <w:szCs w:val="28"/>
        </w:rPr>
        <w:t xml:space="preserve">исполнителя </w:t>
      </w:r>
      <w:r w:rsidR="00CB6643" w:rsidRPr="0032660F">
        <w:rPr>
          <w:rFonts w:ascii="Times New Roman" w:hAnsi="Times New Roman" w:cs="Times New Roman"/>
          <w:sz w:val="28"/>
          <w:szCs w:val="28"/>
        </w:rPr>
        <w:t>равна</w:t>
      </w:r>
      <w:r w:rsidR="00BC5202" w:rsidRPr="0032660F">
        <w:rPr>
          <w:rFonts w:ascii="Times New Roman" w:hAnsi="Times New Roman" w:cs="Times New Roman"/>
          <w:sz w:val="28"/>
          <w:szCs w:val="28"/>
        </w:rPr>
        <w:t>:</w:t>
      </w:r>
    </w:p>
    <w:p w:rsidR="000A3BAF" w:rsidRPr="0032660F" w:rsidRDefault="000A3BAF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5202" w:rsidRPr="0032660F" w:rsidRDefault="00270F81" w:rsidP="00AE0945">
      <w:pPr>
        <w:ind w:firstLine="72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=2*3,04=6,08</m:t>
        </m:r>
      </m:oMath>
      <w:r w:rsidR="00E844A4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</w:p>
    <w:p w:rsidR="00BC5202" w:rsidRPr="0032660F" w:rsidRDefault="00BC5202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FB6E18" w:rsidRPr="0032660F">
        <w:rPr>
          <w:rFonts w:ascii="Times New Roman" w:hAnsi="Times New Roman" w:cs="Times New Roman"/>
          <w:sz w:val="28"/>
          <w:szCs w:val="28"/>
        </w:rPr>
        <w:t>В</w:t>
      </w:r>
      <w:r w:rsidRPr="0032660F">
        <w:rPr>
          <w:rFonts w:ascii="Times New Roman" w:hAnsi="Times New Roman" w:cs="Times New Roman"/>
          <w:sz w:val="28"/>
          <w:szCs w:val="28"/>
        </w:rPr>
        <w:t>ремя на разработку проекта – 4 месяца</w:t>
      </w:r>
      <w:r w:rsidR="00866CA8" w:rsidRPr="0032660F">
        <w:rPr>
          <w:rFonts w:ascii="Times New Roman" w:hAnsi="Times New Roman" w:cs="Times New Roman"/>
          <w:sz w:val="28"/>
          <w:szCs w:val="28"/>
        </w:rPr>
        <w:t>, количество разработчиков - 2</w:t>
      </w:r>
      <w:r w:rsidRPr="0032660F">
        <w:rPr>
          <w:rFonts w:ascii="Times New Roman" w:hAnsi="Times New Roman" w:cs="Times New Roman"/>
          <w:sz w:val="28"/>
          <w:szCs w:val="28"/>
        </w:rPr>
        <w:t>. Таким образом,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270F81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=2*6,08*4=48,64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CA8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CC0D0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(6.2)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hAnsi="Times New Roman" w:cs="Times New Roman"/>
          <w:sz w:val="28"/>
          <w:szCs w:val="28"/>
        </w:rPr>
        <w:t xml:space="preserve"> затраты на основную за</w:t>
      </w:r>
      <w:r w:rsidR="002B63AA" w:rsidRPr="0032660F">
        <w:rPr>
          <w:rFonts w:ascii="Times New Roman" w:hAnsi="Times New Roman" w:cs="Times New Roman"/>
          <w:sz w:val="28"/>
          <w:szCs w:val="28"/>
        </w:rPr>
        <w:t xml:space="preserve">работную плату с учетом премии, </w:t>
      </w:r>
      <w:r w:rsidRPr="0032660F">
        <w:rPr>
          <w:rFonts w:ascii="Times New Roman" w:hAnsi="Times New Roman" w:cs="Times New Roman"/>
          <w:sz w:val="28"/>
          <w:szCs w:val="28"/>
        </w:rPr>
        <w:t xml:space="preserve">р.; </w:t>
      </w:r>
    </w:p>
    <w:p w:rsidR="00C2226A" w:rsidRPr="0032660F" w:rsidRDefault="001E656F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(20%).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270F81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48,64*20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=9.728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327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(6.3)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норматив отчислений на социальные нужды (34,6%).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270F81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48,64+9,728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*34,6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58,368*34,6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=20,196</m:t>
        </m:r>
      </m:oMath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7435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>. р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Расчет прочих затрат осуществляется в виде расчета процентов от затрат на основную заработную плату команды разработчиков с учетом премии по формуле: 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(6.4)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hAnsi="Times New Roman" w:cs="Times New Roman"/>
          <w:sz w:val="28"/>
          <w:szCs w:val="28"/>
        </w:rPr>
        <w:t xml:space="preserve"> норматив</w:t>
      </w:r>
      <w:r w:rsidR="007A7D1E" w:rsidRPr="0032660F">
        <w:rPr>
          <w:rFonts w:ascii="Times New Roman" w:hAnsi="Times New Roman" w:cs="Times New Roman"/>
          <w:sz w:val="28"/>
          <w:szCs w:val="28"/>
        </w:rPr>
        <w:t xml:space="preserve"> прочих затрат (принят равным 11</w:t>
      </w:r>
      <w:r w:rsidRPr="0032660F">
        <w:rPr>
          <w:rFonts w:ascii="Times New Roman" w:hAnsi="Times New Roman" w:cs="Times New Roman"/>
          <w:sz w:val="28"/>
          <w:szCs w:val="28"/>
        </w:rPr>
        <w:t>0%).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270F81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48,64*110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=53.504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2BE9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57A80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5C20AD">
        <w:rPr>
          <w:rFonts w:ascii="Times New Roman" w:hAnsi="Times New Roman" w:cs="Times New Roman"/>
          <w:sz w:val="28"/>
          <w:szCs w:val="28"/>
        </w:rPr>
        <w:t>в при</w:t>
      </w:r>
      <w:r w:rsidRPr="0032660F">
        <w:rPr>
          <w:rFonts w:ascii="Times New Roman" w:hAnsi="Times New Roman" w:cs="Times New Roman"/>
          <w:sz w:val="28"/>
          <w:szCs w:val="28"/>
        </w:rPr>
        <w:t>ведены в таблице 6.1.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553F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Таблица 6.1 – Затраты на разработку ПС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Pr="0032660F" w:rsidRDefault="00B64B7B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Сумма, млн</w:t>
            </w:r>
            <w:r w:rsidR="00C2226A" w:rsidRPr="0032660F">
              <w:rPr>
                <w:rFonts w:ascii="Times New Roman" w:hAnsi="Times New Roman" w:cs="Times New Roman"/>
                <w:sz w:val="28"/>
                <w:szCs w:val="28"/>
              </w:rPr>
              <w:t>. р.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Pr="0032660F" w:rsidRDefault="00B64B7B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Pr="0032660F" w:rsidRDefault="00FD678A" w:rsidP="0059149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Pr="0032660F" w:rsidRDefault="00717905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</w:tr>
    </w:tbl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60ED6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Следующие за разработкой процессы</w:t>
      </w:r>
      <w:r w:rsidR="00A9482A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C2226A" w:rsidRPr="0032660F">
        <w:rPr>
          <w:rFonts w:ascii="Times New Roman" w:hAnsi="Times New Roman" w:cs="Times New Roman"/>
          <w:sz w:val="28"/>
          <w:szCs w:val="28"/>
        </w:rPr>
        <w:t>реализации и сопровождения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также требуют определенных расходов</w:t>
      </w:r>
      <w:r w:rsidR="00C2226A" w:rsidRPr="0032660F">
        <w:rPr>
          <w:rFonts w:ascii="Times New Roman" w:hAnsi="Times New Roman" w:cs="Times New Roman"/>
          <w:sz w:val="28"/>
          <w:szCs w:val="28"/>
        </w:rPr>
        <w:t>.</w:t>
      </w:r>
      <w:r w:rsidR="00090F21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0296A">
        <w:rPr>
          <w:rFonts w:ascii="Times New Roman" w:hAnsi="Times New Roman" w:cs="Times New Roman"/>
          <w:sz w:val="28"/>
          <w:szCs w:val="28"/>
        </w:rPr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реализацию определяются как: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(6.5)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656F" w:rsidRDefault="00A32A4C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>г</w:t>
      </w:r>
      <w:r w:rsidR="00C2226A" w:rsidRPr="0032660F">
        <w:rPr>
          <w:rFonts w:ascii="Times New Roman" w:hAnsi="Times New Roman" w:cs="Times New Roman"/>
          <w:sz w:val="28"/>
          <w:szCs w:val="28"/>
        </w:rPr>
        <w:t>де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="00D93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сумма затрат на разработку</w:t>
      </w:r>
      <w:r w:rsidR="001E656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1E656F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норматив затрат на реализацию (5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270F81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=6,604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943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59149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A029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сопровождение ПС определяются по формуле: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(6.6)</w:t>
      </w:r>
    </w:p>
    <w:p w:rsidR="00C2226A" w:rsidRPr="0032660F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32660F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норматив затрат на сопровождение (1</w:t>
      </w:r>
      <w:r w:rsidR="00F6619C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D678A" w:rsidRDefault="00270F81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=13,207</m:t>
        </m:r>
      </m:oMath>
      <w:r w:rsidR="00FD678A" w:rsidRPr="00FD67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млн. р.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 сумма затрат на разработку, реализацию и сопровождение:</w:t>
      </w: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172FE2" w:rsidP="00A2481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З=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=151,878</m:t>
        </m:r>
      </m:oMath>
      <w:r w:rsidR="00A2481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(6.7)</w:t>
      </w:r>
    </w:p>
    <w:p w:rsidR="00A24816" w:rsidRPr="0032660F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8"/>
        <w:rPr>
          <w:rFonts w:ascii="Times New Roman" w:hAnsi="Times New Roman" w:cs="Times New Roman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6.3</w:t>
      </w:r>
      <w:r w:rsidRPr="0032660F">
        <w:rPr>
          <w:rFonts w:ascii="Times New Roman" w:hAnsi="Times New Roman" w:cs="Times New Roman"/>
          <w:sz w:val="28"/>
          <w:szCs w:val="28"/>
        </w:rPr>
        <w:t xml:space="preserve"> Оценка эффекта от использования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Экономический эффект для организации-разработчика ПС заключается в получении прибыли от его реализации на рынке информационных технологий. Прибыль, в свою очередь, напрямую зависит от объема продаж, цены реализации и затрат на разработку ПС.</w:t>
      </w:r>
    </w:p>
    <w:p w:rsidR="00881A02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Изучение рынка и статистических данных о продажах программных продуктов схожего функционала позволило </w:t>
      </w:r>
      <w:r w:rsidR="00E609EC">
        <w:rPr>
          <w:rFonts w:ascii="Times New Roman" w:hAnsi="Times New Roman" w:cs="Times New Roman"/>
          <w:sz w:val="28"/>
          <w:szCs w:val="28"/>
        </w:rPr>
        <w:t>рассчитывать н</w:t>
      </w:r>
      <w:r w:rsidR="00703538">
        <w:rPr>
          <w:rFonts w:ascii="Times New Roman" w:hAnsi="Times New Roman" w:cs="Times New Roman"/>
          <w:sz w:val="28"/>
          <w:szCs w:val="28"/>
        </w:rPr>
        <w:t xml:space="preserve">а </w:t>
      </w:r>
      <w:r w:rsidR="00B47E8D" w:rsidRPr="00B47E8D">
        <w:rPr>
          <w:rFonts w:ascii="Times New Roman" w:hAnsi="Times New Roman" w:cs="Times New Roman"/>
          <w:sz w:val="28"/>
          <w:szCs w:val="28"/>
        </w:rPr>
        <w:t>250-</w:t>
      </w:r>
      <w:r w:rsidR="00703538">
        <w:rPr>
          <w:rFonts w:ascii="Times New Roman" w:hAnsi="Times New Roman" w:cs="Times New Roman"/>
          <w:sz w:val="28"/>
          <w:szCs w:val="28"/>
        </w:rPr>
        <w:t>3</w:t>
      </w:r>
      <w:r w:rsidR="00E609EC">
        <w:rPr>
          <w:rFonts w:ascii="Times New Roman" w:hAnsi="Times New Roman" w:cs="Times New Roman"/>
          <w:sz w:val="28"/>
          <w:szCs w:val="28"/>
        </w:rPr>
        <w:t>0</w:t>
      </w:r>
      <w:r w:rsidRPr="0032660F">
        <w:rPr>
          <w:rFonts w:ascii="Times New Roman" w:hAnsi="Times New Roman" w:cs="Times New Roman"/>
          <w:sz w:val="28"/>
          <w:szCs w:val="28"/>
        </w:rPr>
        <w:t>0 покупок лицензий в течение года реализации</w:t>
      </w:r>
      <w:r w:rsidR="00232151" w:rsidRPr="00232151">
        <w:rPr>
          <w:rFonts w:ascii="Times New Roman" w:hAnsi="Times New Roman" w:cs="Times New Roman"/>
          <w:sz w:val="28"/>
          <w:szCs w:val="28"/>
        </w:rPr>
        <w:t xml:space="preserve"> (</w:t>
      </w:r>
      <w:r w:rsidR="00232151">
        <w:rPr>
          <w:rFonts w:ascii="Times New Roman" w:hAnsi="Times New Roman" w:cs="Times New Roman"/>
          <w:sz w:val="28"/>
          <w:szCs w:val="28"/>
        </w:rPr>
        <w:t xml:space="preserve">при расчетах </w:t>
      </w:r>
      <w:r w:rsidR="00703538">
        <w:rPr>
          <w:rFonts w:ascii="Times New Roman" w:hAnsi="Times New Roman" w:cs="Times New Roman"/>
          <w:sz w:val="28"/>
          <w:szCs w:val="28"/>
        </w:rPr>
        <w:t xml:space="preserve">- </w:t>
      </w:r>
      <w:r w:rsidR="00B47E8D" w:rsidRPr="00B47E8D">
        <w:rPr>
          <w:rFonts w:ascii="Times New Roman" w:hAnsi="Times New Roman" w:cs="Times New Roman"/>
          <w:sz w:val="28"/>
          <w:szCs w:val="28"/>
        </w:rPr>
        <w:t>275</w:t>
      </w:r>
      <w:r w:rsidR="00232151" w:rsidRPr="00232151">
        <w:rPr>
          <w:rFonts w:ascii="Times New Roman" w:hAnsi="Times New Roman" w:cs="Times New Roman"/>
          <w:sz w:val="28"/>
          <w:szCs w:val="28"/>
        </w:rPr>
        <w:t>)</w:t>
      </w:r>
      <w:r w:rsidR="00E609EC" w:rsidRPr="00E609EC">
        <w:rPr>
          <w:rFonts w:ascii="Times New Roman" w:hAnsi="Times New Roman" w:cs="Times New Roman"/>
          <w:sz w:val="28"/>
          <w:szCs w:val="28"/>
        </w:rPr>
        <w:t xml:space="preserve"> </w:t>
      </w:r>
      <w:r w:rsidR="00E609EC">
        <w:rPr>
          <w:rFonts w:ascii="Times New Roman" w:hAnsi="Times New Roman" w:cs="Times New Roman"/>
          <w:sz w:val="28"/>
          <w:szCs w:val="28"/>
        </w:rPr>
        <w:t xml:space="preserve">при цене </w:t>
      </w:r>
      <w:r w:rsidR="00D30D66">
        <w:rPr>
          <w:rFonts w:ascii="Times New Roman" w:hAnsi="Times New Roman" w:cs="Times New Roman"/>
          <w:sz w:val="28"/>
          <w:szCs w:val="28"/>
        </w:rPr>
        <w:t>не более</w:t>
      </w:r>
      <w:r w:rsidR="00E609EC">
        <w:rPr>
          <w:rFonts w:ascii="Times New Roman" w:hAnsi="Times New Roman" w:cs="Times New Roman"/>
          <w:sz w:val="28"/>
          <w:szCs w:val="28"/>
        </w:rPr>
        <w:t xml:space="preserve"> 1 млн. р</w:t>
      </w:r>
      <w:r w:rsidRPr="0032660F">
        <w:rPr>
          <w:rFonts w:ascii="Times New Roman" w:hAnsi="Times New Roman" w:cs="Times New Roman"/>
          <w:sz w:val="28"/>
          <w:szCs w:val="28"/>
        </w:rPr>
        <w:t>.</w:t>
      </w:r>
      <w:r w:rsidR="00D30D66">
        <w:rPr>
          <w:rFonts w:ascii="Times New Roman" w:hAnsi="Times New Roman" w:cs="Times New Roman"/>
          <w:sz w:val="28"/>
          <w:szCs w:val="28"/>
        </w:rPr>
        <w:t xml:space="preserve"> (</w:t>
      </w:r>
      <w:r w:rsidR="00956AF9">
        <w:rPr>
          <w:rFonts w:ascii="Times New Roman" w:hAnsi="Times New Roman" w:cs="Times New Roman"/>
          <w:sz w:val="28"/>
          <w:szCs w:val="28"/>
        </w:rPr>
        <w:t>на основании цен аналогов -</w:t>
      </w:r>
      <w:r w:rsidR="00D30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D66">
        <w:rPr>
          <w:rFonts w:ascii="Times New Roman" w:hAnsi="Times New Roman" w:cs="Times New Roman"/>
          <w:sz w:val="28"/>
          <w:szCs w:val="28"/>
          <w:lang w:val="en-US"/>
        </w:rPr>
        <w:t>PTGui</w:t>
      </w:r>
      <w:proofErr w:type="spellEnd"/>
      <w:r w:rsidR="00D30D66" w:rsidRPr="00B844A0">
        <w:rPr>
          <w:rFonts w:ascii="Times New Roman" w:hAnsi="Times New Roman" w:cs="Times New Roman"/>
          <w:sz w:val="28"/>
          <w:szCs w:val="28"/>
        </w:rPr>
        <w:t xml:space="preserve"> </w:t>
      </w:r>
      <w:r w:rsidR="00D30D66">
        <w:rPr>
          <w:rFonts w:ascii="Times New Roman" w:hAnsi="Times New Roman" w:cs="Times New Roman"/>
          <w:sz w:val="28"/>
          <w:szCs w:val="28"/>
        </w:rPr>
        <w:t xml:space="preserve">и </w:t>
      </w:r>
      <w:r w:rsidR="00D30D66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D30D66">
        <w:rPr>
          <w:rFonts w:ascii="Times New Roman" w:hAnsi="Times New Roman" w:cs="Times New Roman"/>
          <w:sz w:val="28"/>
          <w:szCs w:val="28"/>
        </w:rPr>
        <w:t>).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Прибыль предприятия от реализации единицы (копии):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D00CC" w:rsidRPr="005D00CC" w:rsidRDefault="002F1C73" w:rsidP="005D00CC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=Ц-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Ц*НДС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НДС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5D00CC" w:rsidRPr="005D00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(6.8)</w:t>
      </w:r>
    </w:p>
    <w:p w:rsidR="005D00CC" w:rsidRPr="005D00CC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E656F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Ц – рыночная цена единицы продукта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, р.;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656F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5D00CC">
        <w:rPr>
          <w:rFonts w:ascii="Times New Roman" w:eastAsiaTheme="minorEastAsia" w:hAnsi="Times New Roman" w:cs="Times New Roman"/>
          <w:sz w:val="28"/>
          <w:szCs w:val="28"/>
        </w:rPr>
        <w:t>НДС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 – доля налога на добавленную стоимость (20%); </w:t>
      </w:r>
    </w:p>
    <w:p w:rsidR="005D00CC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1E685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1E6850"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proofErr w:type="gramEnd"/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 реализованных копий за год, шт.</w:t>
      </w:r>
    </w:p>
    <w:p w:rsidR="00A73003" w:rsidRDefault="00A73003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3003" w:rsidRDefault="00270F81" w:rsidP="00A73003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151878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281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049</m:t>
        </m:r>
      </m:oMath>
      <w:r w:rsidR="00A73003">
        <w:rPr>
          <w:rFonts w:ascii="Times New Roman" w:eastAsiaTheme="minorEastAsia" w:hAnsi="Times New Roman" w:cs="Times New Roman"/>
          <w:sz w:val="28"/>
          <w:szCs w:val="28"/>
        </w:rPr>
        <w:t xml:space="preserve"> тыс. р.</w:t>
      </w:r>
    </w:p>
    <w:p w:rsidR="005D00CC" w:rsidRDefault="00A24816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Суммарная годовая прибыль:</w:t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65F27" w:rsidRPr="00565F27" w:rsidRDefault="002F1C73" w:rsidP="00565F2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77,288</m:t>
        </m:r>
      </m:oMath>
      <w:r w:rsidR="00565F27" w:rsidRPr="002F1C7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5F27">
        <w:rPr>
          <w:rFonts w:ascii="Times New Roman" w:eastAsiaTheme="minorEastAsia" w:hAnsi="Times New Roman" w:cs="Times New Roman"/>
          <w:sz w:val="28"/>
          <w:szCs w:val="28"/>
        </w:rPr>
        <w:t>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(6.9)</w:t>
      </w:r>
    </w:p>
    <w:p w:rsidR="00941C05" w:rsidRDefault="00941C05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Чистая прибыль, учитывающая действующий налог на прибыль (18%):</w:t>
      </w: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914ECB" w:rsidP="006459F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=П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1-0,18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77</m:t>
        </m:r>
      </m:oMath>
      <w:r w:rsidR="006459F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(6.1</w:t>
      </w:r>
      <w:r w:rsidR="00941C05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1079B" w:rsidRDefault="00F1079B" w:rsidP="00F1079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079B" w:rsidRDefault="00F1079B" w:rsidP="00F10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чистой прибыли является численным выражением </w:t>
      </w:r>
      <w:r w:rsidR="00927085">
        <w:rPr>
          <w:rFonts w:ascii="Times New Roman" w:eastAsiaTheme="minorEastAsia" w:hAnsi="Times New Roman" w:cs="Times New Roman"/>
          <w:sz w:val="28"/>
          <w:szCs w:val="28"/>
        </w:rPr>
        <w:t xml:space="preserve">годового </w:t>
      </w:r>
      <w:r>
        <w:rPr>
          <w:rFonts w:ascii="Times New Roman" w:eastAsiaTheme="minorEastAsia" w:hAnsi="Times New Roman" w:cs="Times New Roman"/>
          <w:sz w:val="28"/>
          <w:szCs w:val="28"/>
        </w:rPr>
        <w:t>экономического эффекта инвестирования в проект.</w:t>
      </w:r>
    </w:p>
    <w:p w:rsidR="009F4026" w:rsidRPr="0032660F" w:rsidRDefault="009F4026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Pr="0032660F"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в разработку ПС</w:t>
      </w:r>
    </w:p>
    <w:p w:rsidR="00C06655" w:rsidRPr="0032660F" w:rsidRDefault="00C06655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2B2D" w:rsidRPr="0032660F" w:rsidRDefault="002F2B2D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Рассчитанный годовой экономический эффект</w:t>
      </w:r>
      <w:r w:rsidR="00B87341">
        <w:rPr>
          <w:rFonts w:ascii="Times New Roman" w:hAnsi="Times New Roman" w:cs="Times New Roman"/>
          <w:sz w:val="28"/>
          <w:szCs w:val="28"/>
        </w:rPr>
        <w:t xml:space="preserve"> </w:t>
      </w:r>
      <w:r w:rsidRPr="0032660F">
        <w:rPr>
          <w:rFonts w:ascii="Times New Roman" w:hAnsi="Times New Roman" w:cs="Times New Roman"/>
          <w:sz w:val="28"/>
          <w:szCs w:val="28"/>
        </w:rPr>
        <w:t>ниже требуем</w:t>
      </w:r>
      <w:r w:rsidR="00B87341">
        <w:rPr>
          <w:rFonts w:ascii="Times New Roman" w:hAnsi="Times New Roman" w:cs="Times New Roman"/>
          <w:sz w:val="28"/>
          <w:szCs w:val="28"/>
        </w:rPr>
        <w:t>ого объема инвестиций</w:t>
      </w:r>
      <w:r w:rsidRPr="0032660F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B87341">
        <w:rPr>
          <w:rFonts w:ascii="Times New Roman" w:hAnsi="Times New Roman" w:cs="Times New Roman"/>
          <w:sz w:val="28"/>
          <w:szCs w:val="28"/>
        </w:rPr>
        <w:t xml:space="preserve">они </w:t>
      </w:r>
      <w:r w:rsidRPr="0032660F">
        <w:rPr>
          <w:rFonts w:ascii="Times New Roman" w:hAnsi="Times New Roman" w:cs="Times New Roman"/>
          <w:sz w:val="28"/>
          <w:szCs w:val="28"/>
        </w:rPr>
        <w:t xml:space="preserve">окупятся полностью </w:t>
      </w:r>
      <w:r w:rsidR="00532DC2" w:rsidRPr="0032660F">
        <w:rPr>
          <w:rFonts w:ascii="Times New Roman" w:hAnsi="Times New Roman" w:cs="Times New Roman"/>
          <w:sz w:val="28"/>
          <w:szCs w:val="28"/>
        </w:rPr>
        <w:t xml:space="preserve">лишь </w:t>
      </w:r>
      <w:r w:rsidRPr="0032660F">
        <w:rPr>
          <w:rFonts w:ascii="Times New Roman" w:hAnsi="Times New Roman" w:cs="Times New Roman"/>
          <w:sz w:val="28"/>
          <w:szCs w:val="28"/>
        </w:rPr>
        <w:t xml:space="preserve">в течение нескольких лет. 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Расчет показателей эффективности инвестиций требует учета динамики </w:t>
      </w:r>
      <w:r w:rsidR="00B87341">
        <w:rPr>
          <w:rFonts w:ascii="Times New Roman" w:hAnsi="Times New Roman" w:cs="Times New Roman"/>
          <w:sz w:val="28"/>
          <w:szCs w:val="28"/>
        </w:rPr>
        <w:t>прибылей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 и расходов на протяжении этого времени, для чего вводятся коэффициенты дисконтирования:</w:t>
      </w:r>
    </w:p>
    <w:p w:rsidR="00E8780A" w:rsidRPr="0032660F" w:rsidRDefault="00E8780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E8780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9D5212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8780A" w:rsidRPr="0032660F" w:rsidRDefault="00E8780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BF6" w:rsidRDefault="00E8780A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9D5212" w:rsidRPr="009D5212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 w:rsidR="009D5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порядковый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номер года реализации продукта; </w:t>
      </w:r>
    </w:p>
    <w:p w:rsidR="009D5212" w:rsidRPr="009D5212" w:rsidRDefault="009D5212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9D521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расчетного года;</w:t>
      </w:r>
    </w:p>
    <w:p w:rsidR="00633DB2" w:rsidRPr="0032660F" w:rsidRDefault="006F2BF6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- норма дисконта, не меньшая средней ставки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 банковским депозитам на момент осуществления расчетов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="00FE066A" w:rsidRPr="0032660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>%)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Чистый дисконтированный доход рассчитывается по формуле: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ЧДД=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(6.1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33DB2" w:rsidRPr="0032660F" w:rsidRDefault="00633DB2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862D5" w:rsidRDefault="00633DB2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порядковый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номер года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 реализации продукта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E6FF7" w:rsidRDefault="006862D5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чистая прибыль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-м году; </w:t>
      </w:r>
    </w:p>
    <w:p w:rsidR="002A7040" w:rsidRPr="0032660F" w:rsidRDefault="00EE6FF7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сумма затрат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-м году</w:t>
      </w:r>
      <w:r w:rsidR="00767BD4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7040" w:rsidRDefault="002A7040" w:rsidP="00633DB2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ab/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>Результаты расчета дисконтированных значений пр</w:t>
      </w:r>
      <w:r w:rsidR="009D72C0" w:rsidRPr="0032660F">
        <w:rPr>
          <w:rFonts w:ascii="Times New Roman" w:eastAsiaTheme="minorEastAsia" w:hAnsi="Times New Roman" w:cs="Times New Roman"/>
          <w:sz w:val="28"/>
          <w:szCs w:val="28"/>
        </w:rPr>
        <w:t>ибылей</w:t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и затрат приведены в таблице 6.2.</w:t>
      </w:r>
    </w:p>
    <w:p w:rsidR="00B32E83" w:rsidRDefault="00A12986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По результатам расчета, чистый дисконтированный доход за расчетный период составил </w:t>
      </w:r>
      <w:r w:rsidR="004D7924" w:rsidRPr="004D7924">
        <w:rPr>
          <w:rFonts w:ascii="Times New Roman" w:eastAsiaTheme="minorEastAsia" w:hAnsi="Times New Roman" w:cs="Times New Roman"/>
          <w:sz w:val="28"/>
          <w:szCs w:val="28"/>
        </w:rPr>
        <w:t>12,199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млн. р. Это положительная сумма, что говорит о целесообразности инвестирования.</w:t>
      </w:r>
      <w:r w:rsidR="00B32E83" w:rsidRPr="00B32E83">
        <w:rPr>
          <w:rFonts w:ascii="Times New Roman" w:hAnsi="Times New Roman" w:cs="Times New Roman"/>
          <w:sz w:val="28"/>
          <w:szCs w:val="28"/>
        </w:rPr>
        <w:t xml:space="preserve"> </w:t>
      </w:r>
      <w:r w:rsidR="00B32E83">
        <w:rPr>
          <w:rFonts w:ascii="Times New Roman" w:hAnsi="Times New Roman" w:cs="Times New Roman"/>
          <w:sz w:val="28"/>
          <w:szCs w:val="28"/>
        </w:rPr>
        <w:t>Рентабельность затрат на разработку вычисляется по формуле:</w:t>
      </w:r>
    </w:p>
    <w:p w:rsidR="00B32E83" w:rsidRDefault="00B32E83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2E83" w:rsidRDefault="00B32E83" w:rsidP="00B32E8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чср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(6.1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32E83" w:rsidRDefault="00B32E83" w:rsidP="00B32E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2986" w:rsidRPr="0032660F" w:rsidRDefault="00B32E83" w:rsidP="00B32E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среднегодовая величина чистой прибыли</w:t>
      </w:r>
      <w:r w:rsidR="00BF40D4">
        <w:rPr>
          <w:rFonts w:ascii="Times New Roman" w:eastAsiaTheme="minorEastAsia" w:hAnsi="Times New Roman" w:cs="Times New Roman"/>
          <w:sz w:val="28"/>
          <w:szCs w:val="28"/>
        </w:rPr>
        <w:t xml:space="preserve"> за расчетный период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2986" w:rsidRPr="0032660F" w:rsidRDefault="00A12986" w:rsidP="00633DB2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65EE8" w:rsidRDefault="00865EE8" w:rsidP="00633DB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33DB2" w:rsidRPr="0032660F" w:rsidRDefault="00A32FF6" w:rsidP="006C74D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lastRenderedPageBreak/>
        <w:t>Таблица 6.2</w:t>
      </w:r>
      <w:r w:rsidR="001A1E3C"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r w:rsidR="00865EE8" w:rsidRPr="0032660F">
        <w:rPr>
          <w:rFonts w:ascii="Times New Roman" w:hAnsi="Times New Roman" w:cs="Times New Roman"/>
          <w:sz w:val="28"/>
          <w:szCs w:val="28"/>
        </w:rPr>
        <w:t xml:space="preserve"> Дисконтированные значения прибылей и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1170"/>
        <w:gridCol w:w="1126"/>
        <w:gridCol w:w="1126"/>
        <w:gridCol w:w="1126"/>
      </w:tblGrid>
      <w:tr w:rsidR="00B47E8D" w:rsidRPr="0032660F" w:rsidTr="00371C39">
        <w:tc>
          <w:tcPr>
            <w:tcW w:w="3094" w:type="dxa"/>
            <w:vMerge w:val="restart"/>
          </w:tcPr>
          <w:p w:rsidR="00B47E8D" w:rsidRPr="0032660F" w:rsidRDefault="00B47E8D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548" w:type="dxa"/>
            <w:gridSpan w:val="4"/>
          </w:tcPr>
          <w:p w:rsidR="00B47E8D" w:rsidRPr="0032660F" w:rsidRDefault="00B47E8D" w:rsidP="00636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Год реализации</w:t>
            </w:r>
          </w:p>
        </w:tc>
      </w:tr>
      <w:tr w:rsidR="00B47E8D" w:rsidRPr="0032660F" w:rsidTr="00371C39">
        <w:tc>
          <w:tcPr>
            <w:tcW w:w="3094" w:type="dxa"/>
            <w:vMerge/>
          </w:tcPr>
          <w:p w:rsidR="00B47E8D" w:rsidRPr="0032660F" w:rsidRDefault="00B47E8D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47E8D" w:rsidRPr="0032660F" w:rsidRDefault="00B47E8D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B47E8D" w:rsidRPr="0032660F" w:rsidRDefault="00B47E8D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6" w:type="dxa"/>
          </w:tcPr>
          <w:p w:rsidR="00B47E8D" w:rsidRPr="0032660F" w:rsidRDefault="00B47E8D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6" w:type="dxa"/>
          </w:tcPr>
          <w:p w:rsidR="00B47E8D" w:rsidRPr="0032660F" w:rsidRDefault="00B47E8D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47E8D" w:rsidRPr="0032660F" w:rsidTr="00371C39">
        <w:tc>
          <w:tcPr>
            <w:tcW w:w="3094" w:type="dxa"/>
          </w:tcPr>
          <w:p w:rsidR="00B47E8D" w:rsidRPr="0032660F" w:rsidRDefault="00B47E8D" w:rsidP="004860A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Чистая прибыль, млн. р.</w:t>
            </w:r>
          </w:p>
        </w:tc>
        <w:tc>
          <w:tcPr>
            <w:tcW w:w="1170" w:type="dxa"/>
          </w:tcPr>
          <w:p w:rsidR="00B47E8D" w:rsidRPr="003854FB" w:rsidRDefault="003854FB" w:rsidP="009645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63,377</w:t>
            </w:r>
          </w:p>
        </w:tc>
        <w:tc>
          <w:tcPr>
            <w:tcW w:w="1126" w:type="dxa"/>
          </w:tcPr>
          <w:p w:rsidR="00B47E8D" w:rsidRPr="00B763A5" w:rsidRDefault="003854FB" w:rsidP="002774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63,377</w:t>
            </w:r>
          </w:p>
        </w:tc>
        <w:tc>
          <w:tcPr>
            <w:tcW w:w="1126" w:type="dxa"/>
          </w:tcPr>
          <w:p w:rsidR="00B47E8D" w:rsidRPr="0032660F" w:rsidRDefault="003854FB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63,377</w:t>
            </w:r>
          </w:p>
        </w:tc>
        <w:tc>
          <w:tcPr>
            <w:tcW w:w="1126" w:type="dxa"/>
          </w:tcPr>
          <w:p w:rsidR="00B47E8D" w:rsidRPr="0032660F" w:rsidRDefault="003854FB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63,377</w:t>
            </w:r>
          </w:p>
        </w:tc>
      </w:tr>
      <w:tr w:rsidR="00B47E8D" w:rsidRPr="0032660F" w:rsidTr="00371C39">
        <w:tc>
          <w:tcPr>
            <w:tcW w:w="3094" w:type="dxa"/>
          </w:tcPr>
          <w:p w:rsidR="00B47E8D" w:rsidRPr="0032660F" w:rsidRDefault="00B47E8D" w:rsidP="00865EE8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прибыль, млн. р.</w:t>
            </w:r>
          </w:p>
        </w:tc>
        <w:tc>
          <w:tcPr>
            <w:tcW w:w="1170" w:type="dxa"/>
          </w:tcPr>
          <w:p w:rsidR="00B47E8D" w:rsidRPr="0057190D" w:rsidRDefault="003854FB" w:rsidP="009645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63,377</w:t>
            </w:r>
          </w:p>
        </w:tc>
        <w:tc>
          <w:tcPr>
            <w:tcW w:w="1126" w:type="dxa"/>
          </w:tcPr>
          <w:p w:rsidR="00B47E8D" w:rsidRPr="003854FB" w:rsidRDefault="003854FB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47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47E8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269</w:t>
            </w:r>
          </w:p>
        </w:tc>
        <w:tc>
          <w:tcPr>
            <w:tcW w:w="1126" w:type="dxa"/>
          </w:tcPr>
          <w:p w:rsidR="00B47E8D" w:rsidRPr="0057190D" w:rsidRDefault="003854FB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B47E8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 w:rsidR="00B47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6" w:type="dxa"/>
          </w:tcPr>
          <w:p w:rsidR="00B47E8D" w:rsidRPr="003854FB" w:rsidRDefault="003854FB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47E8D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096</w:t>
            </w:r>
          </w:p>
        </w:tc>
      </w:tr>
      <w:tr w:rsidR="00B47E8D" w:rsidRPr="0032660F" w:rsidTr="00371C39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, млн. р.</w:t>
            </w:r>
          </w:p>
        </w:tc>
        <w:tc>
          <w:tcPr>
            <w:tcW w:w="1170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12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47E8D" w:rsidRPr="0032660F" w:rsidTr="00371C39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сумма затрат, млн. р.</w:t>
            </w:r>
          </w:p>
        </w:tc>
        <w:tc>
          <w:tcPr>
            <w:tcW w:w="1170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12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854FB" w:rsidRPr="0032660F" w:rsidTr="00371C39">
        <w:tc>
          <w:tcPr>
            <w:tcW w:w="3094" w:type="dxa"/>
          </w:tcPr>
          <w:p w:rsidR="003854FB" w:rsidRPr="0032660F" w:rsidRDefault="003854FB" w:rsidP="003854FB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 за год, млн. р.</w:t>
            </w:r>
          </w:p>
        </w:tc>
        <w:tc>
          <w:tcPr>
            <w:tcW w:w="1170" w:type="dxa"/>
          </w:tcPr>
          <w:p w:rsidR="003854FB" w:rsidRPr="0057190D" w:rsidRDefault="003854FB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88,501</w:t>
            </w:r>
          </w:p>
        </w:tc>
        <w:tc>
          <w:tcPr>
            <w:tcW w:w="1126" w:type="dxa"/>
          </w:tcPr>
          <w:p w:rsidR="003854FB" w:rsidRPr="003854FB" w:rsidRDefault="003854FB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269</w:t>
            </w:r>
          </w:p>
        </w:tc>
        <w:tc>
          <w:tcPr>
            <w:tcW w:w="1126" w:type="dxa"/>
          </w:tcPr>
          <w:p w:rsidR="003854FB" w:rsidRPr="0057190D" w:rsidRDefault="003854FB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</w:t>
            </w:r>
          </w:p>
        </w:tc>
        <w:tc>
          <w:tcPr>
            <w:tcW w:w="1126" w:type="dxa"/>
          </w:tcPr>
          <w:p w:rsidR="003854FB" w:rsidRPr="003854FB" w:rsidRDefault="003854FB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096</w:t>
            </w:r>
          </w:p>
        </w:tc>
      </w:tr>
      <w:tr w:rsidR="00B47E8D" w:rsidRPr="0032660F" w:rsidTr="00371C39">
        <w:tc>
          <w:tcPr>
            <w:tcW w:w="3094" w:type="dxa"/>
          </w:tcPr>
          <w:p w:rsidR="00B47E8D" w:rsidRPr="0032660F" w:rsidRDefault="00B47E8D" w:rsidP="00371C3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нарастающим итогом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, млн. р.</w:t>
            </w:r>
          </w:p>
        </w:tc>
        <w:tc>
          <w:tcPr>
            <w:tcW w:w="1170" w:type="dxa"/>
          </w:tcPr>
          <w:p w:rsidR="00B47E8D" w:rsidRPr="0057190D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88,501</w:t>
            </w:r>
          </w:p>
        </w:tc>
        <w:tc>
          <w:tcPr>
            <w:tcW w:w="1126" w:type="dxa"/>
          </w:tcPr>
          <w:p w:rsidR="00B47E8D" w:rsidRPr="0057190D" w:rsidRDefault="003854FB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  <w:r w:rsidR="00B47E8D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B47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6" w:type="dxa"/>
          </w:tcPr>
          <w:p w:rsidR="00B47E8D" w:rsidRPr="0057190D" w:rsidRDefault="003854FB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  <w:r w:rsidR="00B47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898</w:t>
            </w:r>
          </w:p>
        </w:tc>
        <w:tc>
          <w:tcPr>
            <w:tcW w:w="1126" w:type="dxa"/>
          </w:tcPr>
          <w:p w:rsidR="00B47E8D" w:rsidRPr="003854FB" w:rsidRDefault="00B47E8D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</w:t>
            </w:r>
          </w:p>
        </w:tc>
      </w:tr>
      <w:tr w:rsidR="00B47E8D" w:rsidRPr="0032660F" w:rsidTr="00371C39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170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12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112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12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</w:tr>
    </w:tbl>
    <w:p w:rsidR="00941C05" w:rsidRDefault="00941C05" w:rsidP="00941C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A83" w:rsidRDefault="009C0A83" w:rsidP="00B32E8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расчетах за каждый год чистая прибыль равн</w:t>
      </w:r>
      <w:r w:rsidR="00B32E83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63,377 млн. р., следовательно,</w:t>
      </w:r>
    </w:p>
    <w:p w:rsidR="009C0A83" w:rsidRDefault="009C0A83" w:rsidP="009C0A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0A83" w:rsidRDefault="009C0A83" w:rsidP="00B6366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63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377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151,878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*100%=</m:t>
        </m:r>
        <m:r>
          <w:rPr>
            <w:rFonts w:ascii="Cambria Math" w:hAnsi="Cambria Math" w:cs="Times New Roman"/>
            <w:sz w:val="28"/>
            <w:szCs w:val="28"/>
          </w:rPr>
          <m:t>41</m:t>
        </m:r>
        <m:r>
          <w:rPr>
            <w:rFonts w:ascii="Cambria Math" w:hAnsi="Cambria Math" w:cs="Times New Roman"/>
            <w:sz w:val="28"/>
            <w:szCs w:val="28"/>
          </w:rPr>
          <m:t>,7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  <w:r w:rsidR="00B636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41C05" w:rsidRDefault="00941C05" w:rsidP="00941C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1E3C" w:rsidRPr="0032660F" w:rsidRDefault="00941C05" w:rsidP="00DE0C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Рассчитанное значение рентабельности существ</w:t>
      </w:r>
      <w:r w:rsidR="0073027B">
        <w:rPr>
          <w:rFonts w:ascii="Times New Roman" w:hAnsi="Times New Roman" w:cs="Times New Roman"/>
          <w:sz w:val="28"/>
          <w:szCs w:val="28"/>
        </w:rPr>
        <w:t>енно превышает средние процентные</w:t>
      </w:r>
      <w:r>
        <w:rPr>
          <w:rFonts w:ascii="Times New Roman" w:hAnsi="Times New Roman" w:cs="Times New Roman"/>
          <w:sz w:val="28"/>
          <w:szCs w:val="28"/>
        </w:rPr>
        <w:t xml:space="preserve"> ставки по банковским депозитным вкладам, что свидетельствует об экономической эффективности проекта.</w:t>
      </w:r>
    </w:p>
    <w:p w:rsidR="00F858A0" w:rsidRPr="0032660F" w:rsidRDefault="00F858A0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Срок </w:t>
      </w:r>
      <w:r w:rsidR="001A6A05" w:rsidRPr="0032660F">
        <w:rPr>
          <w:rFonts w:ascii="Times New Roman" w:hAnsi="Times New Roman" w:cs="Times New Roman"/>
          <w:sz w:val="28"/>
          <w:szCs w:val="28"/>
        </w:rPr>
        <w:t>окупаемости инвестиций – период</w:t>
      </w:r>
      <w:r w:rsidRPr="0032660F">
        <w:rPr>
          <w:rFonts w:ascii="Times New Roman" w:hAnsi="Times New Roman" w:cs="Times New Roman"/>
          <w:sz w:val="28"/>
          <w:szCs w:val="28"/>
        </w:rPr>
        <w:t xml:space="preserve"> времени, необходимый для того, чтобы полученная прибыль покрыла всю сумму инвестиций.</w:t>
      </w:r>
      <w:r w:rsidR="001A6A05" w:rsidRPr="0032660F">
        <w:rPr>
          <w:rFonts w:ascii="Times New Roman" w:hAnsi="Times New Roman" w:cs="Times New Roman"/>
          <w:sz w:val="28"/>
          <w:szCs w:val="28"/>
        </w:rPr>
        <w:t xml:space="preserve"> Иначе говоря, это срок, за который чистый дисконтированный доход принимает положительное значение</w:t>
      </w:r>
      <w:r w:rsidR="006A1222" w:rsidRPr="0032660F">
        <w:rPr>
          <w:rFonts w:ascii="Times New Roman" w:hAnsi="Times New Roman" w:cs="Times New Roman"/>
          <w:sz w:val="28"/>
          <w:szCs w:val="28"/>
        </w:rPr>
        <w:t>. Согласно динамике значений дохода (табли</w:t>
      </w:r>
      <w:r w:rsidR="004D7924">
        <w:rPr>
          <w:rFonts w:ascii="Times New Roman" w:hAnsi="Times New Roman" w:cs="Times New Roman"/>
          <w:sz w:val="28"/>
          <w:szCs w:val="28"/>
        </w:rPr>
        <w:t xml:space="preserve">ца 6.2), этот момент наступает </w:t>
      </w:r>
      <w:r w:rsidR="00286E7C">
        <w:rPr>
          <w:rFonts w:ascii="Times New Roman" w:hAnsi="Times New Roman" w:cs="Times New Roman"/>
          <w:sz w:val="28"/>
          <w:szCs w:val="28"/>
        </w:rPr>
        <w:t>в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4D7924">
        <w:rPr>
          <w:rFonts w:ascii="Times New Roman" w:hAnsi="Times New Roman" w:cs="Times New Roman"/>
          <w:sz w:val="28"/>
          <w:szCs w:val="28"/>
        </w:rPr>
        <w:t>четвертом</w:t>
      </w:r>
      <w:r w:rsidR="00C4123C">
        <w:rPr>
          <w:rFonts w:ascii="Times New Roman" w:hAnsi="Times New Roman" w:cs="Times New Roman"/>
          <w:sz w:val="28"/>
          <w:szCs w:val="28"/>
        </w:rPr>
        <w:t xml:space="preserve"> </w:t>
      </w:r>
      <w:r w:rsidR="006A1222" w:rsidRPr="0032660F">
        <w:rPr>
          <w:rFonts w:ascii="Times New Roman" w:hAnsi="Times New Roman" w:cs="Times New Roman"/>
          <w:sz w:val="28"/>
          <w:szCs w:val="28"/>
        </w:rPr>
        <w:t>год</w:t>
      </w:r>
      <w:r w:rsidR="004D7924">
        <w:rPr>
          <w:rFonts w:ascii="Times New Roman" w:hAnsi="Times New Roman" w:cs="Times New Roman"/>
          <w:sz w:val="28"/>
          <w:szCs w:val="28"/>
        </w:rPr>
        <w:t>у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 реализации. </w:t>
      </w:r>
    </w:p>
    <w:p w:rsidR="004B3BBB" w:rsidRDefault="004B3BBB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Таким образом, разработк</w:t>
      </w:r>
      <w:r w:rsidR="00F416E5">
        <w:rPr>
          <w:rFonts w:ascii="Times New Roman" w:hAnsi="Times New Roman" w:cs="Times New Roman"/>
          <w:sz w:val="28"/>
          <w:szCs w:val="28"/>
        </w:rPr>
        <w:t>а</w:t>
      </w:r>
      <w:r w:rsidRPr="0032660F">
        <w:rPr>
          <w:rFonts w:ascii="Times New Roman" w:hAnsi="Times New Roman" w:cs="Times New Roman"/>
          <w:sz w:val="28"/>
          <w:szCs w:val="28"/>
        </w:rPr>
        <w:t xml:space="preserve"> и применение программного средства является </w:t>
      </w:r>
      <w:r w:rsidR="00CB1D0D">
        <w:rPr>
          <w:rFonts w:ascii="Times New Roman" w:hAnsi="Times New Roman" w:cs="Times New Roman"/>
          <w:sz w:val="28"/>
          <w:szCs w:val="28"/>
        </w:rPr>
        <w:t>экономически целесообразным</w:t>
      </w:r>
      <w:r w:rsidRPr="0032660F">
        <w:rPr>
          <w:rFonts w:ascii="Times New Roman" w:hAnsi="Times New Roman" w:cs="Times New Roman"/>
          <w:sz w:val="28"/>
          <w:szCs w:val="28"/>
        </w:rPr>
        <w:t>.</w:t>
      </w:r>
    </w:p>
    <w:p w:rsidR="00CB1D0D" w:rsidRPr="0032660F" w:rsidRDefault="00CB1D0D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CB1D0D" w:rsidRPr="003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83722"/>
    <w:rsid w:val="00090F21"/>
    <w:rsid w:val="00093943"/>
    <w:rsid w:val="0009793E"/>
    <w:rsid w:val="000A39F8"/>
    <w:rsid w:val="000A3BAF"/>
    <w:rsid w:val="000C7E3E"/>
    <w:rsid w:val="000D4D43"/>
    <w:rsid w:val="000E75AB"/>
    <w:rsid w:val="00100FC3"/>
    <w:rsid w:val="00101F2B"/>
    <w:rsid w:val="00121EA1"/>
    <w:rsid w:val="00134373"/>
    <w:rsid w:val="00150A59"/>
    <w:rsid w:val="00151600"/>
    <w:rsid w:val="00164328"/>
    <w:rsid w:val="00172FE2"/>
    <w:rsid w:val="00180A91"/>
    <w:rsid w:val="00195809"/>
    <w:rsid w:val="001A1E3C"/>
    <w:rsid w:val="001A6A05"/>
    <w:rsid w:val="001C44A8"/>
    <w:rsid w:val="001C7538"/>
    <w:rsid w:val="001D6EDD"/>
    <w:rsid w:val="001E656F"/>
    <w:rsid w:val="001E6850"/>
    <w:rsid w:val="001E79CA"/>
    <w:rsid w:val="002070FA"/>
    <w:rsid w:val="00232151"/>
    <w:rsid w:val="00253E0E"/>
    <w:rsid w:val="00256526"/>
    <w:rsid w:val="00270D87"/>
    <w:rsid w:val="00270F81"/>
    <w:rsid w:val="0027748A"/>
    <w:rsid w:val="00286E7C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696A"/>
    <w:rsid w:val="00371C39"/>
    <w:rsid w:val="00373B59"/>
    <w:rsid w:val="00375DD7"/>
    <w:rsid w:val="003854FB"/>
    <w:rsid w:val="003A2EB2"/>
    <w:rsid w:val="003B1F71"/>
    <w:rsid w:val="003C254F"/>
    <w:rsid w:val="003C26A4"/>
    <w:rsid w:val="003C281E"/>
    <w:rsid w:val="003D62D5"/>
    <w:rsid w:val="00424987"/>
    <w:rsid w:val="004328B9"/>
    <w:rsid w:val="0043543D"/>
    <w:rsid w:val="004424CA"/>
    <w:rsid w:val="00445C3A"/>
    <w:rsid w:val="00450C92"/>
    <w:rsid w:val="00463FE4"/>
    <w:rsid w:val="00466CD9"/>
    <w:rsid w:val="00476A20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A38"/>
    <w:rsid w:val="004D12F3"/>
    <w:rsid w:val="004D52D8"/>
    <w:rsid w:val="004D7924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190D"/>
    <w:rsid w:val="0057651D"/>
    <w:rsid w:val="005822F4"/>
    <w:rsid w:val="00583B60"/>
    <w:rsid w:val="0059149C"/>
    <w:rsid w:val="00597A1D"/>
    <w:rsid w:val="005C20AD"/>
    <w:rsid w:val="005D00CC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64805"/>
    <w:rsid w:val="006720D5"/>
    <w:rsid w:val="00673AB7"/>
    <w:rsid w:val="0068083A"/>
    <w:rsid w:val="006862D5"/>
    <w:rsid w:val="006A122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D0046"/>
    <w:rsid w:val="007D0CEB"/>
    <w:rsid w:val="00830B64"/>
    <w:rsid w:val="0085159F"/>
    <w:rsid w:val="008520A8"/>
    <w:rsid w:val="0085721D"/>
    <w:rsid w:val="00865EE8"/>
    <w:rsid w:val="00866CA8"/>
    <w:rsid w:val="00881A02"/>
    <w:rsid w:val="00882902"/>
    <w:rsid w:val="008A2604"/>
    <w:rsid w:val="008A2D2B"/>
    <w:rsid w:val="008B0DBB"/>
    <w:rsid w:val="008B46F2"/>
    <w:rsid w:val="008B6E35"/>
    <w:rsid w:val="008C186C"/>
    <w:rsid w:val="008C4890"/>
    <w:rsid w:val="008C7DB4"/>
    <w:rsid w:val="008E29F8"/>
    <w:rsid w:val="0090591B"/>
    <w:rsid w:val="009116C3"/>
    <w:rsid w:val="00914ECB"/>
    <w:rsid w:val="009221B2"/>
    <w:rsid w:val="00927085"/>
    <w:rsid w:val="00941C05"/>
    <w:rsid w:val="00944CF3"/>
    <w:rsid w:val="00956AF9"/>
    <w:rsid w:val="00964545"/>
    <w:rsid w:val="009C0A83"/>
    <w:rsid w:val="009C68FD"/>
    <w:rsid w:val="009D219C"/>
    <w:rsid w:val="009D5212"/>
    <w:rsid w:val="009D72C0"/>
    <w:rsid w:val="009F4026"/>
    <w:rsid w:val="00A0296A"/>
    <w:rsid w:val="00A12986"/>
    <w:rsid w:val="00A16E6A"/>
    <w:rsid w:val="00A24816"/>
    <w:rsid w:val="00A32A4C"/>
    <w:rsid w:val="00A32D1D"/>
    <w:rsid w:val="00A32FF6"/>
    <w:rsid w:val="00A51DF3"/>
    <w:rsid w:val="00A64D3C"/>
    <w:rsid w:val="00A7262C"/>
    <w:rsid w:val="00A73003"/>
    <w:rsid w:val="00A80DF7"/>
    <w:rsid w:val="00A9482A"/>
    <w:rsid w:val="00AA78C3"/>
    <w:rsid w:val="00AC7746"/>
    <w:rsid w:val="00AD125A"/>
    <w:rsid w:val="00AE0945"/>
    <w:rsid w:val="00B279FE"/>
    <w:rsid w:val="00B32E83"/>
    <w:rsid w:val="00B3494B"/>
    <w:rsid w:val="00B47E8D"/>
    <w:rsid w:val="00B52F73"/>
    <w:rsid w:val="00B57A80"/>
    <w:rsid w:val="00B63667"/>
    <w:rsid w:val="00B64B7B"/>
    <w:rsid w:val="00B660E3"/>
    <w:rsid w:val="00B66CF9"/>
    <w:rsid w:val="00B75AF3"/>
    <w:rsid w:val="00B763A5"/>
    <w:rsid w:val="00B824BA"/>
    <w:rsid w:val="00B844A0"/>
    <w:rsid w:val="00B87341"/>
    <w:rsid w:val="00B95EE1"/>
    <w:rsid w:val="00BA4986"/>
    <w:rsid w:val="00BC5202"/>
    <w:rsid w:val="00BC6D1F"/>
    <w:rsid w:val="00BE09E1"/>
    <w:rsid w:val="00BF0C19"/>
    <w:rsid w:val="00BF40D4"/>
    <w:rsid w:val="00BF4327"/>
    <w:rsid w:val="00C00B29"/>
    <w:rsid w:val="00C06655"/>
    <w:rsid w:val="00C14BBB"/>
    <w:rsid w:val="00C2226A"/>
    <w:rsid w:val="00C24F9D"/>
    <w:rsid w:val="00C4123C"/>
    <w:rsid w:val="00C4175B"/>
    <w:rsid w:val="00C50FEA"/>
    <w:rsid w:val="00C53EBD"/>
    <w:rsid w:val="00C6350A"/>
    <w:rsid w:val="00C77435"/>
    <w:rsid w:val="00CA24BD"/>
    <w:rsid w:val="00CB1D0D"/>
    <w:rsid w:val="00CB4A9F"/>
    <w:rsid w:val="00CB6643"/>
    <w:rsid w:val="00CC0D0B"/>
    <w:rsid w:val="00D07CFD"/>
    <w:rsid w:val="00D30D66"/>
    <w:rsid w:val="00D60ED6"/>
    <w:rsid w:val="00D7392B"/>
    <w:rsid w:val="00D77EB6"/>
    <w:rsid w:val="00D84E2C"/>
    <w:rsid w:val="00D93DBE"/>
    <w:rsid w:val="00D95518"/>
    <w:rsid w:val="00D963AD"/>
    <w:rsid w:val="00DA12AD"/>
    <w:rsid w:val="00DB27FF"/>
    <w:rsid w:val="00DC24A8"/>
    <w:rsid w:val="00DE0C29"/>
    <w:rsid w:val="00E02BEC"/>
    <w:rsid w:val="00E4511C"/>
    <w:rsid w:val="00E46C83"/>
    <w:rsid w:val="00E47CBD"/>
    <w:rsid w:val="00E609EC"/>
    <w:rsid w:val="00E60EB4"/>
    <w:rsid w:val="00E66E1A"/>
    <w:rsid w:val="00E8087E"/>
    <w:rsid w:val="00E80BCC"/>
    <w:rsid w:val="00E844A4"/>
    <w:rsid w:val="00E86245"/>
    <w:rsid w:val="00E86C3A"/>
    <w:rsid w:val="00E8780A"/>
    <w:rsid w:val="00EC6BBF"/>
    <w:rsid w:val="00EE2E90"/>
    <w:rsid w:val="00EE3DC5"/>
    <w:rsid w:val="00EE6BA2"/>
    <w:rsid w:val="00EE6FF7"/>
    <w:rsid w:val="00EF4BA8"/>
    <w:rsid w:val="00F1079B"/>
    <w:rsid w:val="00F4083B"/>
    <w:rsid w:val="00F4103C"/>
    <w:rsid w:val="00F416E5"/>
    <w:rsid w:val="00F43D2F"/>
    <w:rsid w:val="00F53C22"/>
    <w:rsid w:val="00F561F5"/>
    <w:rsid w:val="00F6619C"/>
    <w:rsid w:val="00F858A0"/>
    <w:rsid w:val="00F90B91"/>
    <w:rsid w:val="00FA0FA1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333</cp:revision>
  <dcterms:created xsi:type="dcterms:W3CDTF">2015-05-02T18:17:00Z</dcterms:created>
  <dcterms:modified xsi:type="dcterms:W3CDTF">2015-05-12T07:03:00Z</dcterms:modified>
</cp:coreProperties>
</file>