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jc w:val="center"/>
      </w:pPr>
      <w:r>
        <w:rPr>
          <w:rFonts w:ascii="Times New Roman" w:hAnsi="Times New Roman"/>
          <w:b/>
          <w:sz w:val="40"/>
        </w:rPr>
        <w:t>A Two-Stage Selective Classification Framework with Hard-Case Specialist Routing for Employee Turnover Prediction</w:t>
      </w:r>
    </w:p>
    <w:p>
      <w:pPr>
        <w:spacing w:after="40"/>
        <w:jc w:val="center"/>
      </w:pPr>
      <w:r>
        <w:rPr>
          <w:rFonts w:ascii="Times New Roman" w:hAnsi="Times New Roman"/>
          <w:i/>
          <w:sz w:val="22"/>
        </w:rPr>
        <w:t>[Author Names Withheld for Double-Blind Review]</w:t>
      </w:r>
    </w:p>
    <w:p>
      <w:pPr>
        <w:spacing w:after="280"/>
        <w:jc w:val="center"/>
      </w:pPr>
      <w:r>
        <w:rPr>
          <w:rFonts w:ascii="Times New Roman" w:hAnsi="Times New Roman"/>
          <w:i/>
          <w:sz w:val="20"/>
        </w:rPr>
        <w:t>[Affiliation and Contact Withheld for Double-Blind Review]</w:t>
      </w:r>
    </w:p>
    <w:p>
      <w:pPr>
        <w:spacing w:before="0" w:after="80"/>
        <w:ind w:left="720" w:right="720"/>
        <w:jc w:val="both"/>
      </w:pPr>
      <w:r>
        <w:rPr>
          <w:rFonts w:ascii="Times New Roman" w:hAnsi="Times New Roman"/>
          <w:b/>
          <w:i/>
          <w:sz w:val="20"/>
        </w:rPr>
        <w:t>Abstract—</w:t>
      </w:r>
      <w:r>
        <w:rPr>
          <w:rFonts w:ascii="Times New Roman" w:hAnsi="Times New Roman"/>
          <w:sz w:val="20"/>
        </w:rPr>
        <w:t>Employee turnover prediction is a critical challenge in human resource management, where class imbalance and the heterogeneity of employee profiles make uniform classification a fundamentally limited strategy. This paper presents a Two-Stage Selective Classification Framework with Hard-Case Specialist Routing, a novel architecture that addresses the limitation that a single monolithic classifier cannot simultaneously optimize performance for high-confidence and boundary-case employee profiles. In the proposed framework, a primary CatBoost Anchor model trained on K=33 stability-selected features classifies high-confidence cases and retains its prediction directly, while uncertain boundary-zone predictions are routed to a dedicated K=37 CatBoost Hard-Case Specialist model trained to recover difficult minority-class instances. The routing boundary is determined through confidence-based selective classification with a final decision threshold of tau = 0.4850, calibrated via ultra-dense out-of-fold threshold search. Evaluated on 2,969 unique employee profiles (development set N=2,375; locked holdout N=594), the proposed framework achieves 94.95% Accuracy, 87.50% Precision, 80.21% Recall, 83.70% F1-score, and 92.30% ROC-AUC on the locked holdout partition—reducing total errors from 71 (base-paper GA+LightGBM reproduction) to 30, a 57.7% error reduction. A forensic audit demonstrates that the base-paper published benchmark (AUC=0.94, F1=0.87) reflects pre-split SMOTE cross-contamination rather than genuine leak-free generalization. SHAP-based post-hoc interpretation identifies career stagnation, tenure stability, and compensation equity as dominant turnover drivers. A 25-fold repeated stratified nested cross-validation confirms robust generalizability: 95.41% +/- 0.98% Accuracy and 85.27% +/- 3.27% F1-score.</w:t>
      </w:r>
    </w:p>
    <w:p>
      <w:pPr>
        <w:spacing w:before="80" w:after="280"/>
        <w:ind w:left="720" w:right="720"/>
        <w:jc w:val="both"/>
      </w:pPr>
      <w:r>
        <w:rPr>
          <w:rFonts w:ascii="Times New Roman" w:hAnsi="Times New Roman"/>
          <w:b/>
          <w:i/>
          <w:sz w:val="20"/>
        </w:rPr>
        <w:t>Keywords—</w:t>
      </w:r>
      <w:r>
        <w:rPr>
          <w:rFonts w:ascii="Times New Roman" w:hAnsi="Times New Roman"/>
          <w:sz w:val="20"/>
        </w:rPr>
        <w:t>employee turnover prediction; selective classification; CatBoost gradient boosting; hard-case routing; stability feature selection; confidence-based gating; HR analytics; class imbalance; SHAP interpretability; two-stage classification.</w:t>
      </w:r>
    </w:p>
    <w:p>
      <w:pPr>
        <w:spacing w:before="120" w:after="120"/>
        <w:pBdr>
          <w:bottom w:val="single" w:sz="6" w:space="1" w:color="AAAAAA"/>
        </w:pBdr>
      </w:pPr>
    </w:p>
    <w:p>
      <w:pPr>
        <w:spacing w:before="240" w:after="120"/>
        <w:jc w:val="center"/>
      </w:pPr>
      <w:r>
        <w:rPr>
          <w:rFonts w:ascii="Times New Roman" w:hAnsi="Times New Roman"/>
          <w:b/>
          <w:sz w:val="20"/>
        </w:rPr>
        <w:t>I. INTRODUCTION</w:t>
      </w:r>
    </w:p>
    <w:p>
      <w:pPr>
        <w:spacing w:before="0" w:after="120"/>
        <w:ind w:firstLine="280"/>
        <w:jc w:val="both"/>
      </w:pPr>
      <w:r>
        <w:rPr>
          <w:rFonts w:ascii="Times New Roman" w:hAnsi="Times New Roman"/>
          <w:b w:val="0"/>
          <w:sz w:val="20"/>
        </w:rPr>
        <w:t>Employee turnover represents one of the most significant operational and financial challenges facing modern organizations. Industry analyses estimate that replacing a mid-level employee costs between 50% and 200% of their annual salary when accounting for recruitment, onboarding, productivity loss during transition, and the transfer of institutional knowledge [1]. At scale across large enterprises, even modest reductions in voluntary attrition rates translate into tens of millions of dollars in avoided replacement costs. The ability to predict voluntary departures before they materialize enables human resource managers to implement targeted retention interventions, ranging from compensation adjustments and promotion accelerations to flexible work arrangements and career development programs [2].</w:t>
      </w:r>
    </w:p>
    <w:p>
      <w:pPr>
        <w:spacing w:before="0" w:after="120"/>
        <w:ind w:firstLine="280"/>
        <w:jc w:val="both"/>
      </w:pPr>
      <w:r>
        <w:rPr>
          <w:rFonts w:ascii="Times New Roman" w:hAnsi="Times New Roman"/>
          <w:b w:val="0"/>
          <w:sz w:val="20"/>
        </w:rPr>
        <w:t>Machine learning has emerged as the dominant paradigm for predictive HR analytics, with gradient boosted decision tree architectures (CatBoost, LightGBM, XGBoost) consistently demonstrating superior performance on structured employee profile data [3], [4]. However, the prevailing methodology in employee turnover prediction literature treats the problem as a uniform classification task—applying a single model with a single decision boundary uniformly across all employee profiles regardless of how confidently the model can classify them. This approach systematically underperforms on boundary cases: employees whose feature vectors lie near the decision boundary and whose accurate classification requires specialized discriminative capacity beyond what a generalist model can provide [5].</w:t>
      </w:r>
    </w:p>
    <w:p>
      <w:pPr>
        <w:spacing w:before="0" w:after="120"/>
        <w:ind w:firstLine="280"/>
        <w:jc w:val="both"/>
      </w:pPr>
      <w:r>
        <w:rPr>
          <w:rFonts w:ascii="Times New Roman" w:hAnsi="Times New Roman"/>
          <w:b w:val="0"/>
          <w:sz w:val="20"/>
        </w:rPr>
        <w:t>A second fundamental problem pervading the employee turnover prediction literature is evaluation under data leakage conditions. The widespread practice of applying synthetic oversampling (e.g., SMOTE) prior to train/test partitioning creates synthetic nearest-neighbor interpolations that span the train-test boundary, producing artificially inflated performance metrics [6]. Our forensic empirical audit—detailed in Section VI—demonstrates that the base-paper GA + LightGBM benchmark [7] reporting AUC = 0.94 and F1 = 0.87 is reproducible exclusively under pre-split oversampling (which constitutes synthetic cross-contamination), and collapses to only 38.96% Recall under strictly leak-free evaluation on our dataset. This confirms the benchmark is BENCHMARK_NOT_COMPARABLE to anti-leakage frameworks.</w:t>
      </w:r>
    </w:p>
    <w:p>
      <w:pPr>
        <w:spacing w:before="0" w:after="120"/>
        <w:ind w:firstLine="280"/>
        <w:jc w:val="both"/>
      </w:pPr>
      <w:r>
        <w:rPr>
          <w:rFonts w:ascii="Times New Roman" w:hAnsi="Times New Roman"/>
          <w:b w:val="0"/>
          <w:sz w:val="20"/>
        </w:rPr>
        <w:t>This paper introduces a Two-Stage Selective Classification Framework with Hard-Case Specialist Routing as the primary methodological contribution. The conceptual insight is that employee profiles classified with high confidence by a generalist anchor model need not be re-evaluated, whereas profiles falling near the confidence boundary—representing employees with ambiguous or atypical organizational circumstances—should be routed to a specialist model trained with expanded feature representations specifically curated for recovering these hard cases. This architecture reduces total holdout errors from 71 (base-paper reproduction) to 30 (proposed system)—a 57.7% error reduction—while providing SHAP-based interpretability for each prediction.</w:t>
      </w:r>
    </w:p>
    <w:p>
      <w:pPr>
        <w:spacing w:before="0" w:after="120"/>
        <w:ind w:firstLine="280"/>
        <w:jc w:val="both"/>
      </w:pPr>
      <w:r>
        <w:rPr>
          <w:rFonts w:ascii="Times New Roman" w:hAnsi="Times New Roman"/>
          <w:b w:val="0"/>
          <w:sz w:val="20"/>
        </w:rPr>
        <w:t>The main contributions of this paper are: (1) a novel two-stage selective classification architecture with confidence-based hard-case routing for employee turnover prediction; (2) a forensic empirical audit establishing that the widely-cited GA + LightGBM benchmark is not comparable to leak-free evaluation frameworks; (3) stage-specific feature representations (K=33 Anchor, K=37 Specialist) demonstrating that hard-case recovery benefits from augmented structural domain interactions; (4) a calibrated decision threshold (tau = 0.4850) derived from ultra-dense out-of-fold probability analysis; and (5) SHAP-based global and local interpretability analysis identifying the dominant organizational turnover drivers.</w:t>
      </w:r>
    </w:p>
    <w:p>
      <w:pPr>
        <w:spacing w:before="0" w:after="120"/>
        <w:ind w:firstLine="280"/>
        <w:jc w:val="both"/>
      </w:pPr>
      <w:r>
        <w:rPr>
          <w:rFonts w:ascii="Times New Roman" w:hAnsi="Times New Roman"/>
          <w:b w:val="0"/>
          <w:sz w:val="20"/>
        </w:rPr>
        <w:t>The remainder of this paper is organized as follows. Section II reviews the related literature. Section III identifies the research gap and motivation. Section IV presents the proposed methodology in detail. Section V describes the experimental setup. Section VI reports and discusses the results. Section VII provides SHAP-based interpretability analysis. Section VIII discusses limitations and future work. Section IX concludes the paper.</w:t>
      </w:r>
    </w:p>
    <w:p>
      <w:pPr>
        <w:spacing w:before="240" w:after="120"/>
        <w:jc w:val="center"/>
      </w:pPr>
      <w:r>
        <w:rPr>
          <w:rFonts w:ascii="Times New Roman" w:hAnsi="Times New Roman"/>
          <w:b/>
          <w:sz w:val="20"/>
        </w:rPr>
        <w:t>II. RELATED WORK</w:t>
      </w:r>
    </w:p>
    <w:p>
      <w:pPr>
        <w:spacing w:before="0" w:after="120"/>
        <w:ind w:firstLine="280"/>
        <w:jc w:val="both"/>
      </w:pPr>
      <w:r>
        <w:rPr>
          <w:rFonts w:ascii="Times New Roman" w:hAnsi="Times New Roman"/>
          <w:b w:val="0"/>
          <w:sz w:val="20"/>
        </w:rPr>
        <w:t>The application of machine learning to employee turnover prediction has advanced substantially over the past decade, progressing from single-algorithm classifiers to sophisticated hybrid architectures. Table I presents a chronological summary of key related works in the field.</w:t>
      </w:r>
    </w:p>
    <w:p>
      <w:pPr>
        <w:spacing w:before="80" w:after="120"/>
        <w:jc w:val="center"/>
      </w:pPr>
      <w:r>
        <w:rPr>
          <w:rFonts w:ascii="Times New Roman" w:hAnsi="Times New Roman"/>
          <w:b/>
          <w:sz w:val="18"/>
        </w:rPr>
        <w:t xml:space="preserve">TABLE 1. </w:t>
      </w:r>
      <w:r>
        <w:rPr>
          <w:rFonts w:ascii="Times New Roman" w:hAnsi="Times New Roman"/>
          <w:b/>
          <w:sz w:val="18"/>
        </w:rPr>
        <w:t>SUMMARY OF REPRESENTATIVE PRIOR WORK IN EMPLOYEE TURNOVER PREDICTION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2E5FA3"/>
          </w:tcPr>
          <w:p>
            <w:pPr>
              <w:spacing w:before="40" w:after="40"/>
              <w:jc w:val="center"/>
            </w:pPr>
            <w:r>
              <w:rPr>
                <w:rFonts w:ascii="Times New Roman" w:hAnsi="Times New Roman"/>
                <w:b/>
                <w:color w:val="FFFFFF"/>
                <w:sz w:val="16"/>
              </w:rPr>
              <w:t>Reference</w:t>
            </w:r>
          </w:p>
        </w:tc>
        <w:tc>
          <w:tcPr>
            <w:tcW w:type="dxa" w:w="2340"/>
            <w:vAlign w:val="center"/>
            <w:shd w:val="clear" w:color="auto" w:fill="2E5FA3"/>
          </w:tcPr>
          <w:p>
            <w:pPr>
              <w:spacing w:before="40" w:after="40"/>
              <w:jc w:val="center"/>
            </w:pPr>
            <w:r>
              <w:rPr>
                <w:rFonts w:ascii="Times New Roman" w:hAnsi="Times New Roman"/>
                <w:b/>
                <w:color w:val="FFFFFF"/>
                <w:sz w:val="16"/>
              </w:rPr>
              <w:t>Year</w:t>
            </w:r>
          </w:p>
        </w:tc>
        <w:tc>
          <w:tcPr>
            <w:tcW w:type="dxa" w:w="2340"/>
            <w:vAlign w:val="center"/>
            <w:shd w:val="clear" w:color="auto" w:fill="2E5FA3"/>
          </w:tcPr>
          <w:p>
            <w:pPr>
              <w:spacing w:before="40" w:after="40"/>
              <w:jc w:val="center"/>
            </w:pPr>
            <w:r>
              <w:rPr>
                <w:rFonts w:ascii="Times New Roman" w:hAnsi="Times New Roman"/>
                <w:b/>
                <w:color w:val="FFFFFF"/>
                <w:sz w:val="16"/>
              </w:rPr>
              <w:t>Methodology</w:t>
            </w:r>
          </w:p>
        </w:tc>
        <w:tc>
          <w:tcPr>
            <w:tcW w:type="dxa" w:w="2340"/>
            <w:vAlign w:val="center"/>
            <w:shd w:val="clear" w:color="auto" w:fill="2E5FA3"/>
          </w:tcPr>
          <w:p>
            <w:pPr>
              <w:spacing w:before="40" w:after="40"/>
              <w:jc w:val="center"/>
            </w:pPr>
            <w:r>
              <w:rPr>
                <w:rFonts w:ascii="Times New Roman" w:hAnsi="Times New Roman"/>
                <w:b/>
                <w:color w:val="FFFFFF"/>
                <w:sz w:val="16"/>
              </w:rPr>
              <w:t>Key Finding</w:t>
            </w:r>
          </w:p>
        </w:tc>
      </w:tr>
      <w:tr>
        <w:tc>
          <w:tcPr>
            <w:tcW w:type="dxa" w:w="2340"/>
            <w:vAlign w:val="center"/>
            <w:shd w:val="clear" w:color="auto" w:fill="EEF4FB"/>
          </w:tcPr>
          <w:p>
            <w:pPr>
              <w:spacing w:before="40" w:after="40"/>
              <w:jc w:val="left"/>
            </w:pPr>
            <w:r>
              <w:rPr>
                <w:rFonts w:ascii="Times New Roman" w:hAnsi="Times New Roman"/>
                <w:b/>
                <w:sz w:val="16"/>
              </w:rPr>
              <w:t>Zhang et al. [8]</w:t>
            </w:r>
          </w:p>
        </w:tc>
        <w:tc>
          <w:tcPr>
            <w:tcW w:type="dxa" w:w="2340"/>
            <w:vAlign w:val="center"/>
            <w:shd w:val="clear" w:color="auto" w:fill="EEF4FB"/>
          </w:tcPr>
          <w:p>
            <w:pPr>
              <w:spacing w:before="40" w:after="40"/>
              <w:jc w:val="center"/>
            </w:pPr>
            <w:r>
              <w:rPr>
                <w:rFonts w:ascii="Times New Roman" w:hAnsi="Times New Roman"/>
                <w:b w:val="0"/>
                <w:sz w:val="16"/>
              </w:rPr>
              <w:t>2018</w:t>
            </w:r>
          </w:p>
        </w:tc>
        <w:tc>
          <w:tcPr>
            <w:tcW w:type="dxa" w:w="2340"/>
            <w:vAlign w:val="center"/>
            <w:shd w:val="clear" w:color="auto" w:fill="EEF4FB"/>
          </w:tcPr>
          <w:p>
            <w:pPr>
              <w:spacing w:before="40" w:after="40"/>
              <w:jc w:val="center"/>
            </w:pPr>
            <w:r>
              <w:rPr>
                <w:rFonts w:ascii="Times New Roman" w:hAnsi="Times New Roman"/>
                <w:b w:val="0"/>
                <w:sz w:val="16"/>
              </w:rPr>
              <w:t>LR, KNN, Decision Trees</w:t>
            </w:r>
          </w:p>
        </w:tc>
        <w:tc>
          <w:tcPr>
            <w:tcW w:type="dxa" w:w="2340"/>
            <w:vAlign w:val="center"/>
            <w:shd w:val="clear" w:color="auto" w:fill="EEF4FB"/>
          </w:tcPr>
          <w:p>
            <w:pPr>
              <w:spacing w:before="40" w:after="40"/>
              <w:jc w:val="center"/>
            </w:pPr>
            <w:r>
              <w:rPr>
                <w:rFonts w:ascii="Times New Roman" w:hAnsi="Times New Roman"/>
                <w:b w:val="0"/>
                <w:sz w:val="16"/>
              </w:rPr>
              <w:t>Tree-based models best capture attrition dynamics in telecom data</w:t>
            </w:r>
          </w:p>
        </w:tc>
      </w:tr>
      <w:tr>
        <w:tc>
          <w:tcPr>
            <w:tcW w:type="dxa" w:w="2340"/>
            <w:vAlign w:val="center"/>
            <w:shd w:val="clear" w:color="auto" w:fill="FFFFFF"/>
          </w:tcPr>
          <w:p>
            <w:pPr>
              <w:spacing w:before="40" w:after="40"/>
              <w:jc w:val="left"/>
            </w:pPr>
            <w:r>
              <w:rPr>
                <w:rFonts w:ascii="Times New Roman" w:hAnsi="Times New Roman"/>
                <w:b/>
                <w:sz w:val="16"/>
              </w:rPr>
              <w:t>Alaskar et al. [9]</w:t>
            </w:r>
          </w:p>
        </w:tc>
        <w:tc>
          <w:tcPr>
            <w:tcW w:type="dxa" w:w="2340"/>
            <w:vAlign w:val="center"/>
            <w:shd w:val="clear" w:color="auto" w:fill="FFFFFF"/>
          </w:tcPr>
          <w:p>
            <w:pPr>
              <w:spacing w:before="40" w:after="40"/>
              <w:jc w:val="center"/>
            </w:pPr>
            <w:r>
              <w:rPr>
                <w:rFonts w:ascii="Times New Roman" w:hAnsi="Times New Roman"/>
                <w:b w:val="0"/>
                <w:sz w:val="16"/>
              </w:rPr>
              <w:t>2019</w:t>
            </w:r>
          </w:p>
        </w:tc>
        <w:tc>
          <w:tcPr>
            <w:tcW w:type="dxa" w:w="2340"/>
            <w:vAlign w:val="center"/>
            <w:shd w:val="clear" w:color="auto" w:fill="FFFFFF"/>
          </w:tcPr>
          <w:p>
            <w:pPr>
              <w:spacing w:before="40" w:after="40"/>
              <w:jc w:val="center"/>
            </w:pPr>
            <w:r>
              <w:rPr>
                <w:rFonts w:ascii="Times New Roman" w:hAnsi="Times New Roman"/>
                <w:b w:val="0"/>
                <w:sz w:val="16"/>
              </w:rPr>
              <w:t>SVM, RF + SelectKBest, RFE</w:t>
            </w:r>
          </w:p>
        </w:tc>
        <w:tc>
          <w:tcPr>
            <w:tcW w:type="dxa" w:w="2340"/>
            <w:vAlign w:val="center"/>
            <w:shd w:val="clear" w:color="auto" w:fill="FFFFFF"/>
          </w:tcPr>
          <w:p>
            <w:pPr>
              <w:spacing w:before="40" w:after="40"/>
              <w:jc w:val="center"/>
            </w:pPr>
            <w:r>
              <w:rPr>
                <w:rFonts w:ascii="Times New Roman" w:hAnsi="Times New Roman"/>
                <w:b w:val="0"/>
                <w:sz w:val="16"/>
              </w:rPr>
              <w:t>Feature selection substantially improves predictive accuracy</w:t>
            </w:r>
          </w:p>
        </w:tc>
      </w:tr>
      <w:tr>
        <w:tc>
          <w:tcPr>
            <w:tcW w:type="dxa" w:w="2340"/>
            <w:vAlign w:val="center"/>
            <w:shd w:val="clear" w:color="auto" w:fill="EEF4FB"/>
          </w:tcPr>
          <w:p>
            <w:pPr>
              <w:spacing w:before="40" w:after="40"/>
              <w:jc w:val="left"/>
            </w:pPr>
            <w:r>
              <w:rPr>
                <w:rFonts w:ascii="Times New Roman" w:hAnsi="Times New Roman"/>
                <w:b/>
                <w:sz w:val="16"/>
              </w:rPr>
              <w:t>Zhao et al. [10]</w:t>
            </w:r>
          </w:p>
        </w:tc>
        <w:tc>
          <w:tcPr>
            <w:tcW w:type="dxa" w:w="2340"/>
            <w:vAlign w:val="center"/>
            <w:shd w:val="clear" w:color="auto" w:fill="EEF4FB"/>
          </w:tcPr>
          <w:p>
            <w:pPr>
              <w:spacing w:before="40" w:after="40"/>
              <w:jc w:val="center"/>
            </w:pPr>
            <w:r>
              <w:rPr>
                <w:rFonts w:ascii="Times New Roman" w:hAnsi="Times New Roman"/>
                <w:b w:val="0"/>
                <w:sz w:val="16"/>
              </w:rPr>
              <w:t>2019</w:t>
            </w:r>
          </w:p>
        </w:tc>
        <w:tc>
          <w:tcPr>
            <w:tcW w:type="dxa" w:w="2340"/>
            <w:vAlign w:val="center"/>
            <w:shd w:val="clear" w:color="auto" w:fill="EEF4FB"/>
          </w:tcPr>
          <w:p>
            <w:pPr>
              <w:spacing w:before="40" w:after="40"/>
              <w:jc w:val="center"/>
            </w:pPr>
            <w:r>
              <w:rPr>
                <w:rFonts w:ascii="Times New Roman" w:hAnsi="Times New Roman"/>
                <w:b w:val="0"/>
                <w:sz w:val="16"/>
              </w:rPr>
              <w:t>RF, LR, Neural Networks</w:t>
            </w:r>
          </w:p>
        </w:tc>
        <w:tc>
          <w:tcPr>
            <w:tcW w:type="dxa" w:w="2340"/>
            <w:vAlign w:val="center"/>
            <w:shd w:val="clear" w:color="auto" w:fill="EEF4FB"/>
          </w:tcPr>
          <w:p>
            <w:pPr>
              <w:spacing w:before="40" w:after="40"/>
              <w:jc w:val="center"/>
            </w:pPr>
            <w:r>
              <w:rPr>
                <w:rFonts w:ascii="Times New Roman" w:hAnsi="Times New Roman"/>
                <w:b w:val="0"/>
                <w:sz w:val="16"/>
              </w:rPr>
              <w:t>Diverse features (satisfaction, performance) improve accuracy</w:t>
            </w:r>
          </w:p>
        </w:tc>
      </w:tr>
      <w:tr>
        <w:tc>
          <w:tcPr>
            <w:tcW w:type="dxa" w:w="2340"/>
            <w:vAlign w:val="center"/>
            <w:shd w:val="clear" w:color="auto" w:fill="FFFFFF"/>
          </w:tcPr>
          <w:p>
            <w:pPr>
              <w:spacing w:before="40" w:after="40"/>
              <w:jc w:val="left"/>
            </w:pPr>
            <w:r>
              <w:rPr>
                <w:rFonts w:ascii="Times New Roman" w:hAnsi="Times New Roman"/>
                <w:b/>
                <w:sz w:val="16"/>
              </w:rPr>
              <w:t>Ali [11]</w:t>
            </w:r>
          </w:p>
        </w:tc>
        <w:tc>
          <w:tcPr>
            <w:tcW w:type="dxa" w:w="2340"/>
            <w:vAlign w:val="center"/>
            <w:shd w:val="clear" w:color="auto" w:fill="FFFFFF"/>
          </w:tcPr>
          <w:p>
            <w:pPr>
              <w:spacing w:before="40" w:after="40"/>
              <w:jc w:val="center"/>
            </w:pPr>
            <w:r>
              <w:rPr>
                <w:rFonts w:ascii="Times New Roman" w:hAnsi="Times New Roman"/>
                <w:b w:val="0"/>
                <w:sz w:val="16"/>
              </w:rPr>
              <w:t>2021</w:t>
            </w:r>
          </w:p>
        </w:tc>
        <w:tc>
          <w:tcPr>
            <w:tcW w:type="dxa" w:w="2340"/>
            <w:vAlign w:val="center"/>
            <w:shd w:val="clear" w:color="auto" w:fill="FFFFFF"/>
          </w:tcPr>
          <w:p>
            <w:pPr>
              <w:spacing w:before="40" w:after="40"/>
              <w:jc w:val="center"/>
            </w:pPr>
            <w:r>
              <w:rPr>
                <w:rFonts w:ascii="Times New Roman" w:hAnsi="Times New Roman"/>
                <w:b w:val="0"/>
                <w:sz w:val="16"/>
              </w:rPr>
              <w:t>PCA + Random Forest</w:t>
            </w:r>
          </w:p>
        </w:tc>
        <w:tc>
          <w:tcPr>
            <w:tcW w:type="dxa" w:w="2340"/>
            <w:vAlign w:val="center"/>
            <w:shd w:val="clear" w:color="auto" w:fill="FFFFFF"/>
          </w:tcPr>
          <w:p>
            <w:pPr>
              <w:spacing w:before="40" w:after="40"/>
              <w:jc w:val="center"/>
            </w:pPr>
            <w:r>
              <w:rPr>
                <w:rFonts w:ascii="Times New Roman" w:hAnsi="Times New Roman"/>
                <w:b w:val="0"/>
                <w:sz w:val="16"/>
              </w:rPr>
              <w:t>Dimensionality reduction combined with RF yields superior accuracy</w:t>
            </w:r>
          </w:p>
        </w:tc>
      </w:tr>
      <w:tr>
        <w:tc>
          <w:tcPr>
            <w:tcW w:type="dxa" w:w="2340"/>
            <w:vAlign w:val="center"/>
            <w:shd w:val="clear" w:color="auto" w:fill="EEF4FB"/>
          </w:tcPr>
          <w:p>
            <w:pPr>
              <w:spacing w:before="40" w:after="40"/>
              <w:jc w:val="left"/>
            </w:pPr>
            <w:r>
              <w:rPr>
                <w:rFonts w:ascii="Times New Roman" w:hAnsi="Times New Roman"/>
                <w:b/>
                <w:sz w:val="16"/>
              </w:rPr>
              <w:t>Kumar et al. [12]</w:t>
            </w:r>
          </w:p>
        </w:tc>
        <w:tc>
          <w:tcPr>
            <w:tcW w:type="dxa" w:w="2340"/>
            <w:vAlign w:val="center"/>
            <w:shd w:val="clear" w:color="auto" w:fill="EEF4FB"/>
          </w:tcPr>
          <w:p>
            <w:pPr>
              <w:spacing w:before="40" w:after="40"/>
              <w:jc w:val="center"/>
            </w:pPr>
            <w:r>
              <w:rPr>
                <w:rFonts w:ascii="Times New Roman" w:hAnsi="Times New Roman"/>
                <w:b w:val="0"/>
                <w:sz w:val="16"/>
              </w:rPr>
              <w:t>2023</w:t>
            </w:r>
          </w:p>
        </w:tc>
        <w:tc>
          <w:tcPr>
            <w:tcW w:type="dxa" w:w="2340"/>
            <w:vAlign w:val="center"/>
            <w:shd w:val="clear" w:color="auto" w:fill="EEF4FB"/>
          </w:tcPr>
          <w:p>
            <w:pPr>
              <w:spacing w:before="40" w:after="40"/>
              <w:jc w:val="center"/>
            </w:pPr>
            <w:r>
              <w:rPr>
                <w:rFonts w:ascii="Times New Roman" w:hAnsi="Times New Roman"/>
                <w:b w:val="0"/>
                <w:sz w:val="16"/>
              </w:rPr>
              <w:t>RF, Neural Networks, XGBoost</w:t>
            </w:r>
          </w:p>
        </w:tc>
        <w:tc>
          <w:tcPr>
            <w:tcW w:type="dxa" w:w="2340"/>
            <w:vAlign w:val="center"/>
            <w:shd w:val="clear" w:color="auto" w:fill="EEF4FB"/>
          </w:tcPr>
          <w:p>
            <w:pPr>
              <w:spacing w:before="40" w:after="40"/>
              <w:jc w:val="center"/>
            </w:pPr>
            <w:r>
              <w:rPr>
                <w:rFonts w:ascii="Times New Roman" w:hAnsi="Times New Roman"/>
                <w:b w:val="0"/>
                <w:sz w:val="16"/>
              </w:rPr>
              <w:t>XGBoost achieves 78.5% accuracy; best on multinational data</w:t>
            </w:r>
          </w:p>
        </w:tc>
      </w:tr>
      <w:tr>
        <w:tc>
          <w:tcPr>
            <w:tcW w:type="dxa" w:w="2340"/>
            <w:vAlign w:val="center"/>
            <w:shd w:val="clear" w:color="auto" w:fill="FFFFFF"/>
          </w:tcPr>
          <w:p>
            <w:pPr>
              <w:spacing w:before="40" w:after="40"/>
              <w:jc w:val="left"/>
            </w:pPr>
            <w:r>
              <w:rPr>
                <w:rFonts w:ascii="Times New Roman" w:hAnsi="Times New Roman"/>
                <w:b/>
                <w:sz w:val="16"/>
              </w:rPr>
              <w:t>Shafie et al. [13]</w:t>
            </w:r>
          </w:p>
        </w:tc>
        <w:tc>
          <w:tcPr>
            <w:tcW w:type="dxa" w:w="2340"/>
            <w:vAlign w:val="center"/>
            <w:shd w:val="clear" w:color="auto" w:fill="FFFFFF"/>
          </w:tcPr>
          <w:p>
            <w:pPr>
              <w:spacing w:before="40" w:after="40"/>
              <w:jc w:val="center"/>
            </w:pPr>
            <w:r>
              <w:rPr>
                <w:rFonts w:ascii="Times New Roman" w:hAnsi="Times New Roman"/>
                <w:b w:val="0"/>
                <w:sz w:val="16"/>
              </w:rPr>
              <w:t>2024</w:t>
            </w:r>
          </w:p>
        </w:tc>
        <w:tc>
          <w:tcPr>
            <w:tcW w:type="dxa" w:w="2340"/>
            <w:vAlign w:val="center"/>
            <w:shd w:val="clear" w:color="auto" w:fill="FFFFFF"/>
          </w:tcPr>
          <w:p>
            <w:pPr>
              <w:spacing w:before="40" w:after="40"/>
              <w:jc w:val="center"/>
            </w:pPr>
            <w:r>
              <w:rPr>
                <w:rFonts w:ascii="Times New Roman" w:hAnsi="Times New Roman"/>
                <w:b w:val="0"/>
                <w:sz w:val="16"/>
              </w:rPr>
              <w:t>ANN + Clustering</w:t>
            </w:r>
          </w:p>
        </w:tc>
        <w:tc>
          <w:tcPr>
            <w:tcW w:type="dxa" w:w="2340"/>
            <w:vAlign w:val="center"/>
            <w:shd w:val="clear" w:color="auto" w:fill="FFFFFF"/>
          </w:tcPr>
          <w:p>
            <w:pPr>
              <w:spacing w:before="40" w:after="40"/>
              <w:jc w:val="center"/>
            </w:pPr>
            <w:r>
              <w:rPr>
                <w:rFonts w:ascii="Times New Roman" w:hAnsi="Times New Roman"/>
                <w:b w:val="0"/>
                <w:sz w:val="16"/>
              </w:rPr>
              <w:t>Segmentation prior to classification improves accuracy on large datasets</w:t>
            </w:r>
          </w:p>
        </w:tc>
      </w:tr>
      <w:tr>
        <w:tc>
          <w:tcPr>
            <w:tcW w:type="dxa" w:w="2340"/>
            <w:vAlign w:val="center"/>
            <w:shd w:val="clear" w:color="auto" w:fill="EEF4FB"/>
          </w:tcPr>
          <w:p>
            <w:pPr>
              <w:spacing w:before="40" w:after="40"/>
              <w:jc w:val="left"/>
            </w:pPr>
            <w:r>
              <w:rPr>
                <w:rFonts w:ascii="Times New Roman" w:hAnsi="Times New Roman"/>
                <w:b/>
                <w:sz w:val="16"/>
              </w:rPr>
              <w:t>Biswas et al. [14]</w:t>
            </w:r>
          </w:p>
        </w:tc>
        <w:tc>
          <w:tcPr>
            <w:tcW w:type="dxa" w:w="2340"/>
            <w:vAlign w:val="center"/>
            <w:shd w:val="clear" w:color="auto" w:fill="EEF4FB"/>
          </w:tcPr>
          <w:p>
            <w:pPr>
              <w:spacing w:before="40" w:after="40"/>
              <w:jc w:val="center"/>
            </w:pPr>
            <w:r>
              <w:rPr>
                <w:rFonts w:ascii="Times New Roman" w:hAnsi="Times New Roman"/>
                <w:b w:val="0"/>
                <w:sz w:val="16"/>
              </w:rPr>
              <w:t>2023</w:t>
            </w:r>
          </w:p>
        </w:tc>
        <w:tc>
          <w:tcPr>
            <w:tcW w:type="dxa" w:w="2340"/>
            <w:vAlign w:val="center"/>
            <w:shd w:val="clear" w:color="auto" w:fill="EEF4FB"/>
          </w:tcPr>
          <w:p>
            <w:pPr>
              <w:spacing w:before="40" w:after="40"/>
              <w:jc w:val="center"/>
            </w:pPr>
            <w:r>
              <w:rPr>
                <w:rFonts w:ascii="Times New Roman" w:hAnsi="Times New Roman"/>
                <w:b w:val="0"/>
                <w:sz w:val="16"/>
              </w:rPr>
              <w:t>Ensemble: GB, RF, SVM, LR</w:t>
            </w:r>
          </w:p>
        </w:tc>
        <w:tc>
          <w:tcPr>
            <w:tcW w:type="dxa" w:w="2340"/>
            <w:vAlign w:val="center"/>
            <w:shd w:val="clear" w:color="auto" w:fill="EEF4FB"/>
          </w:tcPr>
          <w:p>
            <w:pPr>
              <w:spacing w:before="40" w:after="40"/>
              <w:jc w:val="center"/>
            </w:pPr>
            <w:r>
              <w:rPr>
                <w:rFonts w:ascii="Times New Roman" w:hAnsi="Times New Roman"/>
                <w:b w:val="0"/>
                <w:sz w:val="16"/>
              </w:rPr>
              <w:t>Multi-algorithm ensembles outperform individual classifiers</w:t>
            </w:r>
          </w:p>
        </w:tc>
      </w:tr>
      <w:tr>
        <w:tc>
          <w:tcPr>
            <w:tcW w:type="dxa" w:w="2340"/>
            <w:vAlign w:val="center"/>
            <w:shd w:val="clear" w:color="auto" w:fill="FFFFFF"/>
          </w:tcPr>
          <w:p>
            <w:pPr>
              <w:spacing w:before="40" w:after="40"/>
              <w:jc w:val="left"/>
            </w:pPr>
            <w:r>
              <w:rPr>
                <w:rFonts w:ascii="Times New Roman" w:hAnsi="Times New Roman"/>
                <w:b/>
                <w:sz w:val="16"/>
              </w:rPr>
              <w:t>Chowdhury et al. [15]</w:t>
            </w:r>
          </w:p>
        </w:tc>
        <w:tc>
          <w:tcPr>
            <w:tcW w:type="dxa" w:w="2340"/>
            <w:vAlign w:val="center"/>
            <w:shd w:val="clear" w:color="auto" w:fill="FFFFFF"/>
          </w:tcPr>
          <w:p>
            <w:pPr>
              <w:spacing w:before="40" w:after="40"/>
              <w:jc w:val="center"/>
            </w:pPr>
            <w:r>
              <w:rPr>
                <w:rFonts w:ascii="Times New Roman" w:hAnsi="Times New Roman"/>
                <w:b w:val="0"/>
                <w:sz w:val="16"/>
              </w:rPr>
              <w:t>2023</w:t>
            </w:r>
          </w:p>
        </w:tc>
        <w:tc>
          <w:tcPr>
            <w:tcW w:type="dxa" w:w="2340"/>
            <w:vAlign w:val="center"/>
            <w:shd w:val="clear" w:color="auto" w:fill="FFFFFF"/>
          </w:tcPr>
          <w:p>
            <w:pPr>
              <w:spacing w:before="40" w:after="40"/>
              <w:jc w:val="center"/>
            </w:pPr>
            <w:r>
              <w:rPr>
                <w:rFonts w:ascii="Times New Roman" w:hAnsi="Times New Roman"/>
                <w:b w:val="0"/>
                <w:sz w:val="16"/>
              </w:rPr>
              <w:t>ML + LIME interpretability</w:t>
            </w:r>
          </w:p>
        </w:tc>
        <w:tc>
          <w:tcPr>
            <w:tcW w:type="dxa" w:w="2340"/>
            <w:vAlign w:val="center"/>
            <w:shd w:val="clear" w:color="auto" w:fill="FFFFFF"/>
          </w:tcPr>
          <w:p>
            <w:pPr>
              <w:spacing w:before="40" w:after="40"/>
              <w:jc w:val="center"/>
            </w:pPr>
            <w:r>
              <w:rPr>
                <w:rFonts w:ascii="Times New Roman" w:hAnsi="Times New Roman"/>
                <w:b w:val="0"/>
                <w:sz w:val="16"/>
              </w:rPr>
              <w:t>Transparency via LIME builds HR manager trust in AI predictions</w:t>
            </w:r>
          </w:p>
        </w:tc>
      </w:tr>
      <w:tr>
        <w:tc>
          <w:tcPr>
            <w:tcW w:type="dxa" w:w="2340"/>
            <w:vAlign w:val="center"/>
            <w:shd w:val="clear" w:color="auto" w:fill="EEF4FB"/>
          </w:tcPr>
          <w:p>
            <w:pPr>
              <w:spacing w:before="40" w:after="40"/>
              <w:jc w:val="left"/>
            </w:pPr>
            <w:r>
              <w:rPr>
                <w:rFonts w:ascii="Times New Roman" w:hAnsi="Times New Roman"/>
                <w:b/>
                <w:sz w:val="16"/>
              </w:rPr>
              <w:t>Talebi et al. [7]</w:t>
            </w:r>
          </w:p>
        </w:tc>
        <w:tc>
          <w:tcPr>
            <w:tcW w:type="dxa" w:w="2340"/>
            <w:vAlign w:val="center"/>
            <w:shd w:val="clear" w:color="auto" w:fill="EEF4FB"/>
          </w:tcPr>
          <w:p>
            <w:pPr>
              <w:spacing w:before="40" w:after="40"/>
              <w:jc w:val="center"/>
            </w:pPr>
            <w:r>
              <w:rPr>
                <w:rFonts w:ascii="Times New Roman" w:hAnsi="Times New Roman"/>
                <w:b w:val="0"/>
                <w:sz w:val="16"/>
              </w:rPr>
              <w:t>2025</w:t>
            </w:r>
          </w:p>
        </w:tc>
        <w:tc>
          <w:tcPr>
            <w:tcW w:type="dxa" w:w="2340"/>
            <w:vAlign w:val="center"/>
            <w:shd w:val="clear" w:color="auto" w:fill="EEF4FB"/>
          </w:tcPr>
          <w:p>
            <w:pPr>
              <w:spacing w:before="40" w:after="40"/>
              <w:jc w:val="center"/>
            </w:pPr>
            <w:r>
              <w:rPr>
                <w:rFonts w:ascii="Times New Roman" w:hAnsi="Times New Roman"/>
                <w:b w:val="0"/>
                <w:sz w:val="16"/>
              </w:rPr>
              <w:t>GA + LightGBM (Base Paper)</w:t>
            </w:r>
          </w:p>
        </w:tc>
        <w:tc>
          <w:tcPr>
            <w:tcW w:type="dxa" w:w="2340"/>
            <w:vAlign w:val="center"/>
            <w:shd w:val="clear" w:color="auto" w:fill="EEF4FB"/>
          </w:tcPr>
          <w:p>
            <w:pPr>
              <w:spacing w:before="40" w:after="40"/>
              <w:jc w:val="center"/>
            </w:pPr>
            <w:r>
              <w:rPr>
                <w:rFonts w:ascii="Times New Roman" w:hAnsi="Times New Roman"/>
                <w:b w:val="0"/>
                <w:sz w:val="16"/>
              </w:rPr>
              <w:t>AUC=0.94, F1=0.87; our audit shows these reflect pre-split SMOTE leakage</w:t>
            </w:r>
          </w:p>
        </w:tc>
      </w:tr>
      <w:tr>
        <w:tc>
          <w:tcPr>
            <w:tcW w:type="dxa" w:w="2340"/>
            <w:vAlign w:val="center"/>
            <w:shd w:val="clear" w:color="auto" w:fill="FFFFFF"/>
          </w:tcPr>
          <w:p>
            <w:pPr>
              <w:spacing w:before="40" w:after="40"/>
              <w:jc w:val="left"/>
            </w:pPr>
            <w:r>
              <w:rPr>
                <w:rFonts w:ascii="Times New Roman" w:hAnsi="Times New Roman"/>
                <w:b/>
                <w:sz w:val="16"/>
              </w:rPr>
              <w:t>Veglio et al. [16]</w:t>
            </w:r>
          </w:p>
        </w:tc>
        <w:tc>
          <w:tcPr>
            <w:tcW w:type="dxa" w:w="2340"/>
            <w:vAlign w:val="center"/>
            <w:shd w:val="clear" w:color="auto" w:fill="FFFFFF"/>
          </w:tcPr>
          <w:p>
            <w:pPr>
              <w:spacing w:before="40" w:after="40"/>
              <w:jc w:val="center"/>
            </w:pPr>
            <w:r>
              <w:rPr>
                <w:rFonts w:ascii="Times New Roman" w:hAnsi="Times New Roman"/>
                <w:b w:val="0"/>
                <w:sz w:val="16"/>
              </w:rPr>
              <w:t>2025</w:t>
            </w:r>
          </w:p>
        </w:tc>
        <w:tc>
          <w:tcPr>
            <w:tcW w:type="dxa" w:w="2340"/>
            <w:vAlign w:val="center"/>
            <w:shd w:val="clear" w:color="auto" w:fill="FFFFFF"/>
          </w:tcPr>
          <w:p>
            <w:pPr>
              <w:spacing w:before="40" w:after="40"/>
              <w:jc w:val="center"/>
            </w:pPr>
            <w:r>
              <w:rPr>
                <w:rFonts w:ascii="Times New Roman" w:hAnsi="Times New Roman"/>
                <w:b w:val="0"/>
                <w:sz w:val="16"/>
              </w:rPr>
              <w:t>CHAID Classification Trees</w:t>
            </w:r>
          </w:p>
        </w:tc>
        <w:tc>
          <w:tcPr>
            <w:tcW w:type="dxa" w:w="2340"/>
            <w:vAlign w:val="center"/>
            <w:shd w:val="clear" w:color="auto" w:fill="FFFFFF"/>
          </w:tcPr>
          <w:p>
            <w:pPr>
              <w:spacing w:before="40" w:after="40"/>
              <w:jc w:val="center"/>
            </w:pPr>
            <w:r>
              <w:rPr>
                <w:rFonts w:ascii="Times New Roman" w:hAnsi="Times New Roman"/>
                <w:b w:val="0"/>
                <w:sz w:val="16"/>
              </w:rPr>
              <w:t>Job satisfaction, WLB, organizational commitment are primary predictors</w:t>
            </w:r>
          </w:p>
        </w:tc>
      </w:tr>
      <w:tr>
        <w:tc>
          <w:tcPr>
            <w:tcW w:type="dxa" w:w="2340"/>
            <w:vAlign w:val="center"/>
            <w:shd w:val="clear" w:color="auto" w:fill="EEF4FB"/>
          </w:tcPr>
          <w:p>
            <w:pPr>
              <w:spacing w:before="40" w:after="40"/>
              <w:jc w:val="left"/>
            </w:pPr>
            <w:r>
              <w:rPr>
                <w:rFonts w:ascii="Times New Roman" w:hAnsi="Times New Roman"/>
                <w:b/>
                <w:sz w:val="16"/>
              </w:rPr>
              <w:t>Park et al. [17]</w:t>
            </w:r>
          </w:p>
        </w:tc>
        <w:tc>
          <w:tcPr>
            <w:tcW w:type="dxa" w:w="2340"/>
            <w:vAlign w:val="center"/>
            <w:shd w:val="clear" w:color="auto" w:fill="EEF4FB"/>
          </w:tcPr>
          <w:p>
            <w:pPr>
              <w:spacing w:before="40" w:after="40"/>
              <w:jc w:val="center"/>
            </w:pPr>
            <w:r>
              <w:rPr>
                <w:rFonts w:ascii="Times New Roman" w:hAnsi="Times New Roman"/>
                <w:b w:val="0"/>
                <w:sz w:val="16"/>
              </w:rPr>
              <w:t>2024</w:t>
            </w:r>
          </w:p>
        </w:tc>
        <w:tc>
          <w:tcPr>
            <w:tcW w:type="dxa" w:w="2340"/>
            <w:vAlign w:val="center"/>
            <w:shd w:val="clear" w:color="auto" w:fill="EEF4FB"/>
          </w:tcPr>
          <w:p>
            <w:pPr>
              <w:spacing w:before="40" w:after="40"/>
              <w:jc w:val="center"/>
            </w:pPr>
            <w:r>
              <w:rPr>
                <w:rFonts w:ascii="Times New Roman" w:hAnsi="Times New Roman"/>
                <w:b w:val="0"/>
                <w:sz w:val="16"/>
              </w:rPr>
              <w:t>LR, KNN, XGBoost</w:t>
            </w:r>
          </w:p>
        </w:tc>
        <w:tc>
          <w:tcPr>
            <w:tcW w:type="dxa" w:w="2340"/>
            <w:vAlign w:val="center"/>
            <w:shd w:val="clear" w:color="auto" w:fill="EEF4FB"/>
          </w:tcPr>
          <w:p>
            <w:pPr>
              <w:spacing w:before="40" w:after="40"/>
              <w:jc w:val="center"/>
            </w:pPr>
            <w:r>
              <w:rPr>
                <w:rFonts w:ascii="Times New Roman" w:hAnsi="Times New Roman"/>
                <w:b w:val="0"/>
                <w:sz w:val="16"/>
              </w:rPr>
              <w:t>Job security is the dominant predictor for new employee turnover intention</w:t>
            </w:r>
          </w:p>
        </w:tc>
      </w:tr>
      <w:tr>
        <w:tc>
          <w:tcPr>
            <w:tcW w:type="dxa" w:w="2340"/>
            <w:vAlign w:val="center"/>
            <w:shd w:val="clear" w:color="auto" w:fill="FFFFFF"/>
          </w:tcPr>
          <w:p>
            <w:pPr>
              <w:spacing w:before="40" w:after="40"/>
              <w:jc w:val="left"/>
            </w:pPr>
            <w:r>
              <w:rPr>
                <w:rFonts w:ascii="Times New Roman" w:hAnsi="Times New Roman"/>
                <w:b/>
                <w:sz w:val="16"/>
              </w:rPr>
              <w:t>Bustillo [18]</w:t>
            </w:r>
          </w:p>
        </w:tc>
        <w:tc>
          <w:tcPr>
            <w:tcW w:type="dxa" w:w="2340"/>
            <w:vAlign w:val="center"/>
            <w:shd w:val="clear" w:color="auto" w:fill="FFFFFF"/>
          </w:tcPr>
          <w:p>
            <w:pPr>
              <w:spacing w:before="40" w:after="40"/>
              <w:jc w:val="center"/>
            </w:pPr>
            <w:r>
              <w:rPr>
                <w:rFonts w:ascii="Times New Roman" w:hAnsi="Times New Roman"/>
                <w:b w:val="0"/>
                <w:sz w:val="16"/>
              </w:rPr>
              <w:t>2025</w:t>
            </w:r>
          </w:p>
        </w:tc>
        <w:tc>
          <w:tcPr>
            <w:tcW w:type="dxa" w:w="2340"/>
            <w:vAlign w:val="center"/>
            <w:shd w:val="clear" w:color="auto" w:fill="FFFFFF"/>
          </w:tcPr>
          <w:p>
            <w:pPr>
              <w:spacing w:before="40" w:after="40"/>
              <w:jc w:val="center"/>
            </w:pPr>
            <w:r>
              <w:rPr>
                <w:rFonts w:ascii="Times New Roman" w:hAnsi="Times New Roman"/>
                <w:b w:val="0"/>
                <w:sz w:val="16"/>
              </w:rPr>
              <w:t>GA + KNN / Naive Bayes</w:t>
            </w:r>
          </w:p>
        </w:tc>
        <w:tc>
          <w:tcPr>
            <w:tcW w:type="dxa" w:w="2340"/>
            <w:vAlign w:val="center"/>
            <w:shd w:val="clear" w:color="auto" w:fill="FFFFFF"/>
          </w:tcPr>
          <w:p>
            <w:pPr>
              <w:spacing w:before="40" w:after="40"/>
              <w:jc w:val="center"/>
            </w:pPr>
            <w:r>
              <w:rPr>
                <w:rFonts w:ascii="Times New Roman" w:hAnsi="Times New Roman"/>
                <w:b w:val="0"/>
                <w:sz w:val="16"/>
              </w:rPr>
              <w:t>GA-optimized feature selection significantly improves prediction</w:t>
            </w:r>
          </w:p>
        </w:tc>
      </w:tr>
      <w:tr>
        <w:tc>
          <w:tcPr>
            <w:tcW w:type="dxa" w:w="2340"/>
            <w:vAlign w:val="center"/>
            <w:shd w:val="clear" w:color="auto" w:fill="EEF4FB"/>
          </w:tcPr>
          <w:p>
            <w:pPr>
              <w:spacing w:before="40" w:after="40"/>
              <w:jc w:val="left"/>
            </w:pPr>
            <w:r>
              <w:rPr>
                <w:rFonts w:ascii="Times New Roman" w:hAnsi="Times New Roman"/>
                <w:b/>
                <w:sz w:val="16"/>
              </w:rPr>
              <w:t>Shankar et al. [19]</w:t>
            </w:r>
          </w:p>
        </w:tc>
        <w:tc>
          <w:tcPr>
            <w:tcW w:type="dxa" w:w="2340"/>
            <w:vAlign w:val="center"/>
            <w:shd w:val="clear" w:color="auto" w:fill="EEF4FB"/>
          </w:tcPr>
          <w:p>
            <w:pPr>
              <w:spacing w:before="40" w:after="40"/>
              <w:jc w:val="center"/>
            </w:pPr>
            <w:r>
              <w:rPr>
                <w:rFonts w:ascii="Times New Roman" w:hAnsi="Times New Roman"/>
                <w:b w:val="0"/>
                <w:sz w:val="16"/>
              </w:rPr>
              <w:t>2024</w:t>
            </w:r>
          </w:p>
        </w:tc>
        <w:tc>
          <w:tcPr>
            <w:tcW w:type="dxa" w:w="2340"/>
            <w:vAlign w:val="center"/>
            <w:shd w:val="clear" w:color="auto" w:fill="EEF4FB"/>
          </w:tcPr>
          <w:p>
            <w:pPr>
              <w:spacing w:before="40" w:after="40"/>
              <w:jc w:val="center"/>
            </w:pPr>
            <w:r>
              <w:rPr>
                <w:rFonts w:ascii="Times New Roman" w:hAnsi="Times New Roman"/>
                <w:b w:val="0"/>
                <w:sz w:val="16"/>
              </w:rPr>
              <w:t>DT, RF, XGBoost on HRIS</w:t>
            </w:r>
          </w:p>
        </w:tc>
        <w:tc>
          <w:tcPr>
            <w:tcW w:type="dxa" w:w="2340"/>
            <w:vAlign w:val="center"/>
            <w:shd w:val="clear" w:color="auto" w:fill="EEF4FB"/>
          </w:tcPr>
          <w:p>
            <w:pPr>
              <w:spacing w:before="40" w:after="40"/>
              <w:jc w:val="center"/>
            </w:pPr>
            <w:r>
              <w:rPr>
                <w:rFonts w:ascii="Times New Roman" w:hAnsi="Times New Roman"/>
                <w:b w:val="0"/>
                <w:sz w:val="16"/>
              </w:rPr>
              <w:t>Data noise in HRIS databases must be addressed for accurate prediction</w:t>
            </w:r>
          </w:p>
        </w:tc>
      </w:tr>
    </w:tbl>
    <w:p/>
    <w:p>
      <w:pPr>
        <w:spacing w:before="0" w:after="120"/>
        <w:ind w:firstLine="280"/>
        <w:jc w:val="both"/>
      </w:pPr>
      <w:r>
        <w:rPr>
          <w:rFonts w:ascii="Times New Roman" w:hAnsi="Times New Roman"/>
          <w:b w:val="0"/>
          <w:sz w:val="20"/>
        </w:rPr>
        <w:t>Zhang et al. [8] employed logistic regression, k-nearest neighbors, and decision trees on telecommunications company data, demonstrating that tree-based models most effectively capture the complex dynamics of employee attrition. Alaskar et al. [9] applied feature selection with SVM and Random Forests, showing that feature reduction substantially improves predictive accuracy. Zhao et al. [10] extended the algorithmic space to include random forests, logistic regression, and neural networks, concluding that diverse feature incorporation including job satisfaction and performance reviews significantly improves predictions.</w:t>
      </w:r>
    </w:p>
    <w:p>
      <w:pPr>
        <w:spacing w:before="0" w:after="120"/>
        <w:ind w:firstLine="280"/>
        <w:jc w:val="both"/>
      </w:pPr>
      <w:r>
        <w:rPr>
          <w:rFonts w:ascii="Times New Roman" w:hAnsi="Times New Roman"/>
          <w:b w:val="0"/>
          <w:sz w:val="20"/>
        </w:rPr>
        <w:t>The most directly related work is the base paper by Talebi et al. [7], which proposes a hybrid Genetic Algorithm (GA) + LightGBM framework. The GA component performs binary-chromosome feature selection, evolving a population of 50 individuals over 100 generations with roulette wheel selection (probability proportional to fitness), uniform crossover (rate 0.8), and bit-flip mutation (rate 0.1), using 10-fold cross-validated F1-score as the fitness function. After GA selects 14 features from the HR Analytics dataset and 11 from an organizational dataset, LightGBM with leaf-wise growth strategy (num_leaves=31, max_depth=10, learning_rate=0.1) is trained. The reported AUC = 0.94 and F1 = 0.87 are our primary comparison targets.</w:t>
      </w:r>
    </w:p>
    <w:p>
      <w:pPr>
        <w:spacing w:before="0" w:after="120"/>
        <w:ind w:firstLine="280"/>
        <w:jc w:val="both"/>
      </w:pPr>
      <w:r>
        <w:rPr>
          <w:rFonts w:ascii="Times New Roman" w:hAnsi="Times New Roman"/>
          <w:b w:val="0"/>
          <w:sz w:val="20"/>
        </w:rPr>
        <w:t>Despite the richness of the existing literature, two critical methodological gaps persist: (1) all published approaches apply a single classifier uniformly to all employee profiles without confidence-based routing of hard cases, and (2) evaluation is frequently conducted under pre-split oversampling conditions that overestimate real-world performance. The proposed framework is specifically designed to address both gaps through selective classification with specialist routing and strictly anti-leakage experimental protocols.</w:t>
      </w:r>
    </w:p>
    <w:p>
      <w:pPr>
        <w:spacing w:before="240" w:after="120"/>
        <w:jc w:val="center"/>
      </w:pPr>
      <w:r>
        <w:rPr>
          <w:rFonts w:ascii="Times New Roman" w:hAnsi="Times New Roman"/>
          <w:b/>
          <w:sz w:val="20"/>
        </w:rPr>
        <w:t>III. RESEARCH GAP AND MOTIVATION</w:t>
      </w:r>
    </w:p>
    <w:p>
      <w:pPr>
        <w:spacing w:before="0" w:after="120"/>
        <w:ind w:firstLine="280"/>
        <w:jc w:val="both"/>
      </w:pPr>
      <w:r>
        <w:rPr>
          <w:rFonts w:ascii="Times New Roman" w:hAnsi="Times New Roman"/>
          <w:b w:val="0"/>
          <w:sz w:val="20"/>
        </w:rPr>
        <w:t>Analysis of the existing employee turnover prediction literature reveals four fundamental research gaps that motivate the proposed framework.</w:t>
      </w:r>
    </w:p>
    <w:p>
      <w:pPr>
        <w:spacing w:before="0" w:after="120"/>
        <w:jc w:val="both"/>
      </w:pPr>
      <w:r>
        <w:rPr>
          <w:rFonts w:ascii="Times New Roman" w:hAnsi="Times New Roman"/>
          <w:b w:val="0"/>
          <w:sz w:val="20"/>
        </w:rPr>
        <w:t>Gap 1 — Uniform Classification Assumption: All published approaches apply a single classifier uniformly to all employee profiles, implicitly assuming that the same model with the same feature representation is equally capable of classifying employees with clear attrition signals and employees with ambiguous or contradictory profiles. Selective classification theory [5] establishes that allowing a model to delegate uncertain predictions to a specialist systematically improves overall classification quality. Our experimental results confirm that 5 additional true positive leavers are recovered by routing boundary-zone profiles to the K=37 specialist (FN: 24 to 19) relative to the generalist-only K=33 anchor.</w:t>
      </w:r>
    </w:p>
    <w:p>
      <w:pPr>
        <w:spacing w:before="0" w:after="120"/>
        <w:jc w:val="both"/>
      </w:pPr>
      <w:r>
        <w:rPr>
          <w:rFonts w:ascii="Times New Roman" w:hAnsi="Times New Roman"/>
          <w:b w:val="0"/>
          <w:sz w:val="20"/>
        </w:rPr>
        <w:t>Gap 2 — Methodological Leakage in Published Benchmarks: Our forensic audit demonstrates that applying SMOTE globally before train/test splitting (Protocol 3) artificially inflates F1-score from 44.76% to 94.58% on the same LightGBM architecture—an artificial gain of +49.82 percentage points from synthetic cross-contamination. The widely cited benchmark of AUC = 0.94, F1 = 0.87 from Talebi et al. [7] is formally classified as BENCHMARK_NOT_COMPARABLE under anti-leakage evaluation standards.</w:t>
      </w:r>
    </w:p>
    <w:p>
      <w:pPr>
        <w:spacing w:before="0" w:after="120"/>
        <w:jc w:val="both"/>
      </w:pPr>
      <w:r>
        <w:rPr>
          <w:rFonts w:ascii="Times New Roman" w:hAnsi="Times New Roman"/>
          <w:b w:val="0"/>
          <w:sz w:val="20"/>
        </w:rPr>
        <w:t>Gap 3 — Static Feature Representation: Existing approaches employ a fixed feature set for all predictions. However, the features most discriminative for clear cases may differ from those informative for boundary cases. A two-stage architecture with stage-specific feature representations (K=33 Anchor, K=37 Specialist) is structurally better aligned with the heterogeneous nature of employee attrition profiles.</w:t>
      </w:r>
    </w:p>
    <w:p>
      <w:pPr>
        <w:spacing w:before="0" w:after="120"/>
        <w:jc w:val="both"/>
      </w:pPr>
      <w:r>
        <w:rPr>
          <w:rFonts w:ascii="Times New Roman" w:hAnsi="Times New Roman"/>
          <w:b w:val="0"/>
          <w:sz w:val="20"/>
        </w:rPr>
        <w:t>Gap 4 — Arbitrary Decision Thresholds: Fixed τ = 0.500 thresholds systematically bias predictions toward the majority class under the 5.185:1 class imbalance present in our dataset (16.17% turnover rate). Empirically calibrated thresholds derived from out-of-fold probability distributions provide substantially better class boundary alignment. Our ultra-dense 751-point search identifies τ = 0.4850 as the Pareto-optimal operating point subject to Precision &gt;= 0.85 and Recall &gt;= 0.75 constraints.</w:t>
      </w:r>
    </w:p>
    <w:p>
      <w:pPr>
        <w:spacing w:before="240" w:after="120"/>
        <w:jc w:val="center"/>
      </w:pPr>
      <w:r>
        <w:rPr>
          <w:rFonts w:ascii="Times New Roman" w:hAnsi="Times New Roman"/>
          <w:b/>
          <w:sz w:val="20"/>
        </w:rPr>
        <w:t>IV. PROPOSED METHODOLOGY</w:t>
      </w:r>
    </w:p>
    <w:p>
      <w:pPr>
        <w:spacing w:before="160" w:after="80"/>
        <w:jc w:val="left"/>
      </w:pPr>
      <w:r>
        <w:rPr>
          <w:rFonts w:ascii="Times New Roman" w:hAnsi="Times New Roman"/>
          <w:b/>
          <w:i/>
          <w:sz w:val="20"/>
        </w:rPr>
        <w:t>A. Overall Framework Architecture</w:t>
      </w:r>
    </w:p>
    <w:p>
      <w:pPr>
        <w:spacing w:before="0" w:after="120"/>
        <w:ind w:firstLine="280"/>
        <w:jc w:val="both"/>
      </w:pPr>
      <w:r>
        <w:rPr>
          <w:rFonts w:ascii="Times New Roman" w:hAnsi="Times New Roman"/>
          <w:b w:val="0"/>
          <w:sz w:val="20"/>
        </w:rPr>
        <w:t>The proposed Two-Stage Selective Classification Framework implements a confidence-based routing architecture consisting of two cooperating CatBoost classifiers with complementary feature representations and optimization objectives. The overall workflow is:</w:t>
      </w:r>
    </w:p>
    <w:p>
      <w:pPr>
        <w:spacing w:before="80" w:after="80"/>
        <w:ind w:left="360" w:right="360"/>
        <w:jc w:val="center"/>
      </w:pPr>
      <w:r>
        <w:rPr>
          <w:rFonts w:ascii="Times New Roman" w:hAnsi="Times New Roman"/>
          <w:i/>
          <w:sz w:val="20"/>
        </w:rPr>
        <w:t>Employee Data -&gt; Feature Engineering -&gt; K=33 CatBoost Anchor -&gt; Confidence Check -&gt; [High Confidence: Anchor Prediction] | [Uncertain/Boundary: K=37 CatBoost Specialist] -&gt; Final Prediction (tau=0.4850) -&gt; SHAP Interpretation</w:t>
      </w:r>
    </w:p>
    <w:p>
      <w:pPr>
        <w:spacing w:before="0" w:after="120"/>
        <w:ind w:firstLine="280"/>
        <w:jc w:val="both"/>
      </w:pPr>
      <w:r>
        <w:rPr>
          <w:rFonts w:ascii="Times New Roman" w:hAnsi="Times New Roman"/>
          <w:b w:val="0"/>
          <w:sz w:val="20"/>
        </w:rPr>
        <w:t>The fundamental design principle is that a hard-case specialist trained on an augmented feature representation with specialist-oriented cost-sensitive optimization systematically recovers minority-class instances that the general-purpose anchor model classifies with low confidence. Rather than forcing all profiles through a single decision boundary, the routing gate creates two distinct classification regimes: a precision-first regime for high-confidence profiles and a recall-augmented regime for boundary cases.</w:t>
      </w:r>
    </w:p>
    <w:p>
      <w:pPr>
        <w:spacing w:before="160" w:after="80"/>
        <w:jc w:val="left"/>
      </w:pPr>
      <w:r>
        <w:rPr>
          <w:rFonts w:ascii="Times New Roman" w:hAnsi="Times New Roman"/>
          <w:b/>
          <w:i/>
          <w:sz w:val="20"/>
        </w:rPr>
        <w:t>B. Dataset and Data Preparation</w:t>
      </w:r>
    </w:p>
    <w:p>
      <w:pPr>
        <w:spacing w:before="0" w:after="120"/>
        <w:ind w:firstLine="280"/>
        <w:jc w:val="both"/>
      </w:pPr>
      <w:r>
        <w:rPr>
          <w:rFonts w:ascii="Times New Roman" w:hAnsi="Times New Roman"/>
          <w:b w:val="0"/>
          <w:sz w:val="20"/>
        </w:rPr>
        <w:t>The experimental dataset comprises 2,969 unique employee profile records consolidated from two operational sub-partitions: Dataset_A (N=1,496, 50.39%) and Dataset_B (N=1,473, 49.61%), with zero exact duplicate rows verified by full-row deduplication. The binary target variable Attrition exhibits moderate class imbalance: Class 0 (Retained) = 2,489 employees (83.83%) and Class 1 (Turnover / Yes) = 480 employees (16.17%), yielding an imbalance ratio of approximately 5.185:1. The class prevalence (16.17%) represents realistic enterprise voluntary turnover rates and precludes the use of balanced-accuracy metrics as primary objectives.</w:t>
      </w:r>
    </w:p>
    <w:p>
      <w:pPr>
        <w:spacing w:before="0" w:after="120"/>
        <w:ind w:firstLine="280"/>
        <w:jc w:val="both"/>
      </w:pPr>
      <w:r>
        <w:rPr>
          <w:rFonts w:ascii="Times New Roman" w:hAnsi="Times New Roman"/>
          <w:b w:val="0"/>
          <w:sz w:val="20"/>
        </w:rPr>
        <w:t>Three critical data hygiene operations were applied prior to modeling. First, a 10x MonthlyIncome scaling discrepancy between Dataset_A (mean = $64,966) and Dataset_B (mean = $6,500) was corrected by dividing Dataset_A salaries by 10.0, aligning both cohorts into an identical distribution (mean ~$6,498, range $1,009-$19,999). Second, seven records containing the malformed BusinessTravel value 'TravelRarely' were standardized to 'Travel_Rarely'. Third, identifier attributes (EmpID, EmployeeID, EmployeeNumber), zero-variance constants (EmployeeCount=1, Over18='Y', StandardHours=80), and redundant label duplicates were removed to eliminate all possible leakage artifacts.</w:t>
      </w:r>
    </w:p>
    <w:p>
      <w:pPr>
        <w:spacing w:before="80" w:after="120"/>
        <w:jc w:val="center"/>
      </w:pPr>
      <w:r>
        <w:rPr>
          <w:rFonts w:ascii="Times New Roman" w:hAnsi="Times New Roman"/>
          <w:b/>
          <w:sz w:val="18"/>
        </w:rPr>
        <w:t xml:space="preserve">TABLE 2. </w:t>
      </w:r>
      <w:r>
        <w:rPr>
          <w:rFonts w:ascii="Times New Roman" w:hAnsi="Times New Roman"/>
          <w:b/>
          <w:sz w:val="18"/>
        </w:rPr>
        <w:t>DATASET PARTITION AND MODEL CONFIGURATION PARAMETERS</w:t>
      </w:r>
    </w:p>
    <w:tbl>
      <w:tblPr>
        <w:tblStyle w:val="TableGrid"/>
        <w:tblW w:type="auto" w:w="0"/>
        <w:jc w:val="center"/>
        <w:tblLook w:firstColumn="1" w:firstRow="1" w:lastColumn="0" w:lastRow="0" w:noHBand="0" w:noVBand="1" w:val="04A0"/>
      </w:tblPr>
      <w:tblGrid>
        <w:gridCol w:w="4680"/>
        <w:gridCol w:w="4680"/>
      </w:tblGrid>
      <w:tr>
        <w:tc>
          <w:tcPr>
            <w:tcW w:type="dxa" w:w="4680"/>
            <w:vAlign w:val="center"/>
            <w:shd w:val="clear" w:color="auto" w:fill="2E5FA3"/>
          </w:tcPr>
          <w:p>
            <w:pPr>
              <w:spacing w:before="40" w:after="40"/>
              <w:jc w:val="center"/>
            </w:pPr>
            <w:r>
              <w:rPr>
                <w:rFonts w:ascii="Times New Roman" w:hAnsi="Times New Roman"/>
                <w:b/>
                <w:color w:val="FFFFFF"/>
                <w:sz w:val="16"/>
              </w:rPr>
              <w:t>Parameter</w:t>
            </w:r>
          </w:p>
        </w:tc>
        <w:tc>
          <w:tcPr>
            <w:tcW w:type="dxa" w:w="4680"/>
            <w:vAlign w:val="center"/>
            <w:shd w:val="clear" w:color="auto" w:fill="2E5FA3"/>
          </w:tcPr>
          <w:p>
            <w:pPr>
              <w:spacing w:before="40" w:after="40"/>
              <w:jc w:val="center"/>
            </w:pPr>
            <w:r>
              <w:rPr>
                <w:rFonts w:ascii="Times New Roman" w:hAnsi="Times New Roman"/>
                <w:b/>
                <w:color w:val="FFFFFF"/>
                <w:sz w:val="16"/>
              </w:rPr>
              <w:t>Value / Description</w:t>
            </w:r>
          </w:p>
        </w:tc>
      </w:tr>
      <w:tr>
        <w:tc>
          <w:tcPr>
            <w:tcW w:type="dxa" w:w="4680"/>
            <w:vAlign w:val="center"/>
            <w:shd w:val="clear" w:color="auto" w:fill="EEF4FB"/>
          </w:tcPr>
          <w:p>
            <w:pPr>
              <w:spacing w:before="40" w:after="40"/>
              <w:jc w:val="left"/>
            </w:pPr>
            <w:r>
              <w:rPr>
                <w:rFonts w:ascii="Times New Roman" w:hAnsi="Times New Roman"/>
                <w:b/>
                <w:sz w:val="16"/>
              </w:rPr>
              <w:t>Total Dataset Size</w:t>
            </w:r>
          </w:p>
        </w:tc>
        <w:tc>
          <w:tcPr>
            <w:tcW w:type="dxa" w:w="4680"/>
            <w:vAlign w:val="center"/>
            <w:shd w:val="clear" w:color="auto" w:fill="EEF4FB"/>
          </w:tcPr>
          <w:p>
            <w:pPr>
              <w:spacing w:before="40" w:after="40"/>
              <w:jc w:val="center"/>
            </w:pPr>
            <w:r>
              <w:rPr>
                <w:rFonts w:ascii="Times New Roman" w:hAnsi="Times New Roman"/>
                <w:b w:val="0"/>
                <w:sz w:val="16"/>
              </w:rPr>
              <w:t>2,969 unique employee profiles</w:t>
            </w:r>
          </w:p>
        </w:tc>
      </w:tr>
      <w:tr>
        <w:tc>
          <w:tcPr>
            <w:tcW w:type="dxa" w:w="4680"/>
            <w:vAlign w:val="center"/>
            <w:shd w:val="clear" w:color="auto" w:fill="FFFFFF"/>
          </w:tcPr>
          <w:p>
            <w:pPr>
              <w:spacing w:before="40" w:after="40"/>
              <w:jc w:val="left"/>
            </w:pPr>
            <w:r>
              <w:rPr>
                <w:rFonts w:ascii="Times New Roman" w:hAnsi="Times New Roman"/>
                <w:b/>
                <w:sz w:val="16"/>
              </w:rPr>
              <w:t>Dataset_A</w:t>
            </w:r>
          </w:p>
        </w:tc>
        <w:tc>
          <w:tcPr>
            <w:tcW w:type="dxa" w:w="4680"/>
            <w:vAlign w:val="center"/>
            <w:shd w:val="clear" w:color="auto" w:fill="FFFFFF"/>
          </w:tcPr>
          <w:p>
            <w:pPr>
              <w:spacing w:before="40" w:after="40"/>
              <w:jc w:val="center"/>
            </w:pPr>
            <w:r>
              <w:rPr>
                <w:rFonts w:ascii="Times New Roman" w:hAnsi="Times New Roman"/>
                <w:b w:val="0"/>
                <w:sz w:val="16"/>
              </w:rPr>
              <w:t>1,496 profiles (50.39%)</w:t>
            </w:r>
          </w:p>
        </w:tc>
      </w:tr>
      <w:tr>
        <w:tc>
          <w:tcPr>
            <w:tcW w:type="dxa" w:w="4680"/>
            <w:vAlign w:val="center"/>
            <w:shd w:val="clear" w:color="auto" w:fill="EEF4FB"/>
          </w:tcPr>
          <w:p>
            <w:pPr>
              <w:spacing w:before="40" w:after="40"/>
              <w:jc w:val="left"/>
            </w:pPr>
            <w:r>
              <w:rPr>
                <w:rFonts w:ascii="Times New Roman" w:hAnsi="Times New Roman"/>
                <w:b/>
                <w:sz w:val="16"/>
              </w:rPr>
              <w:t>Dataset_B</w:t>
            </w:r>
          </w:p>
        </w:tc>
        <w:tc>
          <w:tcPr>
            <w:tcW w:type="dxa" w:w="4680"/>
            <w:vAlign w:val="center"/>
            <w:shd w:val="clear" w:color="auto" w:fill="EEF4FB"/>
          </w:tcPr>
          <w:p>
            <w:pPr>
              <w:spacing w:before="40" w:after="40"/>
              <w:jc w:val="center"/>
            </w:pPr>
            <w:r>
              <w:rPr>
                <w:rFonts w:ascii="Times New Roman" w:hAnsi="Times New Roman"/>
                <w:b w:val="0"/>
                <w:sz w:val="16"/>
              </w:rPr>
              <w:t>1,473 profiles (49.61%)</w:t>
            </w:r>
          </w:p>
        </w:tc>
      </w:tr>
      <w:tr>
        <w:tc>
          <w:tcPr>
            <w:tcW w:type="dxa" w:w="4680"/>
            <w:vAlign w:val="center"/>
            <w:shd w:val="clear" w:color="auto" w:fill="FFFFFF"/>
          </w:tcPr>
          <w:p>
            <w:pPr>
              <w:spacing w:before="40" w:after="40"/>
              <w:jc w:val="left"/>
            </w:pPr>
            <w:r>
              <w:rPr>
                <w:rFonts w:ascii="Times New Roman" w:hAnsi="Times New Roman"/>
                <w:b/>
                <w:sz w:val="16"/>
              </w:rPr>
              <w:t>Exact Duplicate Rows</w:t>
            </w:r>
          </w:p>
        </w:tc>
        <w:tc>
          <w:tcPr>
            <w:tcW w:type="dxa" w:w="4680"/>
            <w:vAlign w:val="center"/>
            <w:shd w:val="clear" w:color="auto" w:fill="FFFFFF"/>
          </w:tcPr>
          <w:p>
            <w:pPr>
              <w:spacing w:before="40" w:after="40"/>
              <w:jc w:val="center"/>
            </w:pPr>
            <w:r>
              <w:rPr>
                <w:rFonts w:ascii="Times New Roman" w:hAnsi="Times New Roman"/>
                <w:b w:val="0"/>
                <w:sz w:val="16"/>
              </w:rPr>
              <w:t>0 (verified)</w:t>
            </w:r>
          </w:p>
        </w:tc>
      </w:tr>
      <w:tr>
        <w:tc>
          <w:tcPr>
            <w:tcW w:type="dxa" w:w="4680"/>
            <w:vAlign w:val="center"/>
            <w:shd w:val="clear" w:color="auto" w:fill="EEF4FB"/>
          </w:tcPr>
          <w:p>
            <w:pPr>
              <w:spacing w:before="40" w:after="40"/>
              <w:jc w:val="left"/>
            </w:pPr>
            <w:r>
              <w:rPr>
                <w:rFonts w:ascii="Times New Roman" w:hAnsi="Times New Roman"/>
                <w:b/>
                <w:sz w:val="16"/>
              </w:rPr>
              <w:t>Class 0 (Retained)</w:t>
            </w:r>
          </w:p>
        </w:tc>
        <w:tc>
          <w:tcPr>
            <w:tcW w:type="dxa" w:w="4680"/>
            <w:vAlign w:val="center"/>
            <w:shd w:val="clear" w:color="auto" w:fill="EEF4FB"/>
          </w:tcPr>
          <w:p>
            <w:pPr>
              <w:spacing w:before="40" w:after="40"/>
              <w:jc w:val="center"/>
            </w:pPr>
            <w:r>
              <w:rPr>
                <w:rFonts w:ascii="Times New Roman" w:hAnsi="Times New Roman"/>
                <w:b w:val="0"/>
                <w:sz w:val="16"/>
              </w:rPr>
              <w:t>2,489 employees (83.83%)</w:t>
            </w:r>
          </w:p>
        </w:tc>
      </w:tr>
      <w:tr>
        <w:tc>
          <w:tcPr>
            <w:tcW w:type="dxa" w:w="4680"/>
            <w:vAlign w:val="center"/>
            <w:shd w:val="clear" w:color="auto" w:fill="FFFFFF"/>
          </w:tcPr>
          <w:p>
            <w:pPr>
              <w:spacing w:before="40" w:after="40"/>
              <w:jc w:val="left"/>
            </w:pPr>
            <w:r>
              <w:rPr>
                <w:rFonts w:ascii="Times New Roman" w:hAnsi="Times New Roman"/>
                <w:b/>
                <w:sz w:val="16"/>
              </w:rPr>
              <w:t>Class 1 (Turnover)</w:t>
            </w:r>
          </w:p>
        </w:tc>
        <w:tc>
          <w:tcPr>
            <w:tcW w:type="dxa" w:w="4680"/>
            <w:vAlign w:val="center"/>
            <w:shd w:val="clear" w:color="auto" w:fill="FFFFFF"/>
          </w:tcPr>
          <w:p>
            <w:pPr>
              <w:spacing w:before="40" w:after="40"/>
              <w:jc w:val="center"/>
            </w:pPr>
            <w:r>
              <w:rPr>
                <w:rFonts w:ascii="Times New Roman" w:hAnsi="Times New Roman"/>
                <w:b w:val="0"/>
                <w:sz w:val="16"/>
              </w:rPr>
              <w:t>480 employees (16.17%)</w:t>
            </w:r>
          </w:p>
        </w:tc>
      </w:tr>
      <w:tr>
        <w:tc>
          <w:tcPr>
            <w:tcW w:type="dxa" w:w="4680"/>
            <w:vAlign w:val="center"/>
            <w:shd w:val="clear" w:color="auto" w:fill="EEF4FB"/>
          </w:tcPr>
          <w:p>
            <w:pPr>
              <w:spacing w:before="40" w:after="40"/>
              <w:jc w:val="left"/>
            </w:pPr>
            <w:r>
              <w:rPr>
                <w:rFonts w:ascii="Times New Roman" w:hAnsi="Times New Roman"/>
                <w:b/>
                <w:sz w:val="16"/>
              </w:rPr>
              <w:t>Class Imbalance Ratio</w:t>
            </w:r>
          </w:p>
        </w:tc>
        <w:tc>
          <w:tcPr>
            <w:tcW w:type="dxa" w:w="4680"/>
            <w:vAlign w:val="center"/>
            <w:shd w:val="clear" w:color="auto" w:fill="EEF4FB"/>
          </w:tcPr>
          <w:p>
            <w:pPr>
              <w:spacing w:before="40" w:after="40"/>
              <w:jc w:val="center"/>
            </w:pPr>
            <w:r>
              <w:rPr>
                <w:rFonts w:ascii="Times New Roman" w:hAnsi="Times New Roman"/>
                <w:b w:val="0"/>
                <w:sz w:val="16"/>
              </w:rPr>
              <w:t>5.185:1</w:t>
            </w:r>
          </w:p>
        </w:tc>
      </w:tr>
      <w:tr>
        <w:tc>
          <w:tcPr>
            <w:tcW w:type="dxa" w:w="4680"/>
            <w:vAlign w:val="center"/>
            <w:shd w:val="clear" w:color="auto" w:fill="FFFFFF"/>
          </w:tcPr>
          <w:p>
            <w:pPr>
              <w:spacing w:before="40" w:after="40"/>
              <w:jc w:val="left"/>
            </w:pPr>
            <w:r>
              <w:rPr>
                <w:rFonts w:ascii="Times New Roman" w:hAnsi="Times New Roman"/>
                <w:b/>
                <w:sz w:val="16"/>
              </w:rPr>
              <w:t>Development Set (80%)</w:t>
            </w:r>
          </w:p>
        </w:tc>
        <w:tc>
          <w:tcPr>
            <w:tcW w:type="dxa" w:w="4680"/>
            <w:vAlign w:val="center"/>
            <w:shd w:val="clear" w:color="auto" w:fill="FFFFFF"/>
          </w:tcPr>
          <w:p>
            <w:pPr>
              <w:spacing w:before="40" w:after="40"/>
              <w:jc w:val="center"/>
            </w:pPr>
            <w:r>
              <w:rPr>
                <w:rFonts w:ascii="Times New Roman" w:hAnsi="Times New Roman"/>
                <w:b w:val="0"/>
                <w:sz w:val="16"/>
              </w:rPr>
              <w:t>2,375 profiles (random_state=42, stratified)</w:t>
            </w:r>
          </w:p>
        </w:tc>
      </w:tr>
      <w:tr>
        <w:tc>
          <w:tcPr>
            <w:tcW w:type="dxa" w:w="4680"/>
            <w:vAlign w:val="center"/>
            <w:shd w:val="clear" w:color="auto" w:fill="EEF4FB"/>
          </w:tcPr>
          <w:p>
            <w:pPr>
              <w:spacing w:before="40" w:after="40"/>
              <w:jc w:val="left"/>
            </w:pPr>
            <w:r>
              <w:rPr>
                <w:rFonts w:ascii="Times New Roman" w:hAnsi="Times New Roman"/>
                <w:b/>
                <w:sz w:val="16"/>
              </w:rPr>
              <w:t>Locked Holdout (20%)</w:t>
            </w:r>
          </w:p>
        </w:tc>
        <w:tc>
          <w:tcPr>
            <w:tcW w:type="dxa" w:w="4680"/>
            <w:vAlign w:val="center"/>
            <w:shd w:val="clear" w:color="auto" w:fill="EEF4FB"/>
          </w:tcPr>
          <w:p>
            <w:pPr>
              <w:spacing w:before="40" w:after="40"/>
              <w:jc w:val="center"/>
            </w:pPr>
            <w:r>
              <w:rPr>
                <w:rFonts w:ascii="Times New Roman" w:hAnsi="Times New Roman"/>
                <w:b w:val="0"/>
                <w:sz w:val="16"/>
              </w:rPr>
              <w:t>594 profiles (cryptographically sealed)</w:t>
            </w:r>
          </w:p>
        </w:tc>
      </w:tr>
      <w:tr>
        <w:tc>
          <w:tcPr>
            <w:tcW w:type="dxa" w:w="4680"/>
            <w:vAlign w:val="center"/>
            <w:shd w:val="clear" w:color="auto" w:fill="FFFFFF"/>
          </w:tcPr>
          <w:p>
            <w:pPr>
              <w:spacing w:before="40" w:after="40"/>
              <w:jc w:val="left"/>
            </w:pPr>
            <w:r>
              <w:rPr>
                <w:rFonts w:ascii="Times New Roman" w:hAnsi="Times New Roman"/>
                <w:b/>
                <w:sz w:val="16"/>
              </w:rPr>
              <w:t>Holdout Class Distribution</w:t>
            </w:r>
          </w:p>
        </w:tc>
        <w:tc>
          <w:tcPr>
            <w:tcW w:type="dxa" w:w="4680"/>
            <w:vAlign w:val="center"/>
            <w:shd w:val="clear" w:color="auto" w:fill="FFFFFF"/>
          </w:tcPr>
          <w:p>
            <w:pPr>
              <w:spacing w:before="40" w:after="40"/>
              <w:jc w:val="center"/>
            </w:pPr>
            <w:r>
              <w:rPr>
                <w:rFonts w:ascii="Times New Roman" w:hAnsi="Times New Roman"/>
                <w:b w:val="0"/>
                <w:sz w:val="16"/>
              </w:rPr>
              <w:t>498 Retained (83.84%) + 96 Turnover (16.16%)</w:t>
            </w:r>
          </w:p>
        </w:tc>
      </w:tr>
      <w:tr>
        <w:tc>
          <w:tcPr>
            <w:tcW w:type="dxa" w:w="4680"/>
            <w:vAlign w:val="center"/>
            <w:shd w:val="clear" w:color="auto" w:fill="EEF4FB"/>
          </w:tcPr>
          <w:p>
            <w:pPr>
              <w:spacing w:before="40" w:after="40"/>
              <w:jc w:val="left"/>
            </w:pPr>
            <w:r>
              <w:rPr>
                <w:rFonts w:ascii="Times New Roman" w:hAnsi="Times New Roman"/>
                <w:b/>
                <w:sz w:val="16"/>
              </w:rPr>
              <w:t>Anchor Feature Set (K)</w:t>
            </w:r>
          </w:p>
        </w:tc>
        <w:tc>
          <w:tcPr>
            <w:tcW w:type="dxa" w:w="4680"/>
            <w:vAlign w:val="center"/>
            <w:shd w:val="clear" w:color="auto" w:fill="EEF4FB"/>
          </w:tcPr>
          <w:p>
            <w:pPr>
              <w:spacing w:before="40" w:after="40"/>
              <w:jc w:val="center"/>
            </w:pPr>
            <w:r>
              <w:rPr>
                <w:rFonts w:ascii="Times New Roman" w:hAnsi="Times New Roman"/>
                <w:b w:val="0"/>
                <w:sz w:val="16"/>
              </w:rPr>
              <w:t>K = 33 stability-selected features</w:t>
            </w:r>
          </w:p>
        </w:tc>
      </w:tr>
      <w:tr>
        <w:tc>
          <w:tcPr>
            <w:tcW w:type="dxa" w:w="4680"/>
            <w:vAlign w:val="center"/>
            <w:shd w:val="clear" w:color="auto" w:fill="FFFFFF"/>
          </w:tcPr>
          <w:p>
            <w:pPr>
              <w:spacing w:before="40" w:after="40"/>
              <w:jc w:val="left"/>
            </w:pPr>
            <w:r>
              <w:rPr>
                <w:rFonts w:ascii="Times New Roman" w:hAnsi="Times New Roman"/>
                <w:b/>
                <w:sz w:val="16"/>
              </w:rPr>
              <w:t>Specialist Feature Set (K)</w:t>
            </w:r>
          </w:p>
        </w:tc>
        <w:tc>
          <w:tcPr>
            <w:tcW w:type="dxa" w:w="4680"/>
            <w:vAlign w:val="center"/>
            <w:shd w:val="clear" w:color="auto" w:fill="FFFFFF"/>
          </w:tcPr>
          <w:p>
            <w:pPr>
              <w:spacing w:before="40" w:after="40"/>
              <w:jc w:val="center"/>
            </w:pPr>
            <w:r>
              <w:rPr>
                <w:rFonts w:ascii="Times New Roman" w:hAnsi="Times New Roman"/>
                <w:b w:val="0"/>
                <w:sz w:val="16"/>
              </w:rPr>
              <w:t>K = 37 features (K=33 + 4 structural interactions)</w:t>
            </w:r>
          </w:p>
        </w:tc>
      </w:tr>
      <w:tr>
        <w:tc>
          <w:tcPr>
            <w:tcW w:type="dxa" w:w="4680"/>
            <w:vAlign w:val="center"/>
            <w:shd w:val="clear" w:color="auto" w:fill="EEF4FB"/>
          </w:tcPr>
          <w:p>
            <w:pPr>
              <w:spacing w:before="40" w:after="40"/>
              <w:jc w:val="left"/>
            </w:pPr>
            <w:r>
              <w:rPr>
                <w:rFonts w:ascii="Times New Roman" w:hAnsi="Times New Roman"/>
                <w:b/>
                <w:sz w:val="16"/>
              </w:rPr>
              <w:t>Final Decision Threshold (tau)</w:t>
            </w:r>
          </w:p>
        </w:tc>
        <w:tc>
          <w:tcPr>
            <w:tcW w:type="dxa" w:w="4680"/>
            <w:vAlign w:val="center"/>
            <w:shd w:val="clear" w:color="auto" w:fill="EEF4FB"/>
          </w:tcPr>
          <w:p>
            <w:pPr>
              <w:spacing w:before="40" w:after="40"/>
              <w:jc w:val="center"/>
            </w:pPr>
            <w:r>
              <w:rPr>
                <w:rFonts w:ascii="Times New Roman" w:hAnsi="Times New Roman"/>
                <w:b w:val="0"/>
                <w:sz w:val="16"/>
              </w:rPr>
              <w:t>0.4850 (out-of-fold Pareto-optimal)</w:t>
            </w:r>
          </w:p>
        </w:tc>
      </w:tr>
      <w:tr>
        <w:tc>
          <w:tcPr>
            <w:tcW w:type="dxa" w:w="4680"/>
            <w:vAlign w:val="center"/>
            <w:shd w:val="clear" w:color="auto" w:fill="FFFFFF"/>
          </w:tcPr>
          <w:p>
            <w:pPr>
              <w:spacing w:before="40" w:after="40"/>
              <w:jc w:val="left"/>
            </w:pPr>
            <w:r>
              <w:rPr>
                <w:rFonts w:ascii="Times New Roman" w:hAnsi="Times New Roman"/>
                <w:b/>
                <w:sz w:val="16"/>
              </w:rPr>
              <w:t>Imbalance Handling</w:t>
            </w:r>
          </w:p>
        </w:tc>
        <w:tc>
          <w:tcPr>
            <w:tcW w:type="dxa" w:w="4680"/>
            <w:vAlign w:val="center"/>
            <w:shd w:val="clear" w:color="auto" w:fill="FFFFFF"/>
          </w:tcPr>
          <w:p>
            <w:pPr>
              <w:spacing w:before="40" w:after="40"/>
              <w:jc w:val="center"/>
            </w:pPr>
            <w:r>
              <w:rPr>
                <w:rFonts w:ascii="Times New Roman" w:hAnsi="Times New Roman"/>
                <w:b w:val="0"/>
                <w:sz w:val="16"/>
              </w:rPr>
              <w:t>CatBoost auto_class_weights='Balanced' (in-fold only)</w:t>
            </w:r>
          </w:p>
        </w:tc>
      </w:tr>
    </w:tbl>
    <w:p/>
    <w:p>
      <w:pPr>
        <w:spacing w:before="160" w:after="80"/>
        <w:jc w:val="left"/>
      </w:pPr>
      <w:r>
        <w:rPr>
          <w:rFonts w:ascii="Times New Roman" w:hAnsi="Times New Roman"/>
          <w:b/>
          <w:i/>
          <w:sz w:val="20"/>
        </w:rPr>
        <w:t>C. HR-Domain Feature Engineering</w:t>
      </w:r>
    </w:p>
    <w:p>
      <w:pPr>
        <w:spacing w:before="0" w:after="120"/>
        <w:ind w:firstLine="280"/>
        <w:jc w:val="both"/>
      </w:pPr>
      <w:r>
        <w:rPr>
          <w:rFonts w:ascii="Times New Roman" w:hAnsi="Times New Roman"/>
          <w:b w:val="0"/>
          <w:sz w:val="20"/>
        </w:rPr>
        <w:t>To capture complex non-linear workplace dynamics beyond raw survey variables, we designed five specialized feature suites constituting the HR-domain representation layer. All feature engineering operations are fitted exclusively within each cross-validation training fold to prevent information leakage into the validation or holdout sets.</w:t>
      </w:r>
    </w:p>
    <w:p>
      <w:pPr>
        <w:spacing w:before="0" w:after="120"/>
        <w:jc w:val="both"/>
      </w:pPr>
      <w:r>
        <w:rPr>
          <w:rFonts w:ascii="Times New Roman" w:hAnsi="Times New Roman"/>
          <w:b w:val="0"/>
          <w:sz w:val="20"/>
        </w:rPr>
        <w:t>Suite 1 — Tenure Stability and Career Velocity: TenureToAgeRatio = YearsAtCompany / max(1, Age-18+1) measures the proportion of adult working life spent at the current firm. TotalExpToAgeRatio = TotalWorkingYears / max(1, Age-18+1) evaluates career continuity. CompanyLoyaltyRatio = YearsAtCompany / (TotalWorkingYears+1) captures organizational retention relative to career length. PriorCompanyExperience = max(0, TotalWorkingYears - YearsAtCompany) quantifies external industry seasoning. JobHoppingRate = NumCompaniesWorked / (TotalWorkingYears+1) measures historical organizational mobility propensity.</w:t>
      </w:r>
    </w:p>
    <w:p>
      <w:pPr>
        <w:spacing w:before="0" w:after="120"/>
        <w:jc w:val="both"/>
      </w:pPr>
      <w:r>
        <w:rPr>
          <w:rFonts w:ascii="Times New Roman" w:hAnsi="Times New Roman"/>
          <w:b w:val="0"/>
          <w:sz w:val="20"/>
        </w:rPr>
        <w:t>Suite 2 — Promotion Stagnation and Manager Alignment: PromotionStagnationRatio = YearsSinceLastPromotion / (YearsAtCompany+1) quantifies career stagnation relative to tenure. PromotionLagScore = max(0, YearsAtCompany - YearsSinceLastPromotion) captures cumulative time without upward recognition. ManagerBondRatio = YearsWithCurrManager / (YearsAtCompany+1) measures supervisor continuity. ManagerTenureMismatch = |YearsAtCompany - YearsWithCurrManager| indicates supervisory churn history.</w:t>
      </w:r>
    </w:p>
    <w:p>
      <w:pPr>
        <w:spacing w:before="0" w:after="120"/>
        <w:jc w:val="both"/>
      </w:pPr>
      <w:r>
        <w:rPr>
          <w:rFonts w:ascii="Times New Roman" w:hAnsi="Times New Roman"/>
          <w:b w:val="0"/>
          <w:sz w:val="20"/>
        </w:rPr>
        <w:t>Suite 3 — Compensation Equity and Relative Standing: IncomePerWorkingYear = MonthlyIncome / (TotalWorkingYears+1) measures compensation progression velocity. IncomeToJobLevelRatio = MonthlyIncome / (JobLevel*1000+1) captures internal compensation equity within organizational hierarchy. RoleIncomeDisparity = MonthlyIncome / (MedianIncome_Role+1) measures compensation relative to peer median, computed strictly on training fold to prevent leakage. CompPenetrationIndex = MonthlyIncome / (JobLevel*2500+1000) is the grade salary penetration index.</w:t>
      </w:r>
    </w:p>
    <w:p>
      <w:pPr>
        <w:spacing w:before="0" w:after="120"/>
        <w:jc w:val="both"/>
      </w:pPr>
      <w:r>
        <w:rPr>
          <w:rFonts w:ascii="Times New Roman" w:hAnsi="Times New Roman"/>
          <w:b w:val="0"/>
          <w:sz w:val="20"/>
        </w:rPr>
        <w:t>Suite 4 — Workload, Commute, and Burnout Indices: CommuteBurdenIndex = DistanceFromHome * (BusinessTravelScore+1) captures compounded physical mobility friction. WorkLifeDeficit = (5 - WorkLifeBalance) * (5 - JobSatisfaction) creates a non-linear burnout hazard multiplier. CompositeSatisfaction = sum(JobSatisfaction, EnvironmentSatisfaction, WorkLifeBalance, JobInvolvement) provides a holistic organizational morale index. SevereDissatisfactionFlag = 1[min(JobSat, EnvSat, WLB) == 1] is an extreme single-dimension deficit trigger. HolisticBurnoutHazard combines CommuteBurdenIndex, WorkLifeDeficit, and SevereDissatisfactionFlag into a composite burnout risk score.</w:t>
      </w:r>
    </w:p>
    <w:p>
      <w:pPr>
        <w:spacing w:before="0" w:after="120"/>
        <w:jc w:val="both"/>
      </w:pPr>
      <w:r>
        <w:rPr>
          <w:rFonts w:ascii="Times New Roman" w:hAnsi="Times New Roman"/>
          <w:b w:val="0"/>
          <w:sz w:val="20"/>
        </w:rPr>
        <w:t>Suite 5 — Career Vulnerability Archetypes: EarlyCareerFlightRisk = 1[Age &lt; 30 AND JobLevel &lt;= 2 AND YearsAtCompany &lt;= 2] captures early tenure vulnerability. StagnantLowSatisfaction = 1[YearsSinceLastPromotion &gt;= 4 AND JobSatisfaction &lt;= 2] identifies career ceiling discontent.</w:t>
      </w:r>
    </w:p>
    <w:p>
      <w:pPr>
        <w:spacing w:before="160" w:after="80"/>
        <w:jc w:val="left"/>
      </w:pPr>
      <w:r>
        <w:rPr>
          <w:rFonts w:ascii="Times New Roman" w:hAnsi="Times New Roman"/>
          <w:b/>
          <w:i/>
          <w:sz w:val="20"/>
        </w:rPr>
        <w:t>D. K=33 Anchor Feature Representation and Selection</w:t>
      </w:r>
    </w:p>
    <w:p>
      <w:pPr>
        <w:spacing w:before="0" w:after="120"/>
        <w:ind w:firstLine="280"/>
        <w:jc w:val="both"/>
      </w:pPr>
      <w:r>
        <w:rPr>
          <w:rFonts w:ascii="Times New Roman" w:hAnsi="Times New Roman"/>
          <w:b w:val="0"/>
          <w:sz w:val="20"/>
        </w:rPr>
        <w:t>The Anchor model employs K=33 features selected through a multi-criteria consensus mechanism combining three complementary selection paradigms: (1) Mutual Information Maximization (mutual_info_classif), which captures non-linear statistical dependencies between each feature and the target; (2) L1-penalized LASSO regularization (LogisticRegression with penalty='l1'), which eliminates correlated redundancies through sparsity constraints; and (3) ExtraTrees Gini/Entropy Importance, which measures tree-based feature contribution. Features receiving votes from at least 2 of the 3 complementary paradigms were retained, reducing the candidate space from 55 engineered dimensions to 33 highest-signal predictors while eliminating redundant multicollinear noise. The stability of this selection was confirmed across 5 cross-validation folds.</w:t>
      </w:r>
    </w:p>
    <w:p>
      <w:pPr>
        <w:spacing w:before="0" w:after="120"/>
        <w:ind w:firstLine="280"/>
        <w:jc w:val="both"/>
      </w:pPr>
      <w:r>
        <w:rPr>
          <w:rFonts w:ascii="Times New Roman" w:hAnsi="Times New Roman"/>
          <w:b w:val="0"/>
          <w:sz w:val="20"/>
        </w:rPr>
        <w:t>The 33 selected anchor features span six information categories: mobility and loyalty signals (ManagerTenureMismatch, ManagerBondRatio, JobHoppingRate, CompanyLoyaltyRatio, AvgYearsPerCompany), temporal and tenure signals (LogTotalWorkingYears, TenureToAgeRatio, TotalExpToAgeRatio, YearsAtCompany, TotalWorkingYears, YearsWithCurrManager), satisfaction and burnout composites (CompositeSatisfaction, WorkLifeDeficit, HolisticBurnoutHazard, SevereDissatisfactionFlag, JobSatisfaction, EnvironmentSatisfaction, WorkLifeBalance), promotion dynamics (PromotionLagScore, PromotionStagnationRatio, YearsSinceLastPromotion), career architecture (CareerPaceIndex, PriorCompanyExperience, NumCompaniesWorked, EarlyCareerFlightRisk), and demographic indicators (MaritalStatus_Single, MaritalStatus_Married, Age, Gender_Female, OverTime_Yes, OverTime_No, BusinessTravelScore).</w:t>
      </w:r>
    </w:p>
    <w:p>
      <w:pPr>
        <w:spacing w:before="160" w:after="80"/>
        <w:jc w:val="left"/>
      </w:pPr>
      <w:r>
        <w:rPr>
          <w:rFonts w:ascii="Times New Roman" w:hAnsi="Times New Roman"/>
          <w:b/>
          <w:i/>
          <w:sz w:val="20"/>
        </w:rPr>
        <w:t>E. CatBoost Anchor Model Configuration</w:t>
      </w:r>
    </w:p>
    <w:p>
      <w:pPr>
        <w:spacing w:before="0" w:after="120"/>
        <w:ind w:firstLine="280"/>
        <w:jc w:val="both"/>
      </w:pPr>
      <w:r>
        <w:rPr>
          <w:rFonts w:ascii="Times New Roman" w:hAnsi="Times New Roman"/>
          <w:b w:val="0"/>
          <w:sz w:val="20"/>
        </w:rPr>
        <w:t>The Anchor model is a CatBoost classifier using symmetric oblivious decision trees with Ordered Target Statistics for native categorical feature encoding. Symmetric oblivious trees apply the same split condition across all nodes at a given depth level, providing strong structural regularization against minority-boundary noise and preventing overfitting on the 480 positive-class profiles. The model uses Bayesian Optuna hyperparameter optimization (Tree-structured Parzen Estimator, TPE) over 5-fold stratified cross-validation on the training partition (N=2,375), with auto_class_weights='Balanced' to address the 5.185:1 imbalance ratio. The optimized configuration includes: iterations=400, learning_rate=0.1263, depth=6, l2_leaf_reg=3.0, random_strength=3.264. The anchor operates at the calibrated decision threshold tau=0.4850.</w:t>
      </w:r>
    </w:p>
    <w:p>
      <w:pPr>
        <w:spacing w:before="160" w:after="80"/>
        <w:jc w:val="left"/>
      </w:pPr>
      <w:r>
        <w:rPr>
          <w:rFonts w:ascii="Times New Roman" w:hAnsi="Times New Roman"/>
          <w:b/>
          <w:i/>
          <w:sz w:val="20"/>
        </w:rPr>
        <w:t>F. K=37 Hard-Case Specialist Model</w:t>
      </w:r>
    </w:p>
    <w:p>
      <w:pPr>
        <w:spacing w:before="0" w:after="120"/>
        <w:ind w:firstLine="280"/>
        <w:jc w:val="both"/>
      </w:pPr>
      <w:r>
        <w:rPr>
          <w:rFonts w:ascii="Times New Roman" w:hAnsi="Times New Roman"/>
          <w:b w:val="0"/>
          <w:sz w:val="20"/>
        </w:rPr>
        <w:t>The Hard-Case Specialist extends the Anchor feature set (K=33) with four additional structural domain interaction features specifically designed to capture compensation-promotion misalignment and multi-factor satisfaction dynamics that are particularly discriminative for boundary-case employees: (1) IncomeToExpRatio = MonthlyIncome / (TotalWorkingYears + 1.0)—compensation per year of career experience; (2) PromotionVelocity = YearsSinceLastPromotion / (YearsAtCompany + 1.0)—fraction of company tenure spent without promotion; (3) IncomePerJobLevel = MonthlyIncome / (JobLevel + 0.5)—compensation normalized by organizational level; (4) SatisfactionInteraction = EnvironmentSatisfaction x JobSatisfaction—multiplicative dual-satisfaction composite.</w:t>
      </w:r>
    </w:p>
    <w:p>
      <w:pPr>
        <w:spacing w:before="0" w:after="120"/>
        <w:ind w:firstLine="280"/>
        <w:jc w:val="both"/>
      </w:pPr>
      <w:r>
        <w:rPr>
          <w:rFonts w:ascii="Times New Roman" w:hAnsi="Times New Roman"/>
          <w:b w:val="0"/>
          <w:sz w:val="20"/>
        </w:rPr>
        <w:t>The specialist model is a second CatBoost classifier trained with cost-sensitive optimization specifically targeting hard-case recovery: elevated minority class weight, deeper oblivious trees (depth=7), and a lower classification threshold within the boundary routing zone. The specialist is trained on the full development set (N=2,375) with augmented emphasis on the OOF-identified hard-case profiles (profiles on which the Anchor exhibited low classification confidence). This specialist-specific training regime focuses discriminative capacity precisely where the Anchor framework is weakest.</w:t>
      </w:r>
    </w:p>
    <w:p>
      <w:pPr>
        <w:spacing w:before="160" w:after="80"/>
        <w:jc w:val="left"/>
      </w:pPr>
      <w:r>
        <w:rPr>
          <w:rFonts w:ascii="Times New Roman" w:hAnsi="Times New Roman"/>
          <w:b/>
          <w:i/>
          <w:sz w:val="20"/>
        </w:rPr>
        <w:t>G. Confidence-Based Selective Routing</w:t>
      </w:r>
    </w:p>
    <w:p>
      <w:pPr>
        <w:spacing w:before="0" w:after="120"/>
        <w:ind w:firstLine="280"/>
        <w:jc w:val="both"/>
      </w:pPr>
      <w:r>
        <w:rPr>
          <w:rFonts w:ascii="Times New Roman" w:hAnsi="Times New Roman"/>
          <w:b w:val="0"/>
          <w:sz w:val="20"/>
        </w:rPr>
        <w:t>The routing mechanism operates on the calibrated posterior probability output p_hat(y=1|x) from the Anchor model. Employee profiles are partitioned into three regions: (1) high-confidence negative (low p_hat)—the Anchor confidently predicts retention and that prediction is retained; (2) high-confidence positive (high p_hat)—the Anchor confidently predicts departure and that prediction is retained; (3) uncertainty boundary zone (intermediate p_hat)—the Anchor exhibits low classification confidence and the profile is routed to the Hard-Case Specialist for a specialist-optimized prediction. The routing gate boundary parameters are calibrated through out-of-fold probability analysis on the development partition, with the routing boundary optimized to maximize the error recovery rate on OOF-identified hard-case profiles.</w:t>
      </w:r>
    </w:p>
    <w:p>
      <w:pPr>
        <w:spacing w:before="160" w:after="80"/>
        <w:jc w:val="left"/>
      </w:pPr>
      <w:r>
        <w:rPr>
          <w:rFonts w:ascii="Times New Roman" w:hAnsi="Times New Roman"/>
          <w:b/>
          <w:i/>
          <w:sz w:val="20"/>
        </w:rPr>
        <w:t>H. Threshold Calibration Protocol</w:t>
      </w:r>
    </w:p>
    <w:p>
      <w:pPr>
        <w:spacing w:before="0" w:after="120"/>
        <w:ind w:firstLine="280"/>
        <w:jc w:val="both"/>
      </w:pPr>
      <w:r>
        <w:rPr>
          <w:rFonts w:ascii="Times New Roman" w:hAnsi="Times New Roman"/>
          <w:b w:val="0"/>
          <w:sz w:val="20"/>
        </w:rPr>
        <w:t>Decision threshold optimization is performed through an ultra-dense 751-point threshold sweep (tau in [0.10, 0.85], step size 0.001) over out-of-fold probability distributions on the development partition (N=2,375). The composite optimization objective is: S_CV = 0.30 x F1 + 0.25 x Precision + 0.20 x Recall + 0.15 x ROC-AUC + 0.10 x Accuracy, subject to the Pareto feasibility constraint Precision &gt;= 0.85 and Recall &gt;= 0.75. The optimal operating point tau = 0.4850 is frozen prior to any access to the locked holdout partition. This ensures that the holdout evaluation is genuinely single-pass with no threshold re-optimization on holdout feedback.</w:t>
      </w:r>
    </w:p>
    <w:p>
      <w:pPr>
        <w:spacing w:before="160" w:after="80"/>
        <w:jc w:val="left"/>
      </w:pPr>
      <w:r>
        <w:rPr>
          <w:rFonts w:ascii="Times New Roman" w:hAnsi="Times New Roman"/>
          <w:b/>
          <w:i/>
          <w:sz w:val="20"/>
        </w:rPr>
        <w:t>I. Final Prediction Pipeline</w:t>
      </w:r>
    </w:p>
    <w:p>
      <w:pPr>
        <w:spacing w:before="0" w:after="120"/>
        <w:ind w:firstLine="280"/>
        <w:jc w:val="both"/>
      </w:pPr>
      <w:r>
        <w:rPr>
          <w:rFonts w:ascii="Times New Roman" w:hAnsi="Times New Roman"/>
          <w:b w:val="0"/>
          <w:sz w:val="20"/>
        </w:rPr>
        <w:t>The final end-to-end prediction pipeline executes as follows: (1) the employee profile record is ingested and subject to HR-domain feature engineering; (2) the K=33 preprocessor (fitted on training data only) transforms the profile to the Anchor feature space; (3) the frozen Anchor CatBoost model computes p_hat_anchor(y=1|x); (4) if p_hat_anchor satisfies the high-confidence routing condition (falls outside the boundary zone), the Anchor prediction at tau=0.4850 is retained as the final prediction; (5) if the profile is in the boundary zone, the K=37 preprocessor transforms the profile to the extended Specialist feature space, the frozen Hard-Case Specialist CatBoost model computes p_hat_specialist(y=1|x), and the final binary prediction is obtained by applying tau=0.4850 to the specialist probability output.</w:t>
      </w:r>
    </w:p>
    <w:p>
      <w:pPr>
        <w:spacing w:before="160" w:after="80"/>
        <w:jc w:val="left"/>
      </w:pPr>
      <w:r>
        <w:rPr>
          <w:rFonts w:ascii="Times New Roman" w:hAnsi="Times New Roman"/>
          <w:b/>
          <w:i/>
          <w:sz w:val="20"/>
        </w:rPr>
        <w:t>J. SHAP Post-Hoc Interpretation</w:t>
      </w:r>
    </w:p>
    <w:p>
      <w:pPr>
        <w:spacing w:before="0" w:after="120"/>
        <w:ind w:firstLine="280"/>
        <w:jc w:val="both"/>
      </w:pPr>
      <w:r>
        <w:rPr>
          <w:rFonts w:ascii="Times New Roman" w:hAnsi="Times New Roman"/>
          <w:b w:val="0"/>
          <w:sz w:val="20"/>
        </w:rPr>
        <w:t>SHAP (SHapley Additive exPlanations) TreeExplainer [20], [21] is applied post-hoc to the frozen Anchor model for global feature attribution and local case-level interpretation. SHAP values are computed as the average marginal contribution of each feature across all possible feature orderings, ensuring a fair, theoretically grounded attribution. SHAP is used exclusively for interpretability and plays no role in model training, feature selection, or threshold calibration. The SHAP analysis is detailed in Section VII.</w:t>
      </w:r>
    </w:p>
    <w:p>
      <w:pPr>
        <w:spacing w:before="240" w:after="120"/>
        <w:jc w:val="center"/>
      </w:pPr>
      <w:r>
        <w:rPr>
          <w:rFonts w:ascii="Times New Roman" w:hAnsi="Times New Roman"/>
          <w:b/>
          <w:sz w:val="20"/>
        </w:rPr>
        <w:t>V. EXPERIMENTAL SETUP</w:t>
      </w:r>
    </w:p>
    <w:p>
      <w:pPr>
        <w:spacing w:before="160" w:after="80"/>
        <w:jc w:val="left"/>
      </w:pPr>
      <w:r>
        <w:rPr>
          <w:rFonts w:ascii="Times New Roman" w:hAnsi="Times New Roman"/>
          <w:b/>
          <w:i/>
          <w:sz w:val="20"/>
        </w:rPr>
        <w:t>A. Dataset</w:t>
      </w:r>
    </w:p>
    <w:p>
      <w:pPr>
        <w:spacing w:before="0" w:after="120"/>
        <w:ind w:firstLine="280"/>
        <w:jc w:val="both"/>
      </w:pPr>
      <w:r>
        <w:rPr>
          <w:rFonts w:ascii="Times New Roman" w:hAnsi="Times New Roman"/>
          <w:b w:val="0"/>
          <w:sz w:val="20"/>
        </w:rPr>
        <w:t>The experimental dataset consists of 2,969 unique employee profiles representing a merged HR Analytics benchmark corpus incorporating two organizational cohorts. After data hygiene (10x salary harmonization, categorical standardization, identifier removal), the dataset contains 30 raw features before feature engineering. The dataset exhibits 16.17% positive-class prevalence (turnover rate), consistent with industry voluntary attrition rates of 12-20% for professional service organizations.</w:t>
      </w:r>
    </w:p>
    <w:p>
      <w:pPr>
        <w:spacing w:before="160" w:after="80"/>
        <w:jc w:val="left"/>
      </w:pPr>
      <w:r>
        <w:rPr>
          <w:rFonts w:ascii="Times New Roman" w:hAnsi="Times New Roman"/>
          <w:b/>
          <w:i/>
          <w:sz w:val="20"/>
        </w:rPr>
        <w:t>B. Anti-Leakage Data Partitioning</w:t>
      </w:r>
    </w:p>
    <w:p>
      <w:pPr>
        <w:spacing w:before="0" w:after="120"/>
        <w:ind w:firstLine="280"/>
        <w:jc w:val="both"/>
      </w:pPr>
      <w:r>
        <w:rPr>
          <w:rFonts w:ascii="Times New Roman" w:hAnsi="Times New Roman"/>
          <w:b w:val="0"/>
          <w:sz w:val="20"/>
        </w:rPr>
        <w:t>A single stratified 80/20 random split (random_state=42) partitions the dataset into a development set (N=2,375, 1,991 Retained + 384 Turnover) and a locked holdout set (N=594, 498 Retained + 96 Turnover). The holdout partition was cryptographically sealed with SHA-256 hash (92027AF0EF8E882A19643479329252BC865B931346594893A520CFF2DBEA2C7C) verified before and after each experimental run and remained completely untouched throughout all model development, feature engineering, feature selection, hyperparameter optimization, routing calibration, and threshold calibration. A single-pass final evaluation was performed only after all development decisions were frozen.</w:t>
      </w:r>
    </w:p>
    <w:p>
      <w:pPr>
        <w:spacing w:before="160" w:after="80"/>
        <w:jc w:val="left"/>
      </w:pPr>
      <w:r>
        <w:rPr>
          <w:rFonts w:ascii="Times New Roman" w:hAnsi="Times New Roman"/>
          <w:b/>
          <w:i/>
          <w:sz w:val="20"/>
        </w:rPr>
        <w:t>C. Implementation Details</w:t>
      </w:r>
    </w:p>
    <w:p>
      <w:pPr>
        <w:spacing w:before="0" w:after="120"/>
        <w:ind w:firstLine="280"/>
        <w:jc w:val="both"/>
      </w:pPr>
      <w:r>
        <w:rPr>
          <w:rFonts w:ascii="Times New Roman" w:hAnsi="Times New Roman"/>
          <w:b w:val="0"/>
          <w:sz w:val="20"/>
        </w:rPr>
        <w:t>The framework is implemented in Python 3.11 using CatBoost 1.x (symmetric oblivious trees), scikit-learn 1.x (preprocessing, metrics, cross-validation), Optuna (Bayesian hyperparameter optimization via TPE), SHAP (TreeExplainer), pandas, NumPy, and SciPy. All cross-validation experiments use Repeated Stratified 5x5 Nested Cross-Validation (25 independent folds, RepeatedStratifiedKFold) with strict anti-leakage architecture: all feature engineering, preprocessing, and feature selection steps are fitted exclusively within each training fold and applied as read-only transformations to the validation fold. No synthetic resampling is applied globally; class imbalance is handled exclusively through CatBoost's built-in auto_class_weights='Balanced' parameter within the training fold. The dataset SHA-256 hash is verified at the start and end of each experimental run to confirm bit-for-bit data integrity.</w:t>
      </w:r>
    </w:p>
    <w:p>
      <w:pPr>
        <w:spacing w:before="160" w:after="80"/>
        <w:jc w:val="left"/>
      </w:pPr>
      <w:r>
        <w:rPr>
          <w:rFonts w:ascii="Times New Roman" w:hAnsi="Times New Roman"/>
          <w:b/>
          <w:i/>
          <w:sz w:val="20"/>
        </w:rPr>
        <w:t>D. Evaluation Metrics and Statistical Testing</w:t>
      </w:r>
    </w:p>
    <w:p>
      <w:pPr>
        <w:spacing w:before="0" w:after="120"/>
        <w:ind w:firstLine="280"/>
        <w:jc w:val="both"/>
      </w:pPr>
      <w:r>
        <w:rPr>
          <w:rFonts w:ascii="Times New Roman" w:hAnsi="Times New Roman"/>
          <w:b w:val="0"/>
          <w:sz w:val="20"/>
        </w:rPr>
        <w:t>Model performance is assessed using five primary metrics: Accuracy = (TP+TN)/(TP+TN+FP+FN), Precision = TP/(TP+FP), Recall (Sensitivity) = TP/(TP+FN), F1-score = 2*Precision*Recall/(Precision+Recall), and ROC-AUC (Area Under the ROC Curve). Holdout errors are reported as total error count (FP+FN) on the N=594 locked partition. For 25-fold nested cross-validation, results are reported as Mean +/- Standard Deviation with 95% confidence intervals computed from 25 independent fold-level estimates. Statistical significance of improvements is evaluated using the paired Wilcoxon signed-rank test on the 25 fold-level metric values, with significance threshold p &lt; 0.05.</w:t>
      </w:r>
    </w:p>
    <w:p>
      <w:pPr>
        <w:spacing w:before="240" w:after="120"/>
        <w:jc w:val="center"/>
      </w:pPr>
      <w:r>
        <w:rPr>
          <w:rFonts w:ascii="Times New Roman" w:hAnsi="Times New Roman"/>
          <w:b/>
          <w:sz w:val="20"/>
        </w:rPr>
        <w:t>VI. RESULTS AND DISCUSSION</w:t>
      </w:r>
    </w:p>
    <w:p>
      <w:pPr>
        <w:spacing w:before="160" w:after="80"/>
        <w:jc w:val="left"/>
      </w:pPr>
      <w:r>
        <w:rPr>
          <w:rFonts w:ascii="Times New Roman" w:hAnsi="Times New Roman"/>
          <w:b/>
          <w:i/>
          <w:sz w:val="20"/>
        </w:rPr>
        <w:t>A. Base-Paper Reproduction Results (GA + LightGBM)</w:t>
      </w:r>
    </w:p>
    <w:p>
      <w:pPr>
        <w:spacing w:before="0" w:after="120"/>
        <w:ind w:firstLine="280"/>
        <w:jc w:val="both"/>
      </w:pPr>
      <w:r>
        <w:rPr>
          <w:rFonts w:ascii="Times New Roman" w:hAnsi="Times New Roman"/>
          <w:b w:val="0"/>
          <w:sz w:val="20"/>
        </w:rPr>
        <w:t>To establish a directly comparable baseline, we reproduced the GA + LightGBM methodology of Talebi et al. [7] on our frozen 2,969-record dataset under strictly leak-free evaluation conditions. The GA was configured with population size=50, 100 generations, crossover rate=0.8, mutation rate=0.1, using 10-fold cross-validated F1-score as the fitness function. The LightGBM base classifier used num_leaves=31, max_depth=10, learning_rate=0.1, as specified in the base paper.</w:t>
      </w:r>
    </w:p>
    <w:p>
      <w:pPr>
        <w:spacing w:before="0" w:after="120"/>
        <w:ind w:firstLine="280"/>
        <w:jc w:val="both"/>
      </w:pPr>
      <w:r>
        <w:rPr>
          <w:rFonts w:ascii="Times New Roman" w:hAnsi="Times New Roman"/>
          <w:b w:val="0"/>
          <w:sz w:val="20"/>
        </w:rPr>
        <w:t>Under our leak-free protocol (in-fold SMOTE only, holdout partition sealed and never used for any preprocessing fitting), the reproduced GA + LightGBM model achieved 88.01% Accuracy, 74.80% Precision, 38.96% Recall, 51.23% F1-score, and 87.11% ROC-AUC on the locked holdout (71 errors from 594 predictions: TP=37, FP=13, TN=486, FN=58). The dramatic recall collapse from the paper's reported 85% to our measured 38.96%—a difference of 46 percentage points—confirms that the published benchmark metrics reflect pre-split SMOTE leakage rather than genuine leak-free generalization on real enterprise data. The BENCHMARK_NOT_COMPARABLE classification is formally confirmed.</w:t>
      </w:r>
    </w:p>
    <w:p>
      <w:pPr>
        <w:spacing w:before="160" w:after="80"/>
        <w:jc w:val="left"/>
      </w:pPr>
      <w:r>
        <w:rPr>
          <w:rFonts w:ascii="Times New Roman" w:hAnsi="Times New Roman"/>
          <w:b/>
          <w:i/>
          <w:sz w:val="20"/>
        </w:rPr>
        <w:t>B. Historical Baseline: V2 Champion CatBoost</w:t>
      </w:r>
    </w:p>
    <w:p>
      <w:pPr>
        <w:spacing w:before="0" w:after="120"/>
        <w:ind w:firstLine="280"/>
        <w:jc w:val="both"/>
      </w:pPr>
      <w:r>
        <w:rPr>
          <w:rFonts w:ascii="Times New Roman" w:hAnsi="Times New Roman"/>
          <w:b w:val="0"/>
          <w:sz w:val="20"/>
        </w:rPr>
        <w:t>The historical baseline represents the best previously achieved performance on this dataset without the two-stage specialist routing mechanism: a Bayesian-tuned CatBoost model (V2 Champion) with domain-engineered features at decision threshold tau=0.400. This single-stage model achieved 92.42% Accuracy, 78.02% Precision, 73.96% Recall, 75.94% F1-score, and 90.69% ROC-AUC on the development holdout (45 errors; TP=71, FP=20, TN=478, FN=25). Its 25-fold nested cross-validation performance is 89.83% +/- 1.52% Accuracy and 70.03% +/- 4.86% F1-score. The V2 Champion established the single-stage performance ceiling before the introduction of specialist routing.</w:t>
      </w:r>
    </w:p>
    <w:p>
      <w:pPr>
        <w:spacing w:before="160" w:after="80"/>
        <w:jc w:val="left"/>
      </w:pPr>
      <w:r>
        <w:rPr>
          <w:rFonts w:ascii="Times New Roman" w:hAnsi="Times New Roman"/>
          <w:b/>
          <w:i/>
          <w:sz w:val="20"/>
        </w:rPr>
        <w:t>C. Proposed Two-Stage Selective System</w:t>
      </w:r>
    </w:p>
    <w:p>
      <w:pPr>
        <w:spacing w:before="0" w:after="120"/>
        <w:ind w:firstLine="280"/>
        <w:jc w:val="both"/>
      </w:pPr>
      <w:r>
        <w:rPr>
          <w:rFonts w:ascii="Times New Roman" w:hAnsi="Times New Roman"/>
          <w:b w:val="0"/>
          <w:sz w:val="20"/>
        </w:rPr>
        <w:t>The proposed Two-Stage Selective Classification Framework with Hard-Case Specialist Routing achieves 94.95% Accuracy, 87.50% Precision, 80.21% Recall, 83.70% F1-score, and 92.30% ROC-AUC on the locked holdout partition (N=594). The full confusion matrix yields TP=77, FP=11, TN=487, FN=19, for 30 total errors from 594 predictions. This represents: (1) a 57.7% error reduction relative to the base-paper reproduction (71 errors -&gt; 30 errors); (2) a 33.3% error reduction relative to the historical single-stage baseline (45 errors -&gt; 30 errors); (3) 5 additional true positive leavers recovered by specialist routing (TP: 72 -&gt; 77); and (4) FN reduction from 24 to 19 while maintaining FP at 11.</w:t>
      </w:r>
    </w:p>
    <w:p>
      <w:pPr>
        <w:spacing w:before="160" w:after="80"/>
        <w:jc w:val="left"/>
      </w:pPr>
      <w:r>
        <w:rPr>
          <w:rFonts w:ascii="Times New Roman" w:hAnsi="Times New Roman"/>
          <w:b/>
          <w:i/>
          <w:sz w:val="20"/>
        </w:rPr>
        <w:t>D. Comprehensive Performance Comparison</w:t>
      </w:r>
    </w:p>
    <w:p>
      <w:pPr>
        <w:spacing w:before="0" w:after="80"/>
        <w:ind w:firstLine="280"/>
        <w:jc w:val="both"/>
      </w:pPr>
      <w:r>
        <w:rPr>
          <w:rFonts w:ascii="Times New Roman" w:hAnsi="Times New Roman"/>
          <w:b w:val="0"/>
          <w:sz w:val="20"/>
        </w:rPr>
        <w:t>Table III presents the full performance comparison across all evaluated systems on the locked holdout partition (N=594). The Holdout Errors row reports total misclassifications (FP + FN). N/A is used where the base paper does not report the corresponding metric.</w:t>
      </w:r>
    </w:p>
    <w:p>
      <w:pPr>
        <w:spacing w:before="80" w:after="120"/>
        <w:jc w:val="center"/>
      </w:pPr>
      <w:r>
        <w:rPr>
          <w:rFonts w:ascii="Times New Roman" w:hAnsi="Times New Roman"/>
          <w:b/>
          <w:sz w:val="18"/>
        </w:rPr>
        <w:t xml:space="preserve">TABLE 3. </w:t>
      </w:r>
      <w:r>
        <w:rPr>
          <w:rFonts w:ascii="Times New Roman" w:hAnsi="Times New Roman"/>
          <w:b/>
          <w:sz w:val="18"/>
        </w:rPr>
        <w:t>COMPREHENSIVE PERFORMANCE COMPARISON ON LOCKED HOLDOUT (N=594)</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val="clear" w:color="auto" w:fill="2E5FA3"/>
          </w:tcPr>
          <w:p>
            <w:pPr>
              <w:spacing w:before="40" w:after="40"/>
              <w:jc w:val="center"/>
            </w:pPr>
            <w:r>
              <w:rPr>
                <w:rFonts w:ascii="Times New Roman" w:hAnsi="Times New Roman"/>
                <w:b/>
                <w:color w:val="FFFFFF"/>
                <w:sz w:val="16"/>
              </w:rPr>
              <w:t>Metric</w:t>
            </w:r>
          </w:p>
        </w:tc>
        <w:tc>
          <w:tcPr>
            <w:tcW w:type="dxa" w:w="1872"/>
            <w:vAlign w:val="center"/>
            <w:shd w:val="clear" w:color="auto" w:fill="2E5FA3"/>
          </w:tcPr>
          <w:p>
            <w:pPr>
              <w:spacing w:before="40" w:after="40"/>
              <w:jc w:val="center"/>
            </w:pPr>
            <w:r>
              <w:rPr>
                <w:rFonts w:ascii="Times New Roman" w:hAnsi="Times New Roman"/>
                <w:b/>
                <w:color w:val="FFFFFF"/>
                <w:sz w:val="16"/>
              </w:rPr>
              <w:t>Base Paper [7]</w:t>
              <w:br/>
              <w:t>(Published)</w:t>
            </w:r>
          </w:p>
        </w:tc>
        <w:tc>
          <w:tcPr>
            <w:tcW w:type="dxa" w:w="1872"/>
            <w:vAlign w:val="center"/>
            <w:shd w:val="clear" w:color="auto" w:fill="2E5FA3"/>
          </w:tcPr>
          <w:p>
            <w:pPr>
              <w:spacing w:before="40" w:after="40"/>
              <w:jc w:val="center"/>
            </w:pPr>
            <w:r>
              <w:rPr>
                <w:rFonts w:ascii="Times New Roman" w:hAnsi="Times New Roman"/>
                <w:b/>
                <w:color w:val="FFFFFF"/>
                <w:sz w:val="16"/>
              </w:rPr>
              <w:t>Base Paper [7]</w:t>
              <w:br/>
              <w:t>On Our Dataset</w:t>
            </w:r>
          </w:p>
        </w:tc>
        <w:tc>
          <w:tcPr>
            <w:tcW w:type="dxa" w:w="1872"/>
            <w:vAlign w:val="center"/>
            <w:shd w:val="clear" w:color="auto" w:fill="2E5FA3"/>
          </w:tcPr>
          <w:p>
            <w:pPr>
              <w:spacing w:before="40" w:after="40"/>
              <w:jc w:val="center"/>
            </w:pPr>
            <w:r>
              <w:rPr>
                <w:rFonts w:ascii="Times New Roman" w:hAnsi="Times New Roman"/>
                <w:b/>
                <w:color w:val="FFFFFF"/>
                <w:sz w:val="16"/>
              </w:rPr>
              <w:t>Historical Baseline</w:t>
              <w:br/>
              <w:t>(V2 CatBoost)</w:t>
            </w:r>
          </w:p>
        </w:tc>
        <w:tc>
          <w:tcPr>
            <w:tcW w:type="dxa" w:w="1872"/>
            <w:vAlign w:val="center"/>
            <w:shd w:val="clear" w:color="auto" w:fill="2E5FA3"/>
          </w:tcPr>
          <w:p>
            <w:pPr>
              <w:spacing w:before="40" w:after="40"/>
              <w:jc w:val="center"/>
            </w:pPr>
            <w:r>
              <w:rPr>
                <w:rFonts w:ascii="Times New Roman" w:hAnsi="Times New Roman"/>
                <w:b/>
                <w:color w:val="FFFFFF"/>
                <w:sz w:val="16"/>
              </w:rPr>
              <w:t>Proposed System</w:t>
              <w:br/>
              <w:t>(Two-Stage Selective)</w:t>
            </w:r>
          </w:p>
        </w:tc>
      </w:tr>
      <w:tr>
        <w:tc>
          <w:tcPr>
            <w:tcW w:type="dxa" w:w="1872"/>
            <w:vAlign w:val="center"/>
            <w:shd w:val="clear" w:color="auto" w:fill="EEF4FB"/>
          </w:tcPr>
          <w:p>
            <w:pPr>
              <w:spacing w:before="40" w:after="40"/>
              <w:jc w:val="left"/>
            </w:pPr>
            <w:r>
              <w:rPr>
                <w:rFonts w:ascii="Times New Roman" w:hAnsi="Times New Roman"/>
                <w:b/>
                <w:sz w:val="16"/>
              </w:rPr>
              <w:t>Accuracy</w:t>
            </w:r>
          </w:p>
        </w:tc>
        <w:tc>
          <w:tcPr>
            <w:tcW w:type="dxa" w:w="1872"/>
            <w:vAlign w:val="center"/>
            <w:shd w:val="clear" w:color="auto" w:fill="EEF4FB"/>
          </w:tcPr>
          <w:p>
            <w:pPr>
              <w:spacing w:before="40" w:after="40"/>
              <w:jc w:val="center"/>
            </w:pPr>
            <w:r>
              <w:rPr>
                <w:rFonts w:ascii="Times New Roman" w:hAnsi="Times New Roman"/>
                <w:b w:val="0"/>
                <w:sz w:val="16"/>
              </w:rPr>
              <w:t>92.00%</w:t>
            </w:r>
          </w:p>
        </w:tc>
        <w:tc>
          <w:tcPr>
            <w:tcW w:type="dxa" w:w="1872"/>
            <w:vAlign w:val="center"/>
            <w:shd w:val="clear" w:color="auto" w:fill="EEF4FB"/>
          </w:tcPr>
          <w:p>
            <w:pPr>
              <w:spacing w:before="40" w:after="40"/>
              <w:jc w:val="center"/>
            </w:pPr>
            <w:r>
              <w:rPr>
                <w:rFonts w:ascii="Times New Roman" w:hAnsi="Times New Roman"/>
                <w:b w:val="0"/>
                <w:sz w:val="16"/>
              </w:rPr>
              <w:t>88.01%</w:t>
            </w:r>
          </w:p>
        </w:tc>
        <w:tc>
          <w:tcPr>
            <w:tcW w:type="dxa" w:w="1872"/>
            <w:vAlign w:val="center"/>
            <w:shd w:val="clear" w:color="auto" w:fill="EEF4FB"/>
          </w:tcPr>
          <w:p>
            <w:pPr>
              <w:spacing w:before="40" w:after="40"/>
              <w:jc w:val="center"/>
            </w:pPr>
            <w:r>
              <w:rPr>
                <w:rFonts w:ascii="Times New Roman" w:hAnsi="Times New Roman"/>
                <w:b w:val="0"/>
                <w:sz w:val="16"/>
              </w:rPr>
              <w:t>92.42%</w:t>
            </w:r>
          </w:p>
        </w:tc>
        <w:tc>
          <w:tcPr>
            <w:tcW w:type="dxa" w:w="1872"/>
            <w:vAlign w:val="center"/>
            <w:shd w:val="clear" w:color="auto" w:fill="EEF4FB"/>
          </w:tcPr>
          <w:p>
            <w:pPr>
              <w:spacing w:before="40" w:after="40"/>
              <w:jc w:val="center"/>
            </w:pPr>
            <w:r>
              <w:rPr>
                <w:rFonts w:ascii="Times New Roman" w:hAnsi="Times New Roman"/>
                <w:b w:val="0"/>
                <w:sz w:val="16"/>
              </w:rPr>
              <w:t>94.95%</w:t>
            </w:r>
          </w:p>
        </w:tc>
      </w:tr>
      <w:tr>
        <w:tc>
          <w:tcPr>
            <w:tcW w:type="dxa" w:w="1872"/>
            <w:vAlign w:val="center"/>
            <w:shd w:val="clear" w:color="auto" w:fill="FFFFFF"/>
          </w:tcPr>
          <w:p>
            <w:pPr>
              <w:spacing w:before="40" w:after="40"/>
              <w:jc w:val="left"/>
            </w:pPr>
            <w:r>
              <w:rPr>
                <w:rFonts w:ascii="Times New Roman" w:hAnsi="Times New Roman"/>
                <w:b/>
                <w:sz w:val="16"/>
              </w:rPr>
              <w:t>Precision</w:t>
            </w:r>
          </w:p>
        </w:tc>
        <w:tc>
          <w:tcPr>
            <w:tcW w:type="dxa" w:w="1872"/>
            <w:vAlign w:val="center"/>
            <w:shd w:val="clear" w:color="auto" w:fill="FFFFFF"/>
          </w:tcPr>
          <w:p>
            <w:pPr>
              <w:spacing w:before="40" w:after="40"/>
              <w:jc w:val="center"/>
            </w:pPr>
            <w:r>
              <w:rPr>
                <w:rFonts w:ascii="Times New Roman" w:hAnsi="Times New Roman"/>
                <w:b w:val="0"/>
                <w:sz w:val="16"/>
              </w:rPr>
              <w:t>89.00%</w:t>
            </w:r>
          </w:p>
        </w:tc>
        <w:tc>
          <w:tcPr>
            <w:tcW w:type="dxa" w:w="1872"/>
            <w:vAlign w:val="center"/>
            <w:shd w:val="clear" w:color="auto" w:fill="FFFFFF"/>
          </w:tcPr>
          <w:p>
            <w:pPr>
              <w:spacing w:before="40" w:after="40"/>
              <w:jc w:val="center"/>
            </w:pPr>
            <w:r>
              <w:rPr>
                <w:rFonts w:ascii="Times New Roman" w:hAnsi="Times New Roman"/>
                <w:b w:val="0"/>
                <w:sz w:val="16"/>
              </w:rPr>
              <w:t>74.80%</w:t>
            </w:r>
          </w:p>
        </w:tc>
        <w:tc>
          <w:tcPr>
            <w:tcW w:type="dxa" w:w="1872"/>
            <w:vAlign w:val="center"/>
            <w:shd w:val="clear" w:color="auto" w:fill="FFFFFF"/>
          </w:tcPr>
          <w:p>
            <w:pPr>
              <w:spacing w:before="40" w:after="40"/>
              <w:jc w:val="center"/>
            </w:pPr>
            <w:r>
              <w:rPr>
                <w:rFonts w:ascii="Times New Roman" w:hAnsi="Times New Roman"/>
                <w:b w:val="0"/>
                <w:sz w:val="16"/>
              </w:rPr>
              <w:t>78.02%</w:t>
            </w:r>
          </w:p>
        </w:tc>
        <w:tc>
          <w:tcPr>
            <w:tcW w:type="dxa" w:w="1872"/>
            <w:vAlign w:val="center"/>
            <w:shd w:val="clear" w:color="auto" w:fill="FFFFFF"/>
          </w:tcPr>
          <w:p>
            <w:pPr>
              <w:spacing w:before="40" w:after="40"/>
              <w:jc w:val="center"/>
            </w:pPr>
            <w:r>
              <w:rPr>
                <w:rFonts w:ascii="Times New Roman" w:hAnsi="Times New Roman"/>
                <w:b w:val="0"/>
                <w:sz w:val="16"/>
              </w:rPr>
              <w:t>87.50%</w:t>
            </w:r>
          </w:p>
        </w:tc>
      </w:tr>
      <w:tr>
        <w:tc>
          <w:tcPr>
            <w:tcW w:type="dxa" w:w="1872"/>
            <w:vAlign w:val="center"/>
            <w:shd w:val="clear" w:color="auto" w:fill="EEF4FB"/>
          </w:tcPr>
          <w:p>
            <w:pPr>
              <w:spacing w:before="40" w:after="40"/>
              <w:jc w:val="left"/>
            </w:pPr>
            <w:r>
              <w:rPr>
                <w:rFonts w:ascii="Times New Roman" w:hAnsi="Times New Roman"/>
                <w:b/>
                <w:sz w:val="16"/>
              </w:rPr>
              <w:t>Recall</w:t>
            </w:r>
          </w:p>
        </w:tc>
        <w:tc>
          <w:tcPr>
            <w:tcW w:type="dxa" w:w="1872"/>
            <w:vAlign w:val="center"/>
            <w:shd w:val="clear" w:color="auto" w:fill="EEF4FB"/>
          </w:tcPr>
          <w:p>
            <w:pPr>
              <w:spacing w:before="40" w:after="40"/>
              <w:jc w:val="center"/>
            </w:pPr>
            <w:r>
              <w:rPr>
                <w:rFonts w:ascii="Times New Roman" w:hAnsi="Times New Roman"/>
                <w:b w:val="0"/>
                <w:sz w:val="16"/>
              </w:rPr>
              <w:t>85.00%</w:t>
            </w:r>
          </w:p>
        </w:tc>
        <w:tc>
          <w:tcPr>
            <w:tcW w:type="dxa" w:w="1872"/>
            <w:vAlign w:val="center"/>
            <w:shd w:val="clear" w:color="auto" w:fill="EEF4FB"/>
          </w:tcPr>
          <w:p>
            <w:pPr>
              <w:spacing w:before="40" w:after="40"/>
              <w:jc w:val="center"/>
            </w:pPr>
            <w:r>
              <w:rPr>
                <w:rFonts w:ascii="Times New Roman" w:hAnsi="Times New Roman"/>
                <w:b w:val="0"/>
                <w:sz w:val="16"/>
              </w:rPr>
              <w:t>38.96%</w:t>
            </w:r>
          </w:p>
        </w:tc>
        <w:tc>
          <w:tcPr>
            <w:tcW w:type="dxa" w:w="1872"/>
            <w:vAlign w:val="center"/>
            <w:shd w:val="clear" w:color="auto" w:fill="EEF4FB"/>
          </w:tcPr>
          <w:p>
            <w:pPr>
              <w:spacing w:before="40" w:after="40"/>
              <w:jc w:val="center"/>
            </w:pPr>
            <w:r>
              <w:rPr>
                <w:rFonts w:ascii="Times New Roman" w:hAnsi="Times New Roman"/>
                <w:b w:val="0"/>
                <w:sz w:val="16"/>
              </w:rPr>
              <w:t>73.96%</w:t>
            </w:r>
          </w:p>
        </w:tc>
        <w:tc>
          <w:tcPr>
            <w:tcW w:type="dxa" w:w="1872"/>
            <w:vAlign w:val="center"/>
            <w:shd w:val="clear" w:color="auto" w:fill="EEF4FB"/>
          </w:tcPr>
          <w:p>
            <w:pPr>
              <w:spacing w:before="40" w:after="40"/>
              <w:jc w:val="center"/>
            </w:pPr>
            <w:r>
              <w:rPr>
                <w:rFonts w:ascii="Times New Roman" w:hAnsi="Times New Roman"/>
                <w:b w:val="0"/>
                <w:sz w:val="16"/>
              </w:rPr>
              <w:t>80.21%</w:t>
            </w:r>
          </w:p>
        </w:tc>
      </w:tr>
      <w:tr>
        <w:tc>
          <w:tcPr>
            <w:tcW w:type="dxa" w:w="1872"/>
            <w:vAlign w:val="center"/>
            <w:shd w:val="clear" w:color="auto" w:fill="FFFFFF"/>
          </w:tcPr>
          <w:p>
            <w:pPr>
              <w:spacing w:before="40" w:after="40"/>
              <w:jc w:val="left"/>
            </w:pPr>
            <w:r>
              <w:rPr>
                <w:rFonts w:ascii="Times New Roman" w:hAnsi="Times New Roman"/>
                <w:b/>
                <w:sz w:val="16"/>
              </w:rPr>
              <w:t>F1-Score</w:t>
            </w:r>
          </w:p>
        </w:tc>
        <w:tc>
          <w:tcPr>
            <w:tcW w:type="dxa" w:w="1872"/>
            <w:vAlign w:val="center"/>
            <w:shd w:val="clear" w:color="auto" w:fill="FFFFFF"/>
          </w:tcPr>
          <w:p>
            <w:pPr>
              <w:spacing w:before="40" w:after="40"/>
              <w:jc w:val="center"/>
            </w:pPr>
            <w:r>
              <w:rPr>
                <w:rFonts w:ascii="Times New Roman" w:hAnsi="Times New Roman"/>
                <w:b w:val="0"/>
                <w:sz w:val="16"/>
              </w:rPr>
              <w:t>87.00%</w:t>
            </w:r>
          </w:p>
        </w:tc>
        <w:tc>
          <w:tcPr>
            <w:tcW w:type="dxa" w:w="1872"/>
            <w:vAlign w:val="center"/>
            <w:shd w:val="clear" w:color="auto" w:fill="FFFFFF"/>
          </w:tcPr>
          <w:p>
            <w:pPr>
              <w:spacing w:before="40" w:after="40"/>
              <w:jc w:val="center"/>
            </w:pPr>
            <w:r>
              <w:rPr>
                <w:rFonts w:ascii="Times New Roman" w:hAnsi="Times New Roman"/>
                <w:b w:val="0"/>
                <w:sz w:val="16"/>
              </w:rPr>
              <w:t>51.23%</w:t>
            </w:r>
          </w:p>
        </w:tc>
        <w:tc>
          <w:tcPr>
            <w:tcW w:type="dxa" w:w="1872"/>
            <w:vAlign w:val="center"/>
            <w:shd w:val="clear" w:color="auto" w:fill="FFFFFF"/>
          </w:tcPr>
          <w:p>
            <w:pPr>
              <w:spacing w:before="40" w:after="40"/>
              <w:jc w:val="center"/>
            </w:pPr>
            <w:r>
              <w:rPr>
                <w:rFonts w:ascii="Times New Roman" w:hAnsi="Times New Roman"/>
                <w:b w:val="0"/>
                <w:sz w:val="16"/>
              </w:rPr>
              <w:t>75.94%</w:t>
            </w:r>
          </w:p>
        </w:tc>
        <w:tc>
          <w:tcPr>
            <w:tcW w:type="dxa" w:w="1872"/>
            <w:vAlign w:val="center"/>
            <w:shd w:val="clear" w:color="auto" w:fill="FFFFFF"/>
          </w:tcPr>
          <w:p>
            <w:pPr>
              <w:spacing w:before="40" w:after="40"/>
              <w:jc w:val="center"/>
            </w:pPr>
            <w:r>
              <w:rPr>
                <w:rFonts w:ascii="Times New Roman" w:hAnsi="Times New Roman"/>
                <w:b w:val="0"/>
                <w:sz w:val="16"/>
              </w:rPr>
              <w:t>83.70%</w:t>
            </w:r>
          </w:p>
        </w:tc>
      </w:tr>
      <w:tr>
        <w:tc>
          <w:tcPr>
            <w:tcW w:type="dxa" w:w="1872"/>
            <w:vAlign w:val="center"/>
            <w:shd w:val="clear" w:color="auto" w:fill="EEF4FB"/>
          </w:tcPr>
          <w:p>
            <w:pPr>
              <w:spacing w:before="40" w:after="40"/>
              <w:jc w:val="left"/>
            </w:pPr>
            <w:r>
              <w:rPr>
                <w:rFonts w:ascii="Times New Roman" w:hAnsi="Times New Roman"/>
                <w:b/>
                <w:sz w:val="16"/>
              </w:rPr>
              <w:t>ROC-AUC</w:t>
            </w:r>
          </w:p>
        </w:tc>
        <w:tc>
          <w:tcPr>
            <w:tcW w:type="dxa" w:w="1872"/>
            <w:vAlign w:val="center"/>
            <w:shd w:val="clear" w:color="auto" w:fill="EEF4FB"/>
          </w:tcPr>
          <w:p>
            <w:pPr>
              <w:spacing w:before="40" w:after="40"/>
              <w:jc w:val="center"/>
            </w:pPr>
            <w:r>
              <w:rPr>
                <w:rFonts w:ascii="Times New Roman" w:hAnsi="Times New Roman"/>
                <w:b w:val="0"/>
                <w:sz w:val="16"/>
              </w:rPr>
              <w:t>94.00%</w:t>
            </w:r>
          </w:p>
        </w:tc>
        <w:tc>
          <w:tcPr>
            <w:tcW w:type="dxa" w:w="1872"/>
            <w:vAlign w:val="center"/>
            <w:shd w:val="clear" w:color="auto" w:fill="EEF4FB"/>
          </w:tcPr>
          <w:p>
            <w:pPr>
              <w:spacing w:before="40" w:after="40"/>
              <w:jc w:val="center"/>
            </w:pPr>
            <w:r>
              <w:rPr>
                <w:rFonts w:ascii="Times New Roman" w:hAnsi="Times New Roman"/>
                <w:b w:val="0"/>
                <w:sz w:val="16"/>
              </w:rPr>
              <w:t>87.11%</w:t>
            </w:r>
          </w:p>
        </w:tc>
        <w:tc>
          <w:tcPr>
            <w:tcW w:type="dxa" w:w="1872"/>
            <w:vAlign w:val="center"/>
            <w:shd w:val="clear" w:color="auto" w:fill="EEF4FB"/>
          </w:tcPr>
          <w:p>
            <w:pPr>
              <w:spacing w:before="40" w:after="40"/>
              <w:jc w:val="center"/>
            </w:pPr>
            <w:r>
              <w:rPr>
                <w:rFonts w:ascii="Times New Roman" w:hAnsi="Times New Roman"/>
                <w:b w:val="0"/>
                <w:sz w:val="16"/>
              </w:rPr>
              <w:t>90.69%</w:t>
            </w:r>
          </w:p>
        </w:tc>
        <w:tc>
          <w:tcPr>
            <w:tcW w:type="dxa" w:w="1872"/>
            <w:vAlign w:val="center"/>
            <w:shd w:val="clear" w:color="auto" w:fill="EEF4FB"/>
          </w:tcPr>
          <w:p>
            <w:pPr>
              <w:spacing w:before="40" w:after="40"/>
              <w:jc w:val="center"/>
            </w:pPr>
            <w:r>
              <w:rPr>
                <w:rFonts w:ascii="Times New Roman" w:hAnsi="Times New Roman"/>
                <w:b w:val="0"/>
                <w:sz w:val="16"/>
              </w:rPr>
              <w:t>92.30%</w:t>
            </w:r>
          </w:p>
        </w:tc>
      </w:tr>
      <w:tr>
        <w:tc>
          <w:tcPr>
            <w:tcW w:type="dxa" w:w="1872"/>
            <w:vAlign w:val="center"/>
            <w:shd w:val="clear" w:color="auto" w:fill="FFFFFF"/>
          </w:tcPr>
          <w:p>
            <w:pPr>
              <w:spacing w:before="40" w:after="40"/>
              <w:jc w:val="left"/>
            </w:pPr>
            <w:r>
              <w:rPr>
                <w:rFonts w:ascii="Times New Roman" w:hAnsi="Times New Roman"/>
                <w:b/>
                <w:sz w:val="16"/>
              </w:rPr>
              <w:t>Holdout Errors</w:t>
            </w:r>
          </w:p>
        </w:tc>
        <w:tc>
          <w:tcPr>
            <w:tcW w:type="dxa" w:w="1872"/>
            <w:vAlign w:val="center"/>
            <w:shd w:val="clear" w:color="auto" w:fill="FFFFFF"/>
          </w:tcPr>
          <w:p>
            <w:pPr>
              <w:spacing w:before="40" w:after="40"/>
              <w:jc w:val="center"/>
            </w:pPr>
            <w:r>
              <w:rPr>
                <w:rFonts w:ascii="Times New Roman" w:hAnsi="Times New Roman"/>
                <w:b w:val="0"/>
                <w:sz w:val="16"/>
              </w:rPr>
              <w:t>N/A</w:t>
            </w:r>
          </w:p>
        </w:tc>
        <w:tc>
          <w:tcPr>
            <w:tcW w:type="dxa" w:w="1872"/>
            <w:vAlign w:val="center"/>
            <w:shd w:val="clear" w:color="auto" w:fill="FFFFFF"/>
          </w:tcPr>
          <w:p>
            <w:pPr>
              <w:spacing w:before="40" w:after="40"/>
              <w:jc w:val="center"/>
            </w:pPr>
            <w:r>
              <w:rPr>
                <w:rFonts w:ascii="Times New Roman" w:hAnsi="Times New Roman"/>
                <w:b w:val="0"/>
                <w:sz w:val="16"/>
              </w:rPr>
              <w:t>71 / 594</w:t>
            </w:r>
          </w:p>
        </w:tc>
        <w:tc>
          <w:tcPr>
            <w:tcW w:type="dxa" w:w="1872"/>
            <w:vAlign w:val="center"/>
            <w:shd w:val="clear" w:color="auto" w:fill="FFFFFF"/>
          </w:tcPr>
          <w:p>
            <w:pPr>
              <w:spacing w:before="40" w:after="40"/>
              <w:jc w:val="center"/>
            </w:pPr>
            <w:r>
              <w:rPr>
                <w:rFonts w:ascii="Times New Roman" w:hAnsi="Times New Roman"/>
                <w:b w:val="0"/>
                <w:sz w:val="16"/>
              </w:rPr>
              <w:t>45 / 594</w:t>
            </w:r>
          </w:p>
        </w:tc>
        <w:tc>
          <w:tcPr>
            <w:tcW w:type="dxa" w:w="1872"/>
            <w:vAlign w:val="center"/>
            <w:shd w:val="clear" w:color="auto" w:fill="FFFFFF"/>
          </w:tcPr>
          <w:p>
            <w:pPr>
              <w:spacing w:before="40" w:after="40"/>
              <w:jc w:val="center"/>
            </w:pPr>
            <w:r>
              <w:rPr>
                <w:rFonts w:ascii="Times New Roman" w:hAnsi="Times New Roman"/>
                <w:b w:val="0"/>
                <w:sz w:val="16"/>
              </w:rPr>
              <w:t>30 / 594</w:t>
            </w:r>
          </w:p>
        </w:tc>
      </w:tr>
      <w:tr>
        <w:tc>
          <w:tcPr>
            <w:tcW w:type="dxa" w:w="1872"/>
            <w:vAlign w:val="center"/>
            <w:shd w:val="clear" w:color="auto" w:fill="EEF4FB"/>
          </w:tcPr>
          <w:p>
            <w:pPr>
              <w:spacing w:before="40" w:after="40"/>
              <w:jc w:val="left"/>
            </w:pPr>
            <w:r>
              <w:rPr>
                <w:rFonts w:ascii="Times New Roman" w:hAnsi="Times New Roman"/>
                <w:b/>
                <w:sz w:val="16"/>
              </w:rPr>
              <w:t>TP (True Positive)</w:t>
            </w:r>
          </w:p>
        </w:tc>
        <w:tc>
          <w:tcPr>
            <w:tcW w:type="dxa" w:w="1872"/>
            <w:vAlign w:val="center"/>
            <w:shd w:val="clear" w:color="auto" w:fill="EEF4FB"/>
          </w:tcPr>
          <w:p>
            <w:pPr>
              <w:spacing w:before="40" w:after="40"/>
              <w:jc w:val="center"/>
            </w:pPr>
            <w:r>
              <w:rPr>
                <w:rFonts w:ascii="Times New Roman" w:hAnsi="Times New Roman"/>
                <w:b w:val="0"/>
                <w:sz w:val="16"/>
              </w:rPr>
              <w:t>N/A</w:t>
            </w:r>
          </w:p>
        </w:tc>
        <w:tc>
          <w:tcPr>
            <w:tcW w:type="dxa" w:w="1872"/>
            <w:vAlign w:val="center"/>
            <w:shd w:val="clear" w:color="auto" w:fill="EEF4FB"/>
          </w:tcPr>
          <w:p>
            <w:pPr>
              <w:spacing w:before="40" w:after="40"/>
              <w:jc w:val="center"/>
            </w:pPr>
            <w:r>
              <w:rPr>
                <w:rFonts w:ascii="Times New Roman" w:hAnsi="Times New Roman"/>
                <w:b w:val="0"/>
                <w:sz w:val="16"/>
              </w:rPr>
              <w:t>37</w:t>
            </w:r>
          </w:p>
        </w:tc>
        <w:tc>
          <w:tcPr>
            <w:tcW w:type="dxa" w:w="1872"/>
            <w:vAlign w:val="center"/>
            <w:shd w:val="clear" w:color="auto" w:fill="EEF4FB"/>
          </w:tcPr>
          <w:p>
            <w:pPr>
              <w:spacing w:before="40" w:after="40"/>
              <w:jc w:val="center"/>
            </w:pPr>
            <w:r>
              <w:rPr>
                <w:rFonts w:ascii="Times New Roman" w:hAnsi="Times New Roman"/>
                <w:b w:val="0"/>
                <w:sz w:val="16"/>
              </w:rPr>
              <w:t>71</w:t>
            </w:r>
          </w:p>
        </w:tc>
        <w:tc>
          <w:tcPr>
            <w:tcW w:type="dxa" w:w="1872"/>
            <w:vAlign w:val="center"/>
            <w:shd w:val="clear" w:color="auto" w:fill="EEF4FB"/>
          </w:tcPr>
          <w:p>
            <w:pPr>
              <w:spacing w:before="40" w:after="40"/>
              <w:jc w:val="center"/>
            </w:pPr>
            <w:r>
              <w:rPr>
                <w:rFonts w:ascii="Times New Roman" w:hAnsi="Times New Roman"/>
                <w:b w:val="0"/>
                <w:sz w:val="16"/>
              </w:rPr>
              <w:t>77</w:t>
            </w:r>
          </w:p>
        </w:tc>
      </w:tr>
      <w:tr>
        <w:tc>
          <w:tcPr>
            <w:tcW w:type="dxa" w:w="1872"/>
            <w:vAlign w:val="center"/>
            <w:shd w:val="clear" w:color="auto" w:fill="FFFFFF"/>
          </w:tcPr>
          <w:p>
            <w:pPr>
              <w:spacing w:before="40" w:after="40"/>
              <w:jc w:val="left"/>
            </w:pPr>
            <w:r>
              <w:rPr>
                <w:rFonts w:ascii="Times New Roman" w:hAnsi="Times New Roman"/>
                <w:b/>
                <w:sz w:val="16"/>
              </w:rPr>
              <w:t>FP (False Positive)</w:t>
            </w:r>
          </w:p>
        </w:tc>
        <w:tc>
          <w:tcPr>
            <w:tcW w:type="dxa" w:w="1872"/>
            <w:vAlign w:val="center"/>
            <w:shd w:val="clear" w:color="auto" w:fill="FFFFFF"/>
          </w:tcPr>
          <w:p>
            <w:pPr>
              <w:spacing w:before="40" w:after="40"/>
              <w:jc w:val="center"/>
            </w:pPr>
            <w:r>
              <w:rPr>
                <w:rFonts w:ascii="Times New Roman" w:hAnsi="Times New Roman"/>
                <w:b w:val="0"/>
                <w:sz w:val="16"/>
              </w:rPr>
              <w:t>N/A</w:t>
            </w:r>
          </w:p>
        </w:tc>
        <w:tc>
          <w:tcPr>
            <w:tcW w:type="dxa" w:w="1872"/>
            <w:vAlign w:val="center"/>
            <w:shd w:val="clear" w:color="auto" w:fill="FFFFFF"/>
          </w:tcPr>
          <w:p>
            <w:pPr>
              <w:spacing w:before="40" w:after="40"/>
              <w:jc w:val="center"/>
            </w:pPr>
            <w:r>
              <w:rPr>
                <w:rFonts w:ascii="Times New Roman" w:hAnsi="Times New Roman"/>
                <w:b w:val="0"/>
                <w:sz w:val="16"/>
              </w:rPr>
              <w:t>13</w:t>
            </w:r>
          </w:p>
        </w:tc>
        <w:tc>
          <w:tcPr>
            <w:tcW w:type="dxa" w:w="1872"/>
            <w:vAlign w:val="center"/>
            <w:shd w:val="clear" w:color="auto" w:fill="FFFFFF"/>
          </w:tcPr>
          <w:p>
            <w:pPr>
              <w:spacing w:before="40" w:after="40"/>
              <w:jc w:val="center"/>
            </w:pPr>
            <w:r>
              <w:rPr>
                <w:rFonts w:ascii="Times New Roman" w:hAnsi="Times New Roman"/>
                <w:b w:val="0"/>
                <w:sz w:val="16"/>
              </w:rPr>
              <w:t>20</w:t>
            </w:r>
          </w:p>
        </w:tc>
        <w:tc>
          <w:tcPr>
            <w:tcW w:type="dxa" w:w="1872"/>
            <w:vAlign w:val="center"/>
            <w:shd w:val="clear" w:color="auto" w:fill="FFFFFF"/>
          </w:tcPr>
          <w:p>
            <w:pPr>
              <w:spacing w:before="40" w:after="40"/>
              <w:jc w:val="center"/>
            </w:pPr>
            <w:r>
              <w:rPr>
                <w:rFonts w:ascii="Times New Roman" w:hAnsi="Times New Roman"/>
                <w:b w:val="0"/>
                <w:sz w:val="16"/>
              </w:rPr>
              <w:t>11</w:t>
            </w:r>
          </w:p>
        </w:tc>
      </w:tr>
      <w:tr>
        <w:tc>
          <w:tcPr>
            <w:tcW w:type="dxa" w:w="1872"/>
            <w:vAlign w:val="center"/>
            <w:shd w:val="clear" w:color="auto" w:fill="EEF4FB"/>
          </w:tcPr>
          <w:p>
            <w:pPr>
              <w:spacing w:before="40" w:after="40"/>
              <w:jc w:val="left"/>
            </w:pPr>
            <w:r>
              <w:rPr>
                <w:rFonts w:ascii="Times New Roman" w:hAnsi="Times New Roman"/>
                <w:b/>
                <w:sz w:val="16"/>
              </w:rPr>
              <w:t>TN (True Negative)</w:t>
            </w:r>
          </w:p>
        </w:tc>
        <w:tc>
          <w:tcPr>
            <w:tcW w:type="dxa" w:w="1872"/>
            <w:vAlign w:val="center"/>
            <w:shd w:val="clear" w:color="auto" w:fill="EEF4FB"/>
          </w:tcPr>
          <w:p>
            <w:pPr>
              <w:spacing w:before="40" w:after="40"/>
              <w:jc w:val="center"/>
            </w:pPr>
            <w:r>
              <w:rPr>
                <w:rFonts w:ascii="Times New Roman" w:hAnsi="Times New Roman"/>
                <w:b w:val="0"/>
                <w:sz w:val="16"/>
              </w:rPr>
              <w:t>N/A</w:t>
            </w:r>
          </w:p>
        </w:tc>
        <w:tc>
          <w:tcPr>
            <w:tcW w:type="dxa" w:w="1872"/>
            <w:vAlign w:val="center"/>
            <w:shd w:val="clear" w:color="auto" w:fill="EEF4FB"/>
          </w:tcPr>
          <w:p>
            <w:pPr>
              <w:spacing w:before="40" w:after="40"/>
              <w:jc w:val="center"/>
            </w:pPr>
            <w:r>
              <w:rPr>
                <w:rFonts w:ascii="Times New Roman" w:hAnsi="Times New Roman"/>
                <w:b w:val="0"/>
                <w:sz w:val="16"/>
              </w:rPr>
              <w:t>486</w:t>
            </w:r>
          </w:p>
        </w:tc>
        <w:tc>
          <w:tcPr>
            <w:tcW w:type="dxa" w:w="1872"/>
            <w:vAlign w:val="center"/>
            <w:shd w:val="clear" w:color="auto" w:fill="EEF4FB"/>
          </w:tcPr>
          <w:p>
            <w:pPr>
              <w:spacing w:before="40" w:after="40"/>
              <w:jc w:val="center"/>
            </w:pPr>
            <w:r>
              <w:rPr>
                <w:rFonts w:ascii="Times New Roman" w:hAnsi="Times New Roman"/>
                <w:b w:val="0"/>
                <w:sz w:val="16"/>
              </w:rPr>
              <w:t>478</w:t>
            </w:r>
          </w:p>
        </w:tc>
        <w:tc>
          <w:tcPr>
            <w:tcW w:type="dxa" w:w="1872"/>
            <w:vAlign w:val="center"/>
            <w:shd w:val="clear" w:color="auto" w:fill="EEF4FB"/>
          </w:tcPr>
          <w:p>
            <w:pPr>
              <w:spacing w:before="40" w:after="40"/>
              <w:jc w:val="center"/>
            </w:pPr>
            <w:r>
              <w:rPr>
                <w:rFonts w:ascii="Times New Roman" w:hAnsi="Times New Roman"/>
                <w:b w:val="0"/>
                <w:sz w:val="16"/>
              </w:rPr>
              <w:t>487</w:t>
            </w:r>
          </w:p>
        </w:tc>
      </w:tr>
      <w:tr>
        <w:tc>
          <w:tcPr>
            <w:tcW w:type="dxa" w:w="1872"/>
            <w:vAlign w:val="center"/>
            <w:shd w:val="clear" w:color="auto" w:fill="FFFFFF"/>
          </w:tcPr>
          <w:p>
            <w:pPr>
              <w:spacing w:before="40" w:after="40"/>
              <w:jc w:val="left"/>
            </w:pPr>
            <w:r>
              <w:rPr>
                <w:rFonts w:ascii="Times New Roman" w:hAnsi="Times New Roman"/>
                <w:b/>
                <w:sz w:val="16"/>
              </w:rPr>
              <w:t>FN (False Negative)</w:t>
            </w:r>
          </w:p>
        </w:tc>
        <w:tc>
          <w:tcPr>
            <w:tcW w:type="dxa" w:w="1872"/>
            <w:vAlign w:val="center"/>
            <w:shd w:val="clear" w:color="auto" w:fill="FFFFFF"/>
          </w:tcPr>
          <w:p>
            <w:pPr>
              <w:spacing w:before="40" w:after="40"/>
              <w:jc w:val="center"/>
            </w:pPr>
            <w:r>
              <w:rPr>
                <w:rFonts w:ascii="Times New Roman" w:hAnsi="Times New Roman"/>
                <w:b w:val="0"/>
                <w:sz w:val="16"/>
              </w:rPr>
              <w:t>N/A</w:t>
            </w:r>
          </w:p>
        </w:tc>
        <w:tc>
          <w:tcPr>
            <w:tcW w:type="dxa" w:w="1872"/>
            <w:vAlign w:val="center"/>
            <w:shd w:val="clear" w:color="auto" w:fill="FFFFFF"/>
          </w:tcPr>
          <w:p>
            <w:pPr>
              <w:spacing w:before="40" w:after="40"/>
              <w:jc w:val="center"/>
            </w:pPr>
            <w:r>
              <w:rPr>
                <w:rFonts w:ascii="Times New Roman" w:hAnsi="Times New Roman"/>
                <w:b w:val="0"/>
                <w:sz w:val="16"/>
              </w:rPr>
              <w:t>58</w:t>
            </w:r>
          </w:p>
        </w:tc>
        <w:tc>
          <w:tcPr>
            <w:tcW w:type="dxa" w:w="1872"/>
            <w:vAlign w:val="center"/>
            <w:shd w:val="clear" w:color="auto" w:fill="FFFFFF"/>
          </w:tcPr>
          <w:p>
            <w:pPr>
              <w:spacing w:before="40" w:after="40"/>
              <w:jc w:val="center"/>
            </w:pPr>
            <w:r>
              <w:rPr>
                <w:rFonts w:ascii="Times New Roman" w:hAnsi="Times New Roman"/>
                <w:b w:val="0"/>
                <w:sz w:val="16"/>
              </w:rPr>
              <w:t>25</w:t>
            </w:r>
          </w:p>
        </w:tc>
        <w:tc>
          <w:tcPr>
            <w:tcW w:type="dxa" w:w="1872"/>
            <w:vAlign w:val="center"/>
            <w:shd w:val="clear" w:color="auto" w:fill="FFFFFF"/>
          </w:tcPr>
          <w:p>
            <w:pPr>
              <w:spacing w:before="40" w:after="40"/>
              <w:jc w:val="center"/>
            </w:pPr>
            <w:r>
              <w:rPr>
                <w:rFonts w:ascii="Times New Roman" w:hAnsi="Times New Roman"/>
                <w:b w:val="0"/>
                <w:sz w:val="16"/>
              </w:rPr>
              <w:t>19</w:t>
            </w:r>
          </w:p>
        </w:tc>
      </w:tr>
      <w:tr>
        <w:tc>
          <w:tcPr>
            <w:tcW w:type="dxa" w:w="1872"/>
            <w:vAlign w:val="center"/>
            <w:shd w:val="clear" w:color="auto" w:fill="EEF4FB"/>
          </w:tcPr>
          <w:p>
            <w:pPr>
              <w:spacing w:before="40" w:after="40"/>
              <w:jc w:val="left"/>
            </w:pPr>
            <w:r>
              <w:rPr>
                <w:rFonts w:ascii="Times New Roman" w:hAnsi="Times New Roman"/>
                <w:b/>
                <w:sz w:val="16"/>
              </w:rPr>
              <w:t>Comparability Status</w:t>
            </w:r>
          </w:p>
        </w:tc>
        <w:tc>
          <w:tcPr>
            <w:tcW w:type="dxa" w:w="1872"/>
            <w:vAlign w:val="center"/>
            <w:shd w:val="clear" w:color="auto" w:fill="EEF4FB"/>
          </w:tcPr>
          <w:p>
            <w:pPr>
              <w:spacing w:before="40" w:after="40"/>
              <w:jc w:val="center"/>
            </w:pPr>
            <w:r>
              <w:rPr>
                <w:rFonts w:ascii="Times New Roman" w:hAnsi="Times New Roman"/>
                <w:b w:val="0"/>
                <w:sz w:val="16"/>
              </w:rPr>
              <w:t>BENCHMARK_NOT_COMPARABLE</w:t>
            </w:r>
          </w:p>
        </w:tc>
        <w:tc>
          <w:tcPr>
            <w:tcW w:type="dxa" w:w="1872"/>
            <w:vAlign w:val="center"/>
            <w:shd w:val="clear" w:color="auto" w:fill="EEF4FB"/>
          </w:tcPr>
          <w:p>
            <w:pPr>
              <w:spacing w:before="40" w:after="40"/>
              <w:jc w:val="center"/>
            </w:pPr>
            <w:r>
              <w:rPr>
                <w:rFonts w:ascii="Times New Roman" w:hAnsi="Times New Roman"/>
                <w:b w:val="0"/>
                <w:sz w:val="16"/>
              </w:rPr>
              <w:t>Leak-Free (Directly Comparable)</w:t>
            </w:r>
          </w:p>
        </w:tc>
        <w:tc>
          <w:tcPr>
            <w:tcW w:type="dxa" w:w="1872"/>
            <w:vAlign w:val="center"/>
            <w:shd w:val="clear" w:color="auto" w:fill="EEF4FB"/>
          </w:tcPr>
          <w:p>
            <w:pPr>
              <w:spacing w:before="40" w:after="40"/>
              <w:jc w:val="center"/>
            </w:pPr>
            <w:r>
              <w:rPr>
                <w:rFonts w:ascii="Times New Roman" w:hAnsi="Times New Roman"/>
                <w:b w:val="0"/>
                <w:sz w:val="16"/>
              </w:rPr>
              <w:t>Leak-Free (Directly Comparable)</w:t>
            </w:r>
          </w:p>
        </w:tc>
        <w:tc>
          <w:tcPr>
            <w:tcW w:type="dxa" w:w="1872"/>
            <w:vAlign w:val="center"/>
            <w:shd w:val="clear" w:color="auto" w:fill="EEF4FB"/>
          </w:tcPr>
          <w:p>
            <w:pPr>
              <w:spacing w:before="40" w:after="40"/>
              <w:jc w:val="center"/>
            </w:pPr>
            <w:r>
              <w:rPr>
                <w:rFonts w:ascii="Times New Roman" w:hAnsi="Times New Roman"/>
                <w:b w:val="0"/>
                <w:sz w:val="16"/>
              </w:rPr>
              <w:t>Leak-Free (Directly Comparable)</w:t>
            </w:r>
          </w:p>
        </w:tc>
      </w:tr>
    </w:tbl>
    <w:p/>
    <w:p>
      <w:pPr>
        <w:spacing w:before="160" w:after="40"/>
        <w:ind w:left="720" w:right="720"/>
        <w:jc w:val="center"/>
      </w:pPr>
      <w:r>
        <w:rPr>
          <w:rFonts w:ascii="Times New Roman" w:hAnsi="Times New Roman"/>
          <w:i/>
          <w:color w:val="555555"/>
          <w:sz w:val="18"/>
        </w:rPr>
        <w:t>[INSERT FIGURE 1: ROC Curve Comparison: Base-Paper Reproduction (AUC=87.11%) vs Historical Baseline (AUC=90.69%) vs Proposed Two-Stage System (AUC=92.30%) on Locked Holdout N=594]</w:t>
      </w:r>
    </w:p>
    <w:p>
      <w:pPr>
        <w:spacing w:before="80" w:after="120"/>
        <w:jc w:val="center"/>
      </w:pPr>
      <w:r>
        <w:rPr>
          <w:rFonts w:ascii="Times New Roman" w:hAnsi="Times New Roman"/>
          <w:b/>
          <w:sz w:val="18"/>
        </w:rPr>
        <w:t xml:space="preserve">Fig. 1. </w:t>
      </w:r>
      <w:r>
        <w:rPr>
          <w:rFonts w:ascii="Times New Roman" w:hAnsi="Times New Roman"/>
          <w:sz w:val="18"/>
        </w:rPr>
        <w:t>ROC curve comparison on the locked holdout (N=594). The proposed two-stage selective system achieves ROC-AUC=92.30%, outperforming both the base-paper reproduction (87.11%) and the single-stage historical baseline (90.69%).</w:t>
      </w:r>
    </w:p>
    <w:p>
      <w:pPr>
        <w:spacing w:before="160" w:after="40"/>
        <w:ind w:left="720" w:right="720"/>
        <w:jc w:val="center"/>
      </w:pPr>
      <w:r>
        <w:rPr>
          <w:rFonts w:ascii="Times New Roman" w:hAnsi="Times New Roman"/>
          <w:i/>
          <w:color w:val="555555"/>
          <w:sz w:val="18"/>
        </w:rPr>
        <w:t>[INSERT FIGURE 2: Confusion Matrix Heatmap: Proposed Two-Stage Selective System (TP=77, FP=11, TN=487, FN=19; 30 Total Errors / 594)]</w:t>
      </w:r>
    </w:p>
    <w:p>
      <w:pPr>
        <w:spacing w:before="80" w:after="120"/>
        <w:jc w:val="center"/>
      </w:pPr>
      <w:r>
        <w:rPr>
          <w:rFonts w:ascii="Times New Roman" w:hAnsi="Times New Roman"/>
          <w:b/>
          <w:sz w:val="18"/>
        </w:rPr>
        <w:t xml:space="preserve">Fig. 2. </w:t>
      </w:r>
      <w:r>
        <w:rPr>
          <w:rFonts w:ascii="Times New Roman" w:hAnsi="Times New Roman"/>
          <w:sz w:val="18"/>
        </w:rPr>
        <w:t>Confusion matrix of the proposed two-stage selective system on the locked holdout (N=594): TP=77, FP=11, TN=487, FN=19; 30 total errors (5.05% error rate).</w:t>
      </w:r>
    </w:p>
    <w:p>
      <w:pPr>
        <w:spacing w:before="160" w:after="80"/>
        <w:jc w:val="left"/>
      </w:pPr>
      <w:r>
        <w:rPr>
          <w:rFonts w:ascii="Times New Roman" w:hAnsi="Times New Roman"/>
          <w:b/>
          <w:i/>
          <w:sz w:val="20"/>
        </w:rPr>
        <w:t>E. Holdout Error Analysis and Information Boundary</w:t>
      </w:r>
    </w:p>
    <w:p>
      <w:pPr>
        <w:spacing w:before="0" w:after="120"/>
        <w:ind w:firstLine="280"/>
        <w:jc w:val="both"/>
      </w:pPr>
      <w:r>
        <w:rPr>
          <w:rFonts w:ascii="Times New Roman" w:hAnsi="Times New Roman"/>
          <w:b w:val="0"/>
          <w:sz w:val="20"/>
        </w:rPr>
        <w:t>The 30 remaining holdout errors consist of 11 False Positives (FP) and 19 False Negatives (FN). Analysis of the 11 FP cases reveals employees exhibiting strong attrition signals in their feature profiles (low TenureToAgeRatio, high PromotionLagScore, elevated CommuteBurdenIndex, low CompositeSatisfaction) who nevertheless remained with the organization. These likely represent employees who were genuinely at departure risk but were retained through unobserved organizational interventions (promotions, compensation adjustments, role changes) that occurred after the measurement date.</w:t>
      </w:r>
    </w:p>
    <w:p>
      <w:pPr>
        <w:spacing w:before="0" w:after="120"/>
        <w:ind w:firstLine="280"/>
        <w:jc w:val="both"/>
      </w:pPr>
      <w:r>
        <w:rPr>
          <w:rFonts w:ascii="Times New Roman" w:hAnsi="Times New Roman"/>
          <w:b w:val="0"/>
          <w:sz w:val="20"/>
        </w:rPr>
        <w:t>The 19 FN cases represent employees with high organizational tenure, top-quartile salary grades, and strong satisfaction scores who departed—driven by unobserved external market factors (competitive job offers, personal relocation, family events) that leave no detectable signal in the available HR feature space. The convergence of multiple independent architectures (Stage-10 and Stage-13 systems both achieving exactly 30 errors) confirms that 30 errors represents the information boundary inherent to the available feature set: further architectural complexity beyond two-stage routing provides no additional holdout error reduction on this dataset.</w:t>
      </w:r>
    </w:p>
    <w:p>
      <w:pPr>
        <w:spacing w:before="160" w:after="80"/>
        <w:jc w:val="left"/>
      </w:pPr>
      <w:r>
        <w:rPr>
          <w:rFonts w:ascii="Times New Roman" w:hAnsi="Times New Roman"/>
          <w:b/>
          <w:i/>
          <w:sz w:val="20"/>
        </w:rPr>
        <w:t>F. Cross-Validation Generalizability</w:t>
      </w:r>
    </w:p>
    <w:p>
      <w:pPr>
        <w:spacing w:before="0" w:after="80"/>
        <w:ind w:firstLine="280"/>
        <w:jc w:val="both"/>
      </w:pPr>
      <w:r>
        <w:rPr>
          <w:rFonts w:ascii="Times New Roman" w:hAnsi="Times New Roman"/>
          <w:b w:val="0"/>
          <w:sz w:val="20"/>
        </w:rPr>
        <w:t>Table IV presents the 25-fold repeated stratified nested cross-validation results for all three system configurations, confirming robust generalizability of the proposed framework.</w:t>
      </w:r>
    </w:p>
    <w:p>
      <w:pPr>
        <w:spacing w:before="80" w:after="120"/>
        <w:jc w:val="center"/>
      </w:pPr>
      <w:r>
        <w:rPr>
          <w:rFonts w:ascii="Times New Roman" w:hAnsi="Times New Roman"/>
          <w:b/>
          <w:sz w:val="18"/>
        </w:rPr>
        <w:t xml:space="preserve">TABLE 4. </w:t>
      </w:r>
      <w:r>
        <w:rPr>
          <w:rFonts w:ascii="Times New Roman" w:hAnsi="Times New Roman"/>
          <w:b/>
          <w:sz w:val="18"/>
        </w:rPr>
        <w:t>25-FOLD REPEATED STRATIFIED NESTED CROSS-VALIDATION RESULTS (N=2,969)</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shd w:val="clear" w:color="auto" w:fill="2E5FA3"/>
          </w:tcPr>
          <w:p>
            <w:pPr>
              <w:spacing w:before="40" w:after="40"/>
              <w:jc w:val="center"/>
            </w:pPr>
            <w:r>
              <w:rPr>
                <w:rFonts w:ascii="Times New Roman" w:hAnsi="Times New Roman"/>
                <w:b/>
                <w:color w:val="FFFFFF"/>
                <w:sz w:val="16"/>
              </w:rPr>
              <w:t>System</w:t>
            </w:r>
          </w:p>
        </w:tc>
        <w:tc>
          <w:tcPr>
            <w:tcW w:type="dxa" w:w="1337"/>
            <w:vAlign w:val="center"/>
            <w:shd w:val="clear" w:color="auto" w:fill="2E5FA3"/>
          </w:tcPr>
          <w:p>
            <w:pPr>
              <w:spacing w:before="40" w:after="40"/>
              <w:jc w:val="center"/>
            </w:pPr>
            <w:r>
              <w:rPr>
                <w:rFonts w:ascii="Times New Roman" w:hAnsi="Times New Roman"/>
                <w:b/>
                <w:color w:val="FFFFFF"/>
                <w:sz w:val="16"/>
              </w:rPr>
              <w:t>Accuracy</w:t>
            </w:r>
          </w:p>
        </w:tc>
        <w:tc>
          <w:tcPr>
            <w:tcW w:type="dxa" w:w="1337"/>
            <w:vAlign w:val="center"/>
            <w:shd w:val="clear" w:color="auto" w:fill="2E5FA3"/>
          </w:tcPr>
          <w:p>
            <w:pPr>
              <w:spacing w:before="40" w:after="40"/>
              <w:jc w:val="center"/>
            </w:pPr>
            <w:r>
              <w:rPr>
                <w:rFonts w:ascii="Times New Roman" w:hAnsi="Times New Roman"/>
                <w:b/>
                <w:color w:val="FFFFFF"/>
                <w:sz w:val="16"/>
              </w:rPr>
              <w:t>Precision</w:t>
            </w:r>
          </w:p>
        </w:tc>
        <w:tc>
          <w:tcPr>
            <w:tcW w:type="dxa" w:w="1337"/>
            <w:vAlign w:val="center"/>
            <w:shd w:val="clear" w:color="auto" w:fill="2E5FA3"/>
          </w:tcPr>
          <w:p>
            <w:pPr>
              <w:spacing w:before="40" w:after="40"/>
              <w:jc w:val="center"/>
            </w:pPr>
            <w:r>
              <w:rPr>
                <w:rFonts w:ascii="Times New Roman" w:hAnsi="Times New Roman"/>
                <w:b/>
                <w:color w:val="FFFFFF"/>
                <w:sz w:val="16"/>
              </w:rPr>
              <w:t>Recall</w:t>
            </w:r>
          </w:p>
        </w:tc>
        <w:tc>
          <w:tcPr>
            <w:tcW w:type="dxa" w:w="1337"/>
            <w:vAlign w:val="center"/>
            <w:shd w:val="clear" w:color="auto" w:fill="2E5FA3"/>
          </w:tcPr>
          <w:p>
            <w:pPr>
              <w:spacing w:before="40" w:after="40"/>
              <w:jc w:val="center"/>
            </w:pPr>
            <w:r>
              <w:rPr>
                <w:rFonts w:ascii="Times New Roman" w:hAnsi="Times New Roman"/>
                <w:b/>
                <w:color w:val="FFFFFF"/>
                <w:sz w:val="16"/>
              </w:rPr>
              <w:t>F1-Score</w:t>
            </w:r>
          </w:p>
        </w:tc>
        <w:tc>
          <w:tcPr>
            <w:tcW w:type="dxa" w:w="1337"/>
            <w:vAlign w:val="center"/>
            <w:shd w:val="clear" w:color="auto" w:fill="2E5FA3"/>
          </w:tcPr>
          <w:p>
            <w:pPr>
              <w:spacing w:before="40" w:after="40"/>
              <w:jc w:val="center"/>
            </w:pPr>
            <w:r>
              <w:rPr>
                <w:rFonts w:ascii="Times New Roman" w:hAnsi="Times New Roman"/>
                <w:b/>
                <w:color w:val="FFFFFF"/>
                <w:sz w:val="16"/>
              </w:rPr>
              <w:t>ROC-AUC</w:t>
            </w:r>
          </w:p>
        </w:tc>
        <w:tc>
          <w:tcPr>
            <w:tcW w:type="dxa" w:w="1337"/>
            <w:vAlign w:val="center"/>
            <w:shd w:val="clear" w:color="auto" w:fill="2E5FA3"/>
          </w:tcPr>
          <w:p>
            <w:pPr>
              <w:spacing w:before="40" w:after="40"/>
              <w:jc w:val="center"/>
            </w:pPr>
            <w:r>
              <w:rPr>
                <w:rFonts w:ascii="Times New Roman" w:hAnsi="Times New Roman"/>
                <w:b/>
                <w:color w:val="FFFFFF"/>
                <w:sz w:val="16"/>
              </w:rPr>
              <w:t>Mean Errors</w:t>
            </w:r>
          </w:p>
        </w:tc>
      </w:tr>
      <w:tr>
        <w:tc>
          <w:tcPr>
            <w:tcW w:type="dxa" w:w="1337"/>
            <w:vAlign w:val="center"/>
            <w:shd w:val="clear" w:color="auto" w:fill="EEF4FB"/>
          </w:tcPr>
          <w:p>
            <w:pPr>
              <w:spacing w:before="40" w:after="40"/>
              <w:jc w:val="left"/>
            </w:pPr>
            <w:r>
              <w:rPr>
                <w:rFonts w:ascii="Times New Roman" w:hAnsi="Times New Roman"/>
                <w:b/>
                <w:sz w:val="16"/>
              </w:rPr>
              <w:t>K=33 Anchor Alone</w:t>
            </w:r>
          </w:p>
        </w:tc>
        <w:tc>
          <w:tcPr>
            <w:tcW w:type="dxa" w:w="1337"/>
            <w:vAlign w:val="center"/>
            <w:shd w:val="clear" w:color="auto" w:fill="EEF4FB"/>
          </w:tcPr>
          <w:p>
            <w:pPr>
              <w:spacing w:before="40" w:after="40"/>
              <w:jc w:val="center"/>
            </w:pPr>
            <w:r>
              <w:rPr>
                <w:rFonts w:ascii="Times New Roman" w:hAnsi="Times New Roman"/>
                <w:b w:val="0"/>
                <w:sz w:val="16"/>
              </w:rPr>
              <w:t>95.36% +/-0.97%</w:t>
            </w:r>
          </w:p>
        </w:tc>
        <w:tc>
          <w:tcPr>
            <w:tcW w:type="dxa" w:w="1337"/>
            <w:vAlign w:val="center"/>
            <w:shd w:val="clear" w:color="auto" w:fill="EEF4FB"/>
          </w:tcPr>
          <w:p>
            <w:pPr>
              <w:spacing w:before="40" w:after="40"/>
              <w:jc w:val="center"/>
            </w:pPr>
            <w:r>
              <w:rPr>
                <w:rFonts w:ascii="Times New Roman" w:hAnsi="Times New Roman"/>
                <w:b w:val="0"/>
                <w:sz w:val="16"/>
              </w:rPr>
              <w:t>90.32% +/-3.51%</w:t>
            </w:r>
          </w:p>
        </w:tc>
        <w:tc>
          <w:tcPr>
            <w:tcW w:type="dxa" w:w="1337"/>
            <w:vAlign w:val="center"/>
            <w:shd w:val="clear" w:color="auto" w:fill="EEF4FB"/>
          </w:tcPr>
          <w:p>
            <w:pPr>
              <w:spacing w:before="40" w:after="40"/>
              <w:jc w:val="center"/>
            </w:pPr>
            <w:r>
              <w:rPr>
                <w:rFonts w:ascii="Times New Roman" w:hAnsi="Times New Roman"/>
                <w:b w:val="0"/>
                <w:sz w:val="16"/>
              </w:rPr>
              <w:t>79.96% +/-4.84%</w:t>
            </w:r>
          </w:p>
        </w:tc>
        <w:tc>
          <w:tcPr>
            <w:tcW w:type="dxa" w:w="1337"/>
            <w:vAlign w:val="center"/>
            <w:shd w:val="clear" w:color="auto" w:fill="EEF4FB"/>
          </w:tcPr>
          <w:p>
            <w:pPr>
              <w:spacing w:before="40" w:after="40"/>
              <w:jc w:val="center"/>
            </w:pPr>
            <w:r>
              <w:rPr>
                <w:rFonts w:ascii="Times New Roman" w:hAnsi="Times New Roman"/>
                <w:b w:val="0"/>
                <w:sz w:val="16"/>
              </w:rPr>
              <w:t>84.73% +/-3.35%</w:t>
            </w:r>
          </w:p>
        </w:tc>
        <w:tc>
          <w:tcPr>
            <w:tcW w:type="dxa" w:w="1337"/>
            <w:vAlign w:val="center"/>
            <w:shd w:val="clear" w:color="auto" w:fill="EEF4FB"/>
          </w:tcPr>
          <w:p>
            <w:pPr>
              <w:spacing w:before="40" w:after="40"/>
              <w:jc w:val="center"/>
            </w:pPr>
            <w:r>
              <w:rPr>
                <w:rFonts w:ascii="Times New Roman" w:hAnsi="Times New Roman"/>
                <w:b w:val="0"/>
                <w:sz w:val="16"/>
              </w:rPr>
              <w:t>95.00% +/-2.31%</w:t>
            </w:r>
          </w:p>
        </w:tc>
        <w:tc>
          <w:tcPr>
            <w:tcW w:type="dxa" w:w="1337"/>
            <w:vAlign w:val="center"/>
            <w:shd w:val="clear" w:color="auto" w:fill="EEF4FB"/>
          </w:tcPr>
          <w:p>
            <w:pPr>
              <w:spacing w:before="40" w:after="40"/>
              <w:jc w:val="center"/>
            </w:pPr>
            <w:r>
              <w:rPr>
                <w:rFonts w:ascii="Times New Roman" w:hAnsi="Times New Roman"/>
                <w:b w:val="0"/>
                <w:sz w:val="16"/>
              </w:rPr>
              <w:t>27.6 +/-5.8</w:t>
            </w:r>
          </w:p>
        </w:tc>
      </w:tr>
      <w:tr>
        <w:tc>
          <w:tcPr>
            <w:tcW w:type="dxa" w:w="1337"/>
            <w:vAlign w:val="center"/>
            <w:shd w:val="clear" w:color="auto" w:fill="FFFFFF"/>
          </w:tcPr>
          <w:p>
            <w:pPr>
              <w:spacing w:before="40" w:after="40"/>
              <w:jc w:val="left"/>
            </w:pPr>
            <w:r>
              <w:rPr>
                <w:rFonts w:ascii="Times New Roman" w:hAnsi="Times New Roman"/>
                <w:b/>
                <w:sz w:val="16"/>
              </w:rPr>
              <w:t>Historical Baseline (V2)</w:t>
            </w:r>
          </w:p>
        </w:tc>
        <w:tc>
          <w:tcPr>
            <w:tcW w:type="dxa" w:w="1337"/>
            <w:vAlign w:val="center"/>
            <w:shd w:val="clear" w:color="auto" w:fill="FFFFFF"/>
          </w:tcPr>
          <w:p>
            <w:pPr>
              <w:spacing w:before="40" w:after="40"/>
              <w:jc w:val="center"/>
            </w:pPr>
            <w:r>
              <w:rPr>
                <w:rFonts w:ascii="Times New Roman" w:hAnsi="Times New Roman"/>
                <w:b w:val="0"/>
                <w:sz w:val="16"/>
              </w:rPr>
              <w:t>89.83% +/-1.52%</w:t>
            </w:r>
          </w:p>
        </w:tc>
        <w:tc>
          <w:tcPr>
            <w:tcW w:type="dxa" w:w="1337"/>
            <w:vAlign w:val="center"/>
            <w:shd w:val="clear" w:color="auto" w:fill="FFFFFF"/>
          </w:tcPr>
          <w:p>
            <w:pPr>
              <w:spacing w:before="40" w:after="40"/>
              <w:jc w:val="center"/>
            </w:pPr>
            <w:r>
              <w:rPr>
                <w:rFonts w:ascii="Times New Roman" w:hAnsi="Times New Roman"/>
                <w:b w:val="0"/>
                <w:sz w:val="16"/>
              </w:rPr>
              <w:t>66.77% +/-4.05%</w:t>
            </w:r>
          </w:p>
        </w:tc>
        <w:tc>
          <w:tcPr>
            <w:tcW w:type="dxa" w:w="1337"/>
            <w:vAlign w:val="center"/>
            <w:shd w:val="clear" w:color="auto" w:fill="FFFFFF"/>
          </w:tcPr>
          <w:p>
            <w:pPr>
              <w:spacing w:before="40" w:after="40"/>
              <w:jc w:val="center"/>
            </w:pPr>
            <w:r>
              <w:rPr>
                <w:rFonts w:ascii="Times New Roman" w:hAnsi="Times New Roman"/>
                <w:b w:val="0"/>
                <w:sz w:val="16"/>
              </w:rPr>
              <w:t>73.75% +/-6.39%</w:t>
            </w:r>
          </w:p>
        </w:tc>
        <w:tc>
          <w:tcPr>
            <w:tcW w:type="dxa" w:w="1337"/>
            <w:vAlign w:val="center"/>
            <w:shd w:val="clear" w:color="auto" w:fill="FFFFFF"/>
          </w:tcPr>
          <w:p>
            <w:pPr>
              <w:spacing w:before="40" w:after="40"/>
              <w:jc w:val="center"/>
            </w:pPr>
            <w:r>
              <w:rPr>
                <w:rFonts w:ascii="Times New Roman" w:hAnsi="Times New Roman"/>
                <w:b w:val="0"/>
                <w:sz w:val="16"/>
              </w:rPr>
              <w:t>70.03% +/-4.86%</w:t>
            </w:r>
          </w:p>
        </w:tc>
        <w:tc>
          <w:tcPr>
            <w:tcW w:type="dxa" w:w="1337"/>
            <w:vAlign w:val="center"/>
            <w:shd w:val="clear" w:color="auto" w:fill="FFFFFF"/>
          </w:tcPr>
          <w:p>
            <w:pPr>
              <w:spacing w:before="40" w:after="40"/>
              <w:jc w:val="center"/>
            </w:pPr>
            <w:r>
              <w:rPr>
                <w:rFonts w:ascii="Times New Roman" w:hAnsi="Times New Roman"/>
                <w:b w:val="0"/>
                <w:sz w:val="16"/>
              </w:rPr>
              <w:t>91.54% +/-2.26%</w:t>
            </w:r>
          </w:p>
        </w:tc>
        <w:tc>
          <w:tcPr>
            <w:tcW w:type="dxa" w:w="1337"/>
            <w:vAlign w:val="center"/>
            <w:shd w:val="clear" w:color="auto" w:fill="FFFFFF"/>
          </w:tcPr>
          <w:p>
            <w:pPr>
              <w:spacing w:before="40" w:after="40"/>
              <w:jc w:val="center"/>
            </w:pPr>
            <w:r>
              <w:rPr>
                <w:rFonts w:ascii="Times New Roman" w:hAnsi="Times New Roman"/>
                <w:b w:val="0"/>
                <w:sz w:val="16"/>
              </w:rPr>
              <w:t>N/A</w:t>
            </w:r>
          </w:p>
        </w:tc>
      </w:tr>
      <w:tr>
        <w:tc>
          <w:tcPr>
            <w:tcW w:type="dxa" w:w="1337"/>
            <w:vAlign w:val="center"/>
            <w:shd w:val="clear" w:color="auto" w:fill="EEF4FB"/>
          </w:tcPr>
          <w:p>
            <w:pPr>
              <w:spacing w:before="40" w:after="40"/>
              <w:jc w:val="left"/>
            </w:pPr>
            <w:r>
              <w:rPr>
                <w:rFonts w:ascii="Times New Roman" w:hAnsi="Times New Roman"/>
                <w:b/>
                <w:sz w:val="16"/>
              </w:rPr>
              <w:t>Proposed Two-Stage System</w:t>
            </w:r>
          </w:p>
        </w:tc>
        <w:tc>
          <w:tcPr>
            <w:tcW w:type="dxa" w:w="1337"/>
            <w:vAlign w:val="center"/>
            <w:shd w:val="clear" w:color="auto" w:fill="EEF4FB"/>
          </w:tcPr>
          <w:p>
            <w:pPr>
              <w:spacing w:before="40" w:after="40"/>
              <w:jc w:val="center"/>
            </w:pPr>
            <w:r>
              <w:rPr>
                <w:rFonts w:ascii="Times New Roman" w:hAnsi="Times New Roman"/>
                <w:b w:val="0"/>
                <w:sz w:val="16"/>
              </w:rPr>
              <w:t>95.41% +/-0.98%</w:t>
            </w:r>
          </w:p>
        </w:tc>
        <w:tc>
          <w:tcPr>
            <w:tcW w:type="dxa" w:w="1337"/>
            <w:vAlign w:val="center"/>
            <w:shd w:val="clear" w:color="auto" w:fill="EEF4FB"/>
          </w:tcPr>
          <w:p>
            <w:pPr>
              <w:spacing w:before="40" w:after="40"/>
              <w:jc w:val="center"/>
            </w:pPr>
            <w:r>
              <w:rPr>
                <w:rFonts w:ascii="Times New Roman" w:hAnsi="Times New Roman"/>
                <w:b w:val="0"/>
                <w:sz w:val="16"/>
              </w:rPr>
              <w:t>88.49% +/-3.70%</w:t>
            </w:r>
          </w:p>
        </w:tc>
        <w:tc>
          <w:tcPr>
            <w:tcW w:type="dxa" w:w="1337"/>
            <w:vAlign w:val="center"/>
            <w:shd w:val="clear" w:color="auto" w:fill="EEF4FB"/>
          </w:tcPr>
          <w:p>
            <w:pPr>
              <w:spacing w:before="40" w:after="40"/>
              <w:jc w:val="center"/>
            </w:pPr>
            <w:r>
              <w:rPr>
                <w:rFonts w:ascii="Times New Roman" w:hAnsi="Times New Roman"/>
                <w:b w:val="0"/>
                <w:sz w:val="16"/>
              </w:rPr>
              <w:t>82.46% +/-4.84%</w:t>
            </w:r>
          </w:p>
        </w:tc>
        <w:tc>
          <w:tcPr>
            <w:tcW w:type="dxa" w:w="1337"/>
            <w:vAlign w:val="center"/>
            <w:shd w:val="clear" w:color="auto" w:fill="EEF4FB"/>
          </w:tcPr>
          <w:p>
            <w:pPr>
              <w:spacing w:before="40" w:after="40"/>
              <w:jc w:val="center"/>
            </w:pPr>
            <w:r>
              <w:rPr>
                <w:rFonts w:ascii="Times New Roman" w:hAnsi="Times New Roman"/>
                <w:b w:val="0"/>
                <w:sz w:val="16"/>
              </w:rPr>
              <w:t>85.27% +/-3.27%</w:t>
            </w:r>
          </w:p>
        </w:tc>
        <w:tc>
          <w:tcPr>
            <w:tcW w:type="dxa" w:w="1337"/>
            <w:vAlign w:val="center"/>
            <w:shd w:val="clear" w:color="auto" w:fill="EEF4FB"/>
          </w:tcPr>
          <w:p>
            <w:pPr>
              <w:spacing w:before="40" w:after="40"/>
              <w:jc w:val="center"/>
            </w:pPr>
            <w:r>
              <w:rPr>
                <w:rFonts w:ascii="Times New Roman" w:hAnsi="Times New Roman"/>
                <w:b w:val="0"/>
                <w:sz w:val="16"/>
              </w:rPr>
              <w:t>95.13% +/-2.33%</w:t>
            </w:r>
          </w:p>
        </w:tc>
        <w:tc>
          <w:tcPr>
            <w:tcW w:type="dxa" w:w="1337"/>
            <w:vAlign w:val="center"/>
            <w:shd w:val="clear" w:color="auto" w:fill="EEF4FB"/>
          </w:tcPr>
          <w:p>
            <w:pPr>
              <w:spacing w:before="40" w:after="40"/>
              <w:jc w:val="center"/>
            </w:pPr>
            <w:r>
              <w:rPr>
                <w:rFonts w:ascii="Times New Roman" w:hAnsi="Times New Roman"/>
                <w:b w:val="0"/>
                <w:sz w:val="16"/>
              </w:rPr>
              <w:t>27.3 +/-5.8</w:t>
            </w:r>
          </w:p>
        </w:tc>
      </w:tr>
    </w:tbl>
    <w:p/>
    <w:p>
      <w:pPr>
        <w:spacing w:before="0" w:after="120"/>
        <w:ind w:firstLine="280"/>
        <w:jc w:val="both"/>
      </w:pPr>
      <w:r>
        <w:rPr>
          <w:rFonts w:ascii="Times New Roman" w:hAnsi="Times New Roman"/>
          <w:b w:val="0"/>
          <w:sz w:val="20"/>
        </w:rPr>
        <w:t>The proposed two-stage system achieves statistically significant improvements in Recall (+2.50 percentage points, Wilcoxon p=0.0000) and ROC-AUC (+0.13 percentage points, p=0.0000) over the K=33 Anchor alone, confirming that specialist routing provides genuine generalization benefit. The Precision slight reduction (-1.84 percentage points, p=0.0000) reflects the specialist's bias toward minority class recall at the routing boundary, which is the architecturally intended behavior for hard-case recovery.</w:t>
      </w:r>
    </w:p>
    <w:p>
      <w:pPr>
        <w:spacing w:before="160" w:after="80"/>
        <w:jc w:val="left"/>
      </w:pPr>
      <w:r>
        <w:rPr>
          <w:rFonts w:ascii="Times New Roman" w:hAnsi="Times New Roman"/>
          <w:b/>
          <w:i/>
          <w:sz w:val="20"/>
        </w:rPr>
        <w:t>G. Discussion</w:t>
      </w:r>
    </w:p>
    <w:p>
      <w:pPr>
        <w:spacing w:before="0" w:after="120"/>
        <w:ind w:firstLine="280"/>
        <w:jc w:val="both"/>
      </w:pPr>
      <w:r>
        <w:rPr>
          <w:rFonts w:ascii="Times New Roman" w:hAnsi="Times New Roman"/>
          <w:b w:val="0"/>
          <w:sz w:val="20"/>
        </w:rPr>
        <w:t>The experimental results validate the core thesis of this paper: that confidence-based routing of hard cases to a specialist model trained on an augmented feature representation systematically improves classification performance beyond what a uniform single-stage classifier achieves. Three structural advantages of the proposed framework drive the performance improvement. First, stage-specific feature representations (K=33 Anchor, K=37 Specialist) allow each stage to employ the feature subset most informative for its specific classification regime. Second, the confidence-based routing gate eliminates the forced single-boundary classification of genuinely uncertain profiles. Third, the empirically calibrated threshold (tau=0.4850) derived from out-of-fold distributions provides better class boundary alignment than standard tau=0.500 under 5.185:1 imbalance.</w:t>
      </w:r>
    </w:p>
    <w:p>
      <w:pPr>
        <w:spacing w:before="0" w:after="120"/>
        <w:ind w:firstLine="280"/>
        <w:jc w:val="both"/>
      </w:pPr>
      <w:r>
        <w:rPr>
          <w:rFonts w:ascii="Times New Roman" w:hAnsi="Times New Roman"/>
          <w:b w:val="0"/>
          <w:sz w:val="20"/>
        </w:rPr>
        <w:t>The forensic audit findings provide an important methodological contribution to the HR analytics literature. The demonstration that pre-split SMOTE artificially inflates F1-score from 44.76% to 94.58%—an inflation of +49.82 percentage points from synthetic cross-contamination on identical architecture—establishes that published benchmarks exceeding this performance range must be carefully scrutinized for evaluation protocol validity. Researchers evaluating future models against published HR turnover benchmarks should verify the oversampling protocol before drawing comparability conclusions.</w:t>
      </w:r>
    </w:p>
    <w:p>
      <w:pPr>
        <w:spacing w:before="240" w:after="120"/>
        <w:jc w:val="center"/>
      </w:pPr>
      <w:r>
        <w:rPr>
          <w:rFonts w:ascii="Times New Roman" w:hAnsi="Times New Roman"/>
          <w:b/>
          <w:sz w:val="20"/>
        </w:rPr>
        <w:t>VII. SHAP-BASED INTERPRETABILITY</w:t>
      </w:r>
    </w:p>
    <w:p>
      <w:pPr>
        <w:spacing w:before="0" w:after="120"/>
        <w:ind w:firstLine="280"/>
        <w:jc w:val="both"/>
      </w:pPr>
      <w:r>
        <w:rPr>
          <w:rFonts w:ascii="Times New Roman" w:hAnsi="Times New Roman"/>
          <w:b w:val="0"/>
          <w:sz w:val="20"/>
        </w:rPr>
        <w:t>SHAP TreeExplainer global attribution analysis on the frozen K=33 Anchor model computes mean absolute SHAP values across all 2,969 employee profiles, providing a globally consistent feature importance ranking grounded in cooperative game theory [20]. The top-ranked features by mean |SHAP value| are presented in Table V.</w:t>
      </w:r>
    </w:p>
    <w:p>
      <w:pPr>
        <w:spacing w:before="80" w:after="120"/>
        <w:jc w:val="center"/>
      </w:pPr>
      <w:r>
        <w:rPr>
          <w:rFonts w:ascii="Times New Roman" w:hAnsi="Times New Roman"/>
          <w:b/>
          <w:sz w:val="18"/>
        </w:rPr>
        <w:t xml:space="preserve">TABLE 5. </w:t>
      </w:r>
      <w:r>
        <w:rPr>
          <w:rFonts w:ascii="Times New Roman" w:hAnsi="Times New Roman"/>
          <w:b/>
          <w:sz w:val="18"/>
        </w:rPr>
        <w:t>SHAP GLOBAL FEATURE IMPORTANCE RANKING (K=33 CATBOOST ANCHOR MODEL)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val="clear" w:color="auto" w:fill="2E5FA3"/>
          </w:tcPr>
          <w:p>
            <w:pPr>
              <w:spacing w:before="40" w:after="40"/>
              <w:jc w:val="center"/>
            </w:pPr>
            <w:r>
              <w:rPr>
                <w:rFonts w:ascii="Times New Roman" w:hAnsi="Times New Roman"/>
                <w:b/>
                <w:color w:val="FFFFFF"/>
                <w:sz w:val="16"/>
              </w:rPr>
              <w:t>Rank</w:t>
            </w:r>
          </w:p>
        </w:tc>
        <w:tc>
          <w:tcPr>
            <w:tcW w:type="dxa" w:w="2340"/>
            <w:vAlign w:val="center"/>
            <w:shd w:val="clear" w:color="auto" w:fill="2E5FA3"/>
          </w:tcPr>
          <w:p>
            <w:pPr>
              <w:spacing w:before="40" w:after="40"/>
              <w:jc w:val="center"/>
            </w:pPr>
            <w:r>
              <w:rPr>
                <w:rFonts w:ascii="Times New Roman" w:hAnsi="Times New Roman"/>
                <w:b/>
                <w:color w:val="FFFFFF"/>
                <w:sz w:val="16"/>
              </w:rPr>
              <w:t>Feature</w:t>
            </w:r>
          </w:p>
        </w:tc>
        <w:tc>
          <w:tcPr>
            <w:tcW w:type="dxa" w:w="2340"/>
            <w:vAlign w:val="center"/>
            <w:shd w:val="clear" w:color="auto" w:fill="2E5FA3"/>
          </w:tcPr>
          <w:p>
            <w:pPr>
              <w:spacing w:before="40" w:after="40"/>
              <w:jc w:val="center"/>
            </w:pPr>
            <w:r>
              <w:rPr>
                <w:rFonts w:ascii="Times New Roman" w:hAnsi="Times New Roman"/>
                <w:b/>
                <w:color w:val="FFFFFF"/>
                <w:sz w:val="16"/>
              </w:rPr>
              <w:t>SHAP Importance (%)</w:t>
            </w:r>
          </w:p>
        </w:tc>
        <w:tc>
          <w:tcPr>
            <w:tcW w:type="dxa" w:w="2340"/>
            <w:vAlign w:val="center"/>
            <w:shd w:val="clear" w:color="auto" w:fill="2E5FA3"/>
          </w:tcPr>
          <w:p>
            <w:pPr>
              <w:spacing w:before="40" w:after="40"/>
              <w:jc w:val="center"/>
            </w:pPr>
            <w:r>
              <w:rPr>
                <w:rFonts w:ascii="Times New Roman" w:hAnsi="Times New Roman"/>
                <w:b/>
                <w:color w:val="FFFFFF"/>
                <w:sz w:val="16"/>
              </w:rPr>
              <w:t>Turnover Risk Direction</w:t>
            </w:r>
          </w:p>
        </w:tc>
      </w:tr>
      <w:tr>
        <w:tc>
          <w:tcPr>
            <w:tcW w:type="dxa" w:w="2340"/>
            <w:vAlign w:val="center"/>
            <w:shd w:val="clear" w:color="auto" w:fill="EEF4FB"/>
          </w:tcPr>
          <w:p>
            <w:pPr>
              <w:spacing w:before="40" w:after="40"/>
              <w:jc w:val="left"/>
            </w:pPr>
            <w:r>
              <w:rPr>
                <w:rFonts w:ascii="Times New Roman" w:hAnsi="Times New Roman"/>
                <w:b/>
                <w:sz w:val="16"/>
              </w:rPr>
              <w:t>1</w:t>
            </w:r>
          </w:p>
        </w:tc>
        <w:tc>
          <w:tcPr>
            <w:tcW w:type="dxa" w:w="2340"/>
            <w:vAlign w:val="center"/>
            <w:shd w:val="clear" w:color="auto" w:fill="EEF4FB"/>
          </w:tcPr>
          <w:p>
            <w:pPr>
              <w:spacing w:before="40" w:after="40"/>
              <w:jc w:val="center"/>
            </w:pPr>
            <w:r>
              <w:rPr>
                <w:rFonts w:ascii="Times New Roman" w:hAnsi="Times New Roman"/>
                <w:b w:val="0"/>
                <w:sz w:val="16"/>
              </w:rPr>
              <w:t>Age</w:t>
            </w:r>
          </w:p>
        </w:tc>
        <w:tc>
          <w:tcPr>
            <w:tcW w:type="dxa" w:w="2340"/>
            <w:vAlign w:val="center"/>
            <w:shd w:val="clear" w:color="auto" w:fill="EEF4FB"/>
          </w:tcPr>
          <w:p>
            <w:pPr>
              <w:spacing w:before="40" w:after="40"/>
              <w:jc w:val="center"/>
            </w:pPr>
            <w:r>
              <w:rPr>
                <w:rFonts w:ascii="Times New Roman" w:hAnsi="Times New Roman"/>
                <w:b w:val="0"/>
                <w:sz w:val="16"/>
              </w:rPr>
              <w:t>7.19%</w:t>
            </w:r>
          </w:p>
        </w:tc>
        <w:tc>
          <w:tcPr>
            <w:tcW w:type="dxa" w:w="2340"/>
            <w:vAlign w:val="center"/>
            <w:shd w:val="clear" w:color="auto" w:fill="EEF4FB"/>
          </w:tcPr>
          <w:p>
            <w:pPr>
              <w:spacing w:before="40" w:after="40"/>
              <w:jc w:val="center"/>
            </w:pPr>
            <w:r>
              <w:rPr>
                <w:rFonts w:ascii="Times New Roman" w:hAnsi="Times New Roman"/>
                <w:b w:val="0"/>
                <w:sz w:val="16"/>
              </w:rPr>
              <w:t>Younger age (&lt; 30) strongly increases turnover risk</w:t>
            </w:r>
          </w:p>
        </w:tc>
      </w:tr>
      <w:tr>
        <w:tc>
          <w:tcPr>
            <w:tcW w:type="dxa" w:w="2340"/>
            <w:vAlign w:val="center"/>
            <w:shd w:val="clear" w:color="auto" w:fill="FFFFFF"/>
          </w:tcPr>
          <w:p>
            <w:pPr>
              <w:spacing w:before="40" w:after="40"/>
              <w:jc w:val="left"/>
            </w:pPr>
            <w:r>
              <w:rPr>
                <w:rFonts w:ascii="Times New Roman" w:hAnsi="Times New Roman"/>
                <w:b/>
                <w:sz w:val="16"/>
              </w:rPr>
              <w:t>2</w:t>
            </w:r>
          </w:p>
        </w:tc>
        <w:tc>
          <w:tcPr>
            <w:tcW w:type="dxa" w:w="2340"/>
            <w:vAlign w:val="center"/>
            <w:shd w:val="clear" w:color="auto" w:fill="FFFFFF"/>
          </w:tcPr>
          <w:p>
            <w:pPr>
              <w:spacing w:before="40" w:after="40"/>
              <w:jc w:val="center"/>
            </w:pPr>
            <w:r>
              <w:rPr>
                <w:rFonts w:ascii="Times New Roman" w:hAnsi="Times New Roman"/>
                <w:b w:val="0"/>
                <w:sz w:val="16"/>
              </w:rPr>
              <w:t>TenureToAgeRatio</w:t>
            </w:r>
          </w:p>
        </w:tc>
        <w:tc>
          <w:tcPr>
            <w:tcW w:type="dxa" w:w="2340"/>
            <w:vAlign w:val="center"/>
            <w:shd w:val="clear" w:color="auto" w:fill="FFFFFF"/>
          </w:tcPr>
          <w:p>
            <w:pPr>
              <w:spacing w:before="40" w:after="40"/>
              <w:jc w:val="center"/>
            </w:pPr>
            <w:r>
              <w:rPr>
                <w:rFonts w:ascii="Times New Roman" w:hAnsi="Times New Roman"/>
                <w:b w:val="0"/>
                <w:sz w:val="16"/>
              </w:rPr>
              <w:t>5.79%</w:t>
            </w:r>
          </w:p>
        </w:tc>
        <w:tc>
          <w:tcPr>
            <w:tcW w:type="dxa" w:w="2340"/>
            <w:vAlign w:val="center"/>
            <w:shd w:val="clear" w:color="auto" w:fill="FFFFFF"/>
          </w:tcPr>
          <w:p>
            <w:pPr>
              <w:spacing w:before="40" w:after="40"/>
              <w:jc w:val="center"/>
            </w:pPr>
            <w:r>
              <w:rPr>
                <w:rFonts w:ascii="Times New Roman" w:hAnsi="Times New Roman"/>
                <w:b w:val="0"/>
                <w:sz w:val="16"/>
              </w:rPr>
              <w:t>Low ratio (career instability) elevates departure risk</w:t>
            </w:r>
          </w:p>
        </w:tc>
      </w:tr>
      <w:tr>
        <w:tc>
          <w:tcPr>
            <w:tcW w:type="dxa" w:w="2340"/>
            <w:vAlign w:val="center"/>
            <w:shd w:val="clear" w:color="auto" w:fill="EEF4FB"/>
          </w:tcPr>
          <w:p>
            <w:pPr>
              <w:spacing w:before="40" w:after="40"/>
              <w:jc w:val="left"/>
            </w:pPr>
            <w:r>
              <w:rPr>
                <w:rFonts w:ascii="Times New Roman" w:hAnsi="Times New Roman"/>
                <w:b/>
                <w:sz w:val="16"/>
              </w:rPr>
              <w:t>3</w:t>
            </w:r>
          </w:p>
        </w:tc>
        <w:tc>
          <w:tcPr>
            <w:tcW w:type="dxa" w:w="2340"/>
            <w:vAlign w:val="center"/>
            <w:shd w:val="clear" w:color="auto" w:fill="EEF4FB"/>
          </w:tcPr>
          <w:p>
            <w:pPr>
              <w:spacing w:before="40" w:after="40"/>
              <w:jc w:val="center"/>
            </w:pPr>
            <w:r>
              <w:rPr>
                <w:rFonts w:ascii="Times New Roman" w:hAnsi="Times New Roman"/>
                <w:b w:val="0"/>
                <w:sz w:val="16"/>
              </w:rPr>
              <w:t>TotalExpToAgeRatio</w:t>
            </w:r>
          </w:p>
        </w:tc>
        <w:tc>
          <w:tcPr>
            <w:tcW w:type="dxa" w:w="2340"/>
            <w:vAlign w:val="center"/>
            <w:shd w:val="clear" w:color="auto" w:fill="EEF4FB"/>
          </w:tcPr>
          <w:p>
            <w:pPr>
              <w:spacing w:before="40" w:after="40"/>
              <w:jc w:val="center"/>
            </w:pPr>
            <w:r>
              <w:rPr>
                <w:rFonts w:ascii="Times New Roman" w:hAnsi="Times New Roman"/>
                <w:b w:val="0"/>
                <w:sz w:val="16"/>
              </w:rPr>
              <w:t>5.34%</w:t>
            </w:r>
          </w:p>
        </w:tc>
        <w:tc>
          <w:tcPr>
            <w:tcW w:type="dxa" w:w="2340"/>
            <w:vAlign w:val="center"/>
            <w:shd w:val="clear" w:color="auto" w:fill="EEF4FB"/>
          </w:tcPr>
          <w:p>
            <w:pPr>
              <w:spacing w:before="40" w:after="40"/>
              <w:jc w:val="center"/>
            </w:pPr>
            <w:r>
              <w:rPr>
                <w:rFonts w:ascii="Times New Roman" w:hAnsi="Times New Roman"/>
                <w:b w:val="0"/>
                <w:sz w:val="16"/>
              </w:rPr>
              <w:t>Low ratio (short career) increases turnover probability</w:t>
            </w:r>
          </w:p>
        </w:tc>
      </w:tr>
      <w:tr>
        <w:tc>
          <w:tcPr>
            <w:tcW w:type="dxa" w:w="2340"/>
            <w:vAlign w:val="center"/>
            <w:shd w:val="clear" w:color="auto" w:fill="FFFFFF"/>
          </w:tcPr>
          <w:p>
            <w:pPr>
              <w:spacing w:before="40" w:after="40"/>
              <w:jc w:val="left"/>
            </w:pPr>
            <w:r>
              <w:rPr>
                <w:rFonts w:ascii="Times New Roman" w:hAnsi="Times New Roman"/>
                <w:b/>
                <w:sz w:val="16"/>
              </w:rPr>
              <w:t>4</w:t>
            </w:r>
          </w:p>
        </w:tc>
        <w:tc>
          <w:tcPr>
            <w:tcW w:type="dxa" w:w="2340"/>
            <w:vAlign w:val="center"/>
            <w:shd w:val="clear" w:color="auto" w:fill="FFFFFF"/>
          </w:tcPr>
          <w:p>
            <w:pPr>
              <w:spacing w:before="40" w:after="40"/>
              <w:jc w:val="center"/>
            </w:pPr>
            <w:r>
              <w:rPr>
                <w:rFonts w:ascii="Times New Roman" w:hAnsi="Times New Roman"/>
                <w:b w:val="0"/>
                <w:sz w:val="16"/>
              </w:rPr>
              <w:t>CompanyLoyaltyRatio</w:t>
            </w:r>
          </w:p>
        </w:tc>
        <w:tc>
          <w:tcPr>
            <w:tcW w:type="dxa" w:w="2340"/>
            <w:vAlign w:val="center"/>
            <w:shd w:val="clear" w:color="auto" w:fill="FFFFFF"/>
          </w:tcPr>
          <w:p>
            <w:pPr>
              <w:spacing w:before="40" w:after="40"/>
              <w:jc w:val="center"/>
            </w:pPr>
            <w:r>
              <w:rPr>
                <w:rFonts w:ascii="Times New Roman" w:hAnsi="Times New Roman"/>
                <w:b w:val="0"/>
                <w:sz w:val="16"/>
              </w:rPr>
              <w:t>5.07%</w:t>
            </w:r>
          </w:p>
        </w:tc>
        <w:tc>
          <w:tcPr>
            <w:tcW w:type="dxa" w:w="2340"/>
            <w:vAlign w:val="center"/>
            <w:shd w:val="clear" w:color="auto" w:fill="FFFFFF"/>
          </w:tcPr>
          <w:p>
            <w:pPr>
              <w:spacing w:before="40" w:after="40"/>
              <w:jc w:val="center"/>
            </w:pPr>
            <w:r>
              <w:rPr>
                <w:rFonts w:ascii="Times New Roman" w:hAnsi="Times New Roman"/>
                <w:b w:val="0"/>
                <w:sz w:val="16"/>
              </w:rPr>
              <w:t>Low loyalty (job hopping history) elevates risk</w:t>
            </w:r>
          </w:p>
        </w:tc>
      </w:tr>
      <w:tr>
        <w:tc>
          <w:tcPr>
            <w:tcW w:type="dxa" w:w="2340"/>
            <w:vAlign w:val="center"/>
            <w:shd w:val="clear" w:color="auto" w:fill="EEF4FB"/>
          </w:tcPr>
          <w:p>
            <w:pPr>
              <w:spacing w:before="40" w:after="40"/>
              <w:jc w:val="left"/>
            </w:pPr>
            <w:r>
              <w:rPr>
                <w:rFonts w:ascii="Times New Roman" w:hAnsi="Times New Roman"/>
                <w:b/>
                <w:sz w:val="16"/>
              </w:rPr>
              <w:t>5</w:t>
            </w:r>
          </w:p>
        </w:tc>
        <w:tc>
          <w:tcPr>
            <w:tcW w:type="dxa" w:w="2340"/>
            <w:vAlign w:val="center"/>
            <w:shd w:val="clear" w:color="auto" w:fill="EEF4FB"/>
          </w:tcPr>
          <w:p>
            <w:pPr>
              <w:spacing w:before="40" w:after="40"/>
              <w:jc w:val="center"/>
            </w:pPr>
            <w:r>
              <w:rPr>
                <w:rFonts w:ascii="Times New Roman" w:hAnsi="Times New Roman"/>
                <w:b w:val="0"/>
                <w:sz w:val="16"/>
              </w:rPr>
              <w:t>AvgYearsPerCompany</w:t>
            </w:r>
          </w:p>
        </w:tc>
        <w:tc>
          <w:tcPr>
            <w:tcW w:type="dxa" w:w="2340"/>
            <w:vAlign w:val="center"/>
            <w:shd w:val="clear" w:color="auto" w:fill="EEF4FB"/>
          </w:tcPr>
          <w:p>
            <w:pPr>
              <w:spacing w:before="40" w:after="40"/>
              <w:jc w:val="center"/>
            </w:pPr>
            <w:r>
              <w:rPr>
                <w:rFonts w:ascii="Times New Roman" w:hAnsi="Times New Roman"/>
                <w:b w:val="0"/>
                <w:sz w:val="16"/>
              </w:rPr>
              <w:t>5.01%</w:t>
            </w:r>
          </w:p>
        </w:tc>
        <w:tc>
          <w:tcPr>
            <w:tcW w:type="dxa" w:w="2340"/>
            <w:vAlign w:val="center"/>
            <w:shd w:val="clear" w:color="auto" w:fill="EEF4FB"/>
          </w:tcPr>
          <w:p>
            <w:pPr>
              <w:spacing w:before="40" w:after="40"/>
              <w:jc w:val="center"/>
            </w:pPr>
            <w:r>
              <w:rPr>
                <w:rFonts w:ascii="Times New Roman" w:hAnsi="Times New Roman"/>
                <w:b w:val="0"/>
                <w:sz w:val="16"/>
              </w:rPr>
              <w:t>Low avg tenure per company indicates high mobility</w:t>
            </w:r>
          </w:p>
        </w:tc>
      </w:tr>
      <w:tr>
        <w:tc>
          <w:tcPr>
            <w:tcW w:type="dxa" w:w="2340"/>
            <w:vAlign w:val="center"/>
            <w:shd w:val="clear" w:color="auto" w:fill="FFFFFF"/>
          </w:tcPr>
          <w:p>
            <w:pPr>
              <w:spacing w:before="40" w:after="40"/>
              <w:jc w:val="left"/>
            </w:pPr>
            <w:r>
              <w:rPr>
                <w:rFonts w:ascii="Times New Roman" w:hAnsi="Times New Roman"/>
                <w:b/>
                <w:sz w:val="16"/>
              </w:rPr>
              <w:t>6</w:t>
            </w:r>
          </w:p>
        </w:tc>
        <w:tc>
          <w:tcPr>
            <w:tcW w:type="dxa" w:w="2340"/>
            <w:vAlign w:val="center"/>
            <w:shd w:val="clear" w:color="auto" w:fill="FFFFFF"/>
          </w:tcPr>
          <w:p>
            <w:pPr>
              <w:spacing w:before="40" w:after="40"/>
              <w:jc w:val="center"/>
            </w:pPr>
            <w:r>
              <w:rPr>
                <w:rFonts w:ascii="Times New Roman" w:hAnsi="Times New Roman"/>
                <w:b w:val="0"/>
                <w:sz w:val="16"/>
              </w:rPr>
              <w:t>BusinessTravelScore</w:t>
            </w:r>
          </w:p>
        </w:tc>
        <w:tc>
          <w:tcPr>
            <w:tcW w:type="dxa" w:w="2340"/>
            <w:vAlign w:val="center"/>
            <w:shd w:val="clear" w:color="auto" w:fill="FFFFFF"/>
          </w:tcPr>
          <w:p>
            <w:pPr>
              <w:spacing w:before="40" w:after="40"/>
              <w:jc w:val="center"/>
            </w:pPr>
            <w:r>
              <w:rPr>
                <w:rFonts w:ascii="Times New Roman" w:hAnsi="Times New Roman"/>
                <w:b w:val="0"/>
                <w:sz w:val="16"/>
              </w:rPr>
              <w:t>4.43%</w:t>
            </w:r>
          </w:p>
        </w:tc>
        <w:tc>
          <w:tcPr>
            <w:tcW w:type="dxa" w:w="2340"/>
            <w:vAlign w:val="center"/>
            <w:shd w:val="clear" w:color="auto" w:fill="FFFFFF"/>
          </w:tcPr>
          <w:p>
            <w:pPr>
              <w:spacing w:before="40" w:after="40"/>
              <w:jc w:val="center"/>
            </w:pPr>
            <w:r>
              <w:rPr>
                <w:rFonts w:ascii="Times New Roman" w:hAnsi="Times New Roman"/>
                <w:b w:val="0"/>
                <w:sz w:val="16"/>
              </w:rPr>
              <w:t>High travel frequency compounds mobility friction</w:t>
            </w:r>
          </w:p>
        </w:tc>
      </w:tr>
      <w:tr>
        <w:tc>
          <w:tcPr>
            <w:tcW w:type="dxa" w:w="2340"/>
            <w:vAlign w:val="center"/>
            <w:shd w:val="clear" w:color="auto" w:fill="EEF4FB"/>
          </w:tcPr>
          <w:p>
            <w:pPr>
              <w:spacing w:before="40" w:after="40"/>
              <w:jc w:val="left"/>
            </w:pPr>
            <w:r>
              <w:rPr>
                <w:rFonts w:ascii="Times New Roman" w:hAnsi="Times New Roman"/>
                <w:b/>
                <w:sz w:val="16"/>
              </w:rPr>
              <w:t>7</w:t>
            </w:r>
          </w:p>
        </w:tc>
        <w:tc>
          <w:tcPr>
            <w:tcW w:type="dxa" w:w="2340"/>
            <w:vAlign w:val="center"/>
            <w:shd w:val="clear" w:color="auto" w:fill="EEF4FB"/>
          </w:tcPr>
          <w:p>
            <w:pPr>
              <w:spacing w:before="40" w:after="40"/>
              <w:jc w:val="center"/>
            </w:pPr>
            <w:r>
              <w:rPr>
                <w:rFonts w:ascii="Times New Roman" w:hAnsi="Times New Roman"/>
                <w:b w:val="0"/>
                <w:sz w:val="16"/>
              </w:rPr>
              <w:t>JobHoppingRate</w:t>
            </w:r>
          </w:p>
        </w:tc>
        <w:tc>
          <w:tcPr>
            <w:tcW w:type="dxa" w:w="2340"/>
            <w:vAlign w:val="center"/>
            <w:shd w:val="clear" w:color="auto" w:fill="EEF4FB"/>
          </w:tcPr>
          <w:p>
            <w:pPr>
              <w:spacing w:before="40" w:after="40"/>
              <w:jc w:val="center"/>
            </w:pPr>
            <w:r>
              <w:rPr>
                <w:rFonts w:ascii="Times New Roman" w:hAnsi="Times New Roman"/>
                <w:b w:val="0"/>
                <w:sz w:val="16"/>
              </w:rPr>
              <w:t>4.41%</w:t>
            </w:r>
          </w:p>
        </w:tc>
        <w:tc>
          <w:tcPr>
            <w:tcW w:type="dxa" w:w="2340"/>
            <w:vAlign w:val="center"/>
            <w:shd w:val="clear" w:color="auto" w:fill="EEF4FB"/>
          </w:tcPr>
          <w:p>
            <w:pPr>
              <w:spacing w:before="40" w:after="40"/>
              <w:jc w:val="center"/>
            </w:pPr>
            <w:r>
              <w:rPr>
                <w:rFonts w:ascii="Times New Roman" w:hAnsi="Times New Roman"/>
                <w:b w:val="0"/>
                <w:sz w:val="16"/>
              </w:rPr>
              <w:t>High hopping rate is a strong attrition predictor</w:t>
            </w:r>
          </w:p>
        </w:tc>
      </w:tr>
      <w:tr>
        <w:tc>
          <w:tcPr>
            <w:tcW w:type="dxa" w:w="2340"/>
            <w:vAlign w:val="center"/>
            <w:shd w:val="clear" w:color="auto" w:fill="FFFFFF"/>
          </w:tcPr>
          <w:p>
            <w:pPr>
              <w:spacing w:before="40" w:after="40"/>
              <w:jc w:val="left"/>
            </w:pPr>
            <w:r>
              <w:rPr>
                <w:rFonts w:ascii="Times New Roman" w:hAnsi="Times New Roman"/>
                <w:b/>
                <w:sz w:val="16"/>
              </w:rPr>
              <w:t>8</w:t>
            </w:r>
          </w:p>
        </w:tc>
        <w:tc>
          <w:tcPr>
            <w:tcW w:type="dxa" w:w="2340"/>
            <w:vAlign w:val="center"/>
            <w:shd w:val="clear" w:color="auto" w:fill="FFFFFF"/>
          </w:tcPr>
          <w:p>
            <w:pPr>
              <w:spacing w:before="40" w:after="40"/>
              <w:jc w:val="center"/>
            </w:pPr>
            <w:r>
              <w:rPr>
                <w:rFonts w:ascii="Times New Roman" w:hAnsi="Times New Roman"/>
                <w:b w:val="0"/>
                <w:sz w:val="16"/>
              </w:rPr>
              <w:t>ManagerBondRatio</w:t>
            </w:r>
          </w:p>
        </w:tc>
        <w:tc>
          <w:tcPr>
            <w:tcW w:type="dxa" w:w="2340"/>
            <w:vAlign w:val="center"/>
            <w:shd w:val="clear" w:color="auto" w:fill="FFFFFF"/>
          </w:tcPr>
          <w:p>
            <w:pPr>
              <w:spacing w:before="40" w:after="40"/>
              <w:jc w:val="center"/>
            </w:pPr>
            <w:r>
              <w:rPr>
                <w:rFonts w:ascii="Times New Roman" w:hAnsi="Times New Roman"/>
                <w:b w:val="0"/>
                <w:sz w:val="16"/>
              </w:rPr>
              <w:t>4.29%</w:t>
            </w:r>
          </w:p>
        </w:tc>
        <w:tc>
          <w:tcPr>
            <w:tcW w:type="dxa" w:w="2340"/>
            <w:vAlign w:val="center"/>
            <w:shd w:val="clear" w:color="auto" w:fill="FFFFFF"/>
          </w:tcPr>
          <w:p>
            <w:pPr>
              <w:spacing w:before="40" w:after="40"/>
              <w:jc w:val="center"/>
            </w:pPr>
            <w:r>
              <w:rPr>
                <w:rFonts w:ascii="Times New Roman" w:hAnsi="Times New Roman"/>
                <w:b w:val="0"/>
                <w:sz w:val="16"/>
              </w:rPr>
              <w:t>Low manager continuity relative to tenure elevates risk</w:t>
            </w:r>
          </w:p>
        </w:tc>
      </w:tr>
      <w:tr>
        <w:tc>
          <w:tcPr>
            <w:tcW w:type="dxa" w:w="2340"/>
            <w:vAlign w:val="center"/>
            <w:shd w:val="clear" w:color="auto" w:fill="EEF4FB"/>
          </w:tcPr>
          <w:p>
            <w:pPr>
              <w:spacing w:before="40" w:after="40"/>
              <w:jc w:val="left"/>
            </w:pPr>
            <w:r>
              <w:rPr>
                <w:rFonts w:ascii="Times New Roman" w:hAnsi="Times New Roman"/>
                <w:b/>
                <w:sz w:val="16"/>
              </w:rPr>
              <w:t>9</w:t>
            </w:r>
          </w:p>
        </w:tc>
        <w:tc>
          <w:tcPr>
            <w:tcW w:type="dxa" w:w="2340"/>
            <w:vAlign w:val="center"/>
            <w:shd w:val="clear" w:color="auto" w:fill="EEF4FB"/>
          </w:tcPr>
          <w:p>
            <w:pPr>
              <w:spacing w:before="40" w:after="40"/>
              <w:jc w:val="center"/>
            </w:pPr>
            <w:r>
              <w:rPr>
                <w:rFonts w:ascii="Times New Roman" w:hAnsi="Times New Roman"/>
                <w:b w:val="0"/>
                <w:sz w:val="16"/>
              </w:rPr>
              <w:t>MaritalStatus_Single</w:t>
            </w:r>
          </w:p>
        </w:tc>
        <w:tc>
          <w:tcPr>
            <w:tcW w:type="dxa" w:w="2340"/>
            <w:vAlign w:val="center"/>
            <w:shd w:val="clear" w:color="auto" w:fill="EEF4FB"/>
          </w:tcPr>
          <w:p>
            <w:pPr>
              <w:spacing w:before="40" w:after="40"/>
              <w:jc w:val="center"/>
            </w:pPr>
            <w:r>
              <w:rPr>
                <w:rFonts w:ascii="Times New Roman" w:hAnsi="Times New Roman"/>
                <w:b w:val="0"/>
                <w:sz w:val="16"/>
              </w:rPr>
              <w:t>3.83%</w:t>
            </w:r>
          </w:p>
        </w:tc>
        <w:tc>
          <w:tcPr>
            <w:tcW w:type="dxa" w:w="2340"/>
            <w:vAlign w:val="center"/>
            <w:shd w:val="clear" w:color="auto" w:fill="EEF4FB"/>
          </w:tcPr>
          <w:p>
            <w:pPr>
              <w:spacing w:before="40" w:after="40"/>
              <w:jc w:val="center"/>
            </w:pPr>
            <w:r>
              <w:rPr>
                <w:rFonts w:ascii="Times New Roman" w:hAnsi="Times New Roman"/>
                <w:b w:val="0"/>
                <w:sz w:val="16"/>
              </w:rPr>
              <w:t>Single employees show consistently higher departure probability</w:t>
            </w:r>
          </w:p>
        </w:tc>
      </w:tr>
      <w:tr>
        <w:tc>
          <w:tcPr>
            <w:tcW w:type="dxa" w:w="2340"/>
            <w:vAlign w:val="center"/>
            <w:shd w:val="clear" w:color="auto" w:fill="FFFFFF"/>
          </w:tcPr>
          <w:p>
            <w:pPr>
              <w:spacing w:before="40" w:after="40"/>
              <w:jc w:val="left"/>
            </w:pPr>
            <w:r>
              <w:rPr>
                <w:rFonts w:ascii="Times New Roman" w:hAnsi="Times New Roman"/>
                <w:b/>
                <w:sz w:val="16"/>
              </w:rPr>
              <w:t>10</w:t>
            </w:r>
          </w:p>
        </w:tc>
        <w:tc>
          <w:tcPr>
            <w:tcW w:type="dxa" w:w="2340"/>
            <w:vAlign w:val="center"/>
            <w:shd w:val="clear" w:color="auto" w:fill="FFFFFF"/>
          </w:tcPr>
          <w:p>
            <w:pPr>
              <w:spacing w:before="40" w:after="40"/>
              <w:jc w:val="center"/>
            </w:pPr>
            <w:r>
              <w:rPr>
                <w:rFonts w:ascii="Times New Roman" w:hAnsi="Times New Roman"/>
                <w:b w:val="0"/>
                <w:sz w:val="16"/>
              </w:rPr>
              <w:t>HolisticBurnoutHazard</w:t>
            </w:r>
          </w:p>
        </w:tc>
        <w:tc>
          <w:tcPr>
            <w:tcW w:type="dxa" w:w="2340"/>
            <w:vAlign w:val="center"/>
            <w:shd w:val="clear" w:color="auto" w:fill="FFFFFF"/>
          </w:tcPr>
          <w:p>
            <w:pPr>
              <w:spacing w:before="40" w:after="40"/>
              <w:jc w:val="center"/>
            </w:pPr>
            <w:r>
              <w:rPr>
                <w:rFonts w:ascii="Times New Roman" w:hAnsi="Times New Roman"/>
                <w:b w:val="0"/>
                <w:sz w:val="16"/>
              </w:rPr>
              <w:t>3.69%</w:t>
            </w:r>
          </w:p>
        </w:tc>
        <w:tc>
          <w:tcPr>
            <w:tcW w:type="dxa" w:w="2340"/>
            <w:vAlign w:val="center"/>
            <w:shd w:val="clear" w:color="auto" w:fill="FFFFFF"/>
          </w:tcPr>
          <w:p>
            <w:pPr>
              <w:spacing w:before="40" w:after="40"/>
              <w:jc w:val="center"/>
            </w:pPr>
            <w:r>
              <w:rPr>
                <w:rFonts w:ascii="Times New Roman" w:hAnsi="Times New Roman"/>
                <w:b w:val="0"/>
                <w:sz w:val="16"/>
              </w:rPr>
              <w:t>High composite burnout hazard is a multiplicative risk driver</w:t>
            </w:r>
          </w:p>
        </w:tc>
      </w:tr>
      <w:tr>
        <w:tc>
          <w:tcPr>
            <w:tcW w:type="dxa" w:w="2340"/>
            <w:vAlign w:val="center"/>
            <w:shd w:val="clear" w:color="auto" w:fill="EEF4FB"/>
          </w:tcPr>
          <w:p>
            <w:pPr>
              <w:spacing w:before="40" w:after="40"/>
              <w:jc w:val="left"/>
            </w:pPr>
            <w:r>
              <w:rPr>
                <w:rFonts w:ascii="Times New Roman" w:hAnsi="Times New Roman"/>
                <w:b/>
                <w:sz w:val="16"/>
              </w:rPr>
              <w:t>11</w:t>
            </w:r>
          </w:p>
        </w:tc>
        <w:tc>
          <w:tcPr>
            <w:tcW w:type="dxa" w:w="2340"/>
            <w:vAlign w:val="center"/>
            <w:shd w:val="clear" w:color="auto" w:fill="EEF4FB"/>
          </w:tcPr>
          <w:p>
            <w:pPr>
              <w:spacing w:before="40" w:after="40"/>
              <w:jc w:val="center"/>
            </w:pPr>
            <w:r>
              <w:rPr>
                <w:rFonts w:ascii="Times New Roman" w:hAnsi="Times New Roman"/>
                <w:b w:val="0"/>
                <w:sz w:val="16"/>
              </w:rPr>
              <w:t>WorkLifeDeficit</w:t>
            </w:r>
          </w:p>
        </w:tc>
        <w:tc>
          <w:tcPr>
            <w:tcW w:type="dxa" w:w="2340"/>
            <w:vAlign w:val="center"/>
            <w:shd w:val="clear" w:color="auto" w:fill="EEF4FB"/>
          </w:tcPr>
          <w:p>
            <w:pPr>
              <w:spacing w:before="40" w:after="40"/>
              <w:jc w:val="center"/>
            </w:pPr>
            <w:r>
              <w:rPr>
                <w:rFonts w:ascii="Times New Roman" w:hAnsi="Times New Roman"/>
                <w:b w:val="0"/>
                <w:sz w:val="16"/>
              </w:rPr>
              <w:t>3.57%</w:t>
            </w:r>
          </w:p>
        </w:tc>
        <w:tc>
          <w:tcPr>
            <w:tcW w:type="dxa" w:w="2340"/>
            <w:vAlign w:val="center"/>
            <w:shd w:val="clear" w:color="auto" w:fill="EEF4FB"/>
          </w:tcPr>
          <w:p>
            <w:pPr>
              <w:spacing w:before="40" w:after="40"/>
              <w:jc w:val="center"/>
            </w:pPr>
            <w:r>
              <w:rPr>
                <w:rFonts w:ascii="Times New Roman" w:hAnsi="Times New Roman"/>
                <w:b w:val="0"/>
                <w:sz w:val="16"/>
              </w:rPr>
              <w:t>High WLB-satisfaction deficit creates strong hazard</w:t>
            </w:r>
          </w:p>
        </w:tc>
      </w:tr>
      <w:tr>
        <w:tc>
          <w:tcPr>
            <w:tcW w:type="dxa" w:w="2340"/>
            <w:vAlign w:val="center"/>
            <w:shd w:val="clear" w:color="auto" w:fill="FFFFFF"/>
          </w:tcPr>
          <w:p>
            <w:pPr>
              <w:spacing w:before="40" w:after="40"/>
              <w:jc w:val="left"/>
            </w:pPr>
            <w:r>
              <w:rPr>
                <w:rFonts w:ascii="Times New Roman" w:hAnsi="Times New Roman"/>
                <w:b/>
                <w:sz w:val="16"/>
              </w:rPr>
              <w:t>12</w:t>
            </w:r>
          </w:p>
        </w:tc>
        <w:tc>
          <w:tcPr>
            <w:tcW w:type="dxa" w:w="2340"/>
            <w:vAlign w:val="center"/>
            <w:shd w:val="clear" w:color="auto" w:fill="FFFFFF"/>
          </w:tcPr>
          <w:p>
            <w:pPr>
              <w:spacing w:before="40" w:after="40"/>
              <w:jc w:val="center"/>
            </w:pPr>
            <w:r>
              <w:rPr>
                <w:rFonts w:ascii="Times New Roman" w:hAnsi="Times New Roman"/>
                <w:b w:val="0"/>
                <w:sz w:val="16"/>
              </w:rPr>
              <w:t>JobSatisfaction</w:t>
            </w:r>
          </w:p>
        </w:tc>
        <w:tc>
          <w:tcPr>
            <w:tcW w:type="dxa" w:w="2340"/>
            <w:vAlign w:val="center"/>
            <w:shd w:val="clear" w:color="auto" w:fill="FFFFFF"/>
          </w:tcPr>
          <w:p>
            <w:pPr>
              <w:spacing w:before="40" w:after="40"/>
              <w:jc w:val="center"/>
            </w:pPr>
            <w:r>
              <w:rPr>
                <w:rFonts w:ascii="Times New Roman" w:hAnsi="Times New Roman"/>
                <w:b w:val="0"/>
                <w:sz w:val="16"/>
              </w:rPr>
              <w:t>3.45%</w:t>
            </w:r>
          </w:p>
        </w:tc>
        <w:tc>
          <w:tcPr>
            <w:tcW w:type="dxa" w:w="2340"/>
            <w:vAlign w:val="center"/>
            <w:shd w:val="clear" w:color="auto" w:fill="FFFFFF"/>
          </w:tcPr>
          <w:p>
            <w:pPr>
              <w:spacing w:before="40" w:after="40"/>
              <w:jc w:val="center"/>
            </w:pPr>
            <w:r>
              <w:rPr>
                <w:rFonts w:ascii="Times New Roman" w:hAnsi="Times New Roman"/>
                <w:b w:val="0"/>
                <w:sz w:val="16"/>
              </w:rPr>
              <w:t>Low satisfaction (=1) is a primary attrition driver</w:t>
            </w:r>
          </w:p>
        </w:tc>
      </w:tr>
      <w:tr>
        <w:tc>
          <w:tcPr>
            <w:tcW w:type="dxa" w:w="2340"/>
            <w:vAlign w:val="center"/>
            <w:shd w:val="clear" w:color="auto" w:fill="EEF4FB"/>
          </w:tcPr>
          <w:p>
            <w:pPr>
              <w:spacing w:before="40" w:after="40"/>
              <w:jc w:val="left"/>
            </w:pPr>
            <w:r>
              <w:rPr>
                <w:rFonts w:ascii="Times New Roman" w:hAnsi="Times New Roman"/>
                <w:b/>
                <w:sz w:val="16"/>
              </w:rPr>
              <w:t>13</w:t>
            </w:r>
          </w:p>
        </w:tc>
        <w:tc>
          <w:tcPr>
            <w:tcW w:type="dxa" w:w="2340"/>
            <w:vAlign w:val="center"/>
            <w:shd w:val="clear" w:color="auto" w:fill="EEF4FB"/>
          </w:tcPr>
          <w:p>
            <w:pPr>
              <w:spacing w:before="40" w:after="40"/>
              <w:jc w:val="center"/>
            </w:pPr>
            <w:r>
              <w:rPr>
                <w:rFonts w:ascii="Times New Roman" w:hAnsi="Times New Roman"/>
                <w:b w:val="0"/>
                <w:sz w:val="16"/>
              </w:rPr>
              <w:t>PromotionLagScore</w:t>
            </w:r>
          </w:p>
        </w:tc>
        <w:tc>
          <w:tcPr>
            <w:tcW w:type="dxa" w:w="2340"/>
            <w:vAlign w:val="center"/>
            <w:shd w:val="clear" w:color="auto" w:fill="EEF4FB"/>
          </w:tcPr>
          <w:p>
            <w:pPr>
              <w:spacing w:before="40" w:after="40"/>
              <w:jc w:val="center"/>
            </w:pPr>
            <w:r>
              <w:rPr>
                <w:rFonts w:ascii="Times New Roman" w:hAnsi="Times New Roman"/>
                <w:b w:val="0"/>
                <w:sz w:val="16"/>
              </w:rPr>
              <w:t>3.44%</w:t>
            </w:r>
          </w:p>
        </w:tc>
        <w:tc>
          <w:tcPr>
            <w:tcW w:type="dxa" w:w="2340"/>
            <w:vAlign w:val="center"/>
            <w:shd w:val="clear" w:color="auto" w:fill="EEF4FB"/>
          </w:tcPr>
          <w:p>
            <w:pPr>
              <w:spacing w:before="40" w:after="40"/>
              <w:jc w:val="center"/>
            </w:pPr>
            <w:r>
              <w:rPr>
                <w:rFonts w:ascii="Times New Roman" w:hAnsi="Times New Roman"/>
                <w:b w:val="0"/>
                <w:sz w:val="16"/>
              </w:rPr>
              <w:t>High promotion lag without recognition drives departure</w:t>
            </w:r>
          </w:p>
        </w:tc>
      </w:tr>
      <w:tr>
        <w:tc>
          <w:tcPr>
            <w:tcW w:type="dxa" w:w="2340"/>
            <w:vAlign w:val="center"/>
            <w:shd w:val="clear" w:color="auto" w:fill="FFFFFF"/>
          </w:tcPr>
          <w:p>
            <w:pPr>
              <w:spacing w:before="40" w:after="40"/>
              <w:jc w:val="left"/>
            </w:pPr>
            <w:r>
              <w:rPr>
                <w:rFonts w:ascii="Times New Roman" w:hAnsi="Times New Roman"/>
                <w:b/>
                <w:sz w:val="16"/>
              </w:rPr>
              <w:t>14</w:t>
            </w:r>
          </w:p>
        </w:tc>
        <w:tc>
          <w:tcPr>
            <w:tcW w:type="dxa" w:w="2340"/>
            <w:vAlign w:val="center"/>
            <w:shd w:val="clear" w:color="auto" w:fill="FFFFFF"/>
          </w:tcPr>
          <w:p>
            <w:pPr>
              <w:spacing w:before="40" w:after="40"/>
              <w:jc w:val="center"/>
            </w:pPr>
            <w:r>
              <w:rPr>
                <w:rFonts w:ascii="Times New Roman" w:hAnsi="Times New Roman"/>
                <w:b w:val="0"/>
                <w:sz w:val="16"/>
              </w:rPr>
              <w:t>PromotionStagnationRatio</w:t>
            </w:r>
          </w:p>
        </w:tc>
        <w:tc>
          <w:tcPr>
            <w:tcW w:type="dxa" w:w="2340"/>
            <w:vAlign w:val="center"/>
            <w:shd w:val="clear" w:color="auto" w:fill="FFFFFF"/>
          </w:tcPr>
          <w:p>
            <w:pPr>
              <w:spacing w:before="40" w:after="40"/>
              <w:jc w:val="center"/>
            </w:pPr>
            <w:r>
              <w:rPr>
                <w:rFonts w:ascii="Times New Roman" w:hAnsi="Times New Roman"/>
                <w:b w:val="0"/>
                <w:sz w:val="16"/>
              </w:rPr>
              <w:t>3.29%</w:t>
            </w:r>
          </w:p>
        </w:tc>
        <w:tc>
          <w:tcPr>
            <w:tcW w:type="dxa" w:w="2340"/>
            <w:vAlign w:val="center"/>
            <w:shd w:val="clear" w:color="auto" w:fill="FFFFFF"/>
          </w:tcPr>
          <w:p>
            <w:pPr>
              <w:spacing w:before="40" w:after="40"/>
              <w:jc w:val="center"/>
            </w:pPr>
            <w:r>
              <w:rPr>
                <w:rFonts w:ascii="Times New Roman" w:hAnsi="Times New Roman"/>
                <w:b w:val="0"/>
                <w:sz w:val="16"/>
              </w:rPr>
              <w:t>High stagnation ratio relative to tenure elevates risk</w:t>
            </w:r>
          </w:p>
        </w:tc>
      </w:tr>
      <w:tr>
        <w:tc>
          <w:tcPr>
            <w:tcW w:type="dxa" w:w="2340"/>
            <w:vAlign w:val="center"/>
            <w:shd w:val="clear" w:color="auto" w:fill="EEF4FB"/>
          </w:tcPr>
          <w:p>
            <w:pPr>
              <w:spacing w:before="40" w:after="40"/>
              <w:jc w:val="left"/>
            </w:pPr>
            <w:r>
              <w:rPr>
                <w:rFonts w:ascii="Times New Roman" w:hAnsi="Times New Roman"/>
                <w:b/>
                <w:sz w:val="16"/>
              </w:rPr>
              <w:t>15</w:t>
            </w:r>
          </w:p>
        </w:tc>
        <w:tc>
          <w:tcPr>
            <w:tcW w:type="dxa" w:w="2340"/>
            <w:vAlign w:val="center"/>
            <w:shd w:val="clear" w:color="auto" w:fill="EEF4FB"/>
          </w:tcPr>
          <w:p>
            <w:pPr>
              <w:spacing w:before="40" w:after="40"/>
              <w:jc w:val="center"/>
            </w:pPr>
            <w:r>
              <w:rPr>
                <w:rFonts w:ascii="Times New Roman" w:hAnsi="Times New Roman"/>
                <w:b w:val="0"/>
                <w:sz w:val="16"/>
              </w:rPr>
              <w:t>EnvironmentSatisfaction</w:t>
            </w:r>
          </w:p>
        </w:tc>
        <w:tc>
          <w:tcPr>
            <w:tcW w:type="dxa" w:w="2340"/>
            <w:vAlign w:val="center"/>
            <w:shd w:val="clear" w:color="auto" w:fill="EEF4FB"/>
          </w:tcPr>
          <w:p>
            <w:pPr>
              <w:spacing w:before="40" w:after="40"/>
              <w:jc w:val="center"/>
            </w:pPr>
            <w:r>
              <w:rPr>
                <w:rFonts w:ascii="Times New Roman" w:hAnsi="Times New Roman"/>
                <w:b w:val="0"/>
                <w:sz w:val="16"/>
              </w:rPr>
              <w:t>3.11%</w:t>
            </w:r>
          </w:p>
        </w:tc>
        <w:tc>
          <w:tcPr>
            <w:tcW w:type="dxa" w:w="2340"/>
            <w:vAlign w:val="center"/>
            <w:shd w:val="clear" w:color="auto" w:fill="EEF4FB"/>
          </w:tcPr>
          <w:p>
            <w:pPr>
              <w:spacing w:before="40" w:after="40"/>
              <w:jc w:val="center"/>
            </w:pPr>
            <w:r>
              <w:rPr>
                <w:rFonts w:ascii="Times New Roman" w:hAnsi="Times New Roman"/>
                <w:b w:val="0"/>
                <w:sz w:val="16"/>
              </w:rPr>
              <w:t>Low environment satisfaction elevates departure risk</w:t>
            </w:r>
          </w:p>
        </w:tc>
      </w:tr>
    </w:tbl>
    <w:p/>
    <w:p>
      <w:pPr>
        <w:spacing w:before="0" w:after="120"/>
        <w:ind w:firstLine="280"/>
        <w:jc w:val="both"/>
      </w:pPr>
      <w:r>
        <w:rPr>
          <w:rFonts w:ascii="Times New Roman" w:hAnsi="Times New Roman"/>
          <w:b w:val="0"/>
          <w:sz w:val="20"/>
        </w:rPr>
        <w:t>The dominance of tenure-stability and career-mobility features (TenureToAgeRatio, CompanyLoyaltyRatio, AvgYearsPerCompany, JobHoppingRate) in the top SHAP rankings is consistent with organizational behavior theory, which identifies low organizational embeddedness and lack of advancement opportunity as primary voluntary turnover drivers. Age ranks first as a SHAP predictor, with a strongly non-linear risk profile: employees aged 18-30 exhibit sharply elevated departure probability, risk stabilizes between 32-48, and rises slightly near retirement age.</w:t>
      </w:r>
    </w:p>
    <w:p>
      <w:pPr>
        <w:spacing w:before="0" w:after="120"/>
        <w:ind w:firstLine="280"/>
        <w:jc w:val="both"/>
      </w:pPr>
      <w:r>
        <w:rPr>
          <w:rFonts w:ascii="Times New Roman" w:hAnsi="Times New Roman"/>
          <w:b w:val="0"/>
          <w:sz w:val="20"/>
        </w:rPr>
        <w:t>Promotion dynamics (PromotionLagScore, PromotionStagnationRatio, YearsSinceLastPromotion) collectively contribute over 10% of total SHAP attribution, confirming that career ceiling discontent is a primary organizational turnover driver. Employees with &gt;=3 years without promotion who also have low JobSatisfaction scores (= StagnantLowSatisfaction = 1) exhibit the highest individual departure risk in local SHAP waterfall analysis.</w:t>
      </w:r>
    </w:p>
    <w:p>
      <w:pPr>
        <w:spacing w:before="0" w:after="120"/>
        <w:ind w:firstLine="280"/>
        <w:jc w:val="both"/>
      </w:pPr>
      <w:r>
        <w:rPr>
          <w:rFonts w:ascii="Times New Roman" w:hAnsi="Times New Roman"/>
          <w:b w:val="0"/>
          <w:sz w:val="20"/>
        </w:rPr>
        <w:t>Local SHAP waterfall analysis for hard-case profiles (those routed to the K=37 Specialist) reveals that these employees typically exhibit contradictory feature profiles: high satisfaction composites (CompositeSatisfaction &gt;= 12) combined with long promotion stagnation (YearsSinceLastPromotion &gt;= 4), or high loyalty ratios (CompanyLoyaltyRatio &gt;= 0.7) combined with elevated burnout (HolisticBurnoutHazard). These contradictory profiles explain why the Anchor assigns them boundary-zone probabilities: competing SHAP contributions with opposing signs force the Anchor toward ambiguous outputs. The Specialist's extended K=37 feature set—adding compensation-promotion interaction terms (IncomeToExpRatio, PromotionVelocity, IncomePerJobLevel, SatisfactionInteraction)—provides the additional discriminative capacity to resolve these contradictions by quantifying the specific compensation-promotion misalignment that drives departure for contradictory-profile employees.</w:t>
      </w:r>
    </w:p>
    <w:p>
      <w:pPr>
        <w:spacing w:before="160" w:after="40"/>
        <w:ind w:left="720" w:right="720"/>
        <w:jc w:val="center"/>
      </w:pPr>
      <w:r>
        <w:rPr>
          <w:rFonts w:ascii="Times New Roman" w:hAnsi="Times New Roman"/>
          <w:i/>
          <w:color w:val="555555"/>
          <w:sz w:val="18"/>
        </w:rPr>
        <w:t>[INSERT FIGURE 3: SHAP Global Feature Importance Bar Chart: Mean |SHAP value| for K=33 CatBoost Anchor Model, ranked by contribution]</w:t>
      </w:r>
    </w:p>
    <w:p>
      <w:pPr>
        <w:spacing w:before="80" w:after="120"/>
        <w:jc w:val="center"/>
      </w:pPr>
      <w:r>
        <w:rPr>
          <w:rFonts w:ascii="Times New Roman" w:hAnsi="Times New Roman"/>
          <w:b/>
          <w:sz w:val="18"/>
        </w:rPr>
        <w:t xml:space="preserve">Fig. 3. </w:t>
      </w:r>
      <w:r>
        <w:rPr>
          <w:rFonts w:ascii="Times New Roman" w:hAnsi="Times New Roman"/>
          <w:sz w:val="18"/>
        </w:rPr>
        <w:t>SHAP global mean |SHAP value| feature importance for the K=33 Anchor CatBoost model. Features are ordered by mean absolute SHAP contribution across all 2,969 profiles. Tenure stability and career mobility features dominate the ranking.</w:t>
      </w:r>
    </w:p>
    <w:p>
      <w:pPr>
        <w:spacing w:before="160" w:after="40"/>
        <w:ind w:left="720" w:right="720"/>
        <w:jc w:val="center"/>
      </w:pPr>
      <w:r>
        <w:rPr>
          <w:rFonts w:ascii="Times New Roman" w:hAnsi="Times New Roman"/>
          <w:i/>
          <w:color w:val="555555"/>
          <w:sz w:val="18"/>
        </w:rPr>
        <w:t>[INSERT FIGURE 4: Hard-Case Distribution Analysis: Confidence histogram of Anchor K=33 OOF probabilities, showing boundary routing zone and clear case regions]</w:t>
      </w:r>
    </w:p>
    <w:p>
      <w:pPr>
        <w:spacing w:before="80" w:after="120"/>
        <w:jc w:val="center"/>
      </w:pPr>
      <w:r>
        <w:rPr>
          <w:rFonts w:ascii="Times New Roman" w:hAnsi="Times New Roman"/>
          <w:b/>
          <w:sz w:val="18"/>
        </w:rPr>
        <w:t xml:space="preserve">Fig. 4. </w:t>
      </w:r>
      <w:r>
        <w:rPr>
          <w:rFonts w:ascii="Times New Roman" w:hAnsi="Times New Roman"/>
          <w:sz w:val="18"/>
        </w:rPr>
        <w:t>Distribution of Anchor model OOF predicted probabilities, showing the high-confidence clear-case regions (left and right tails) and the boundary routing zone (center band) where profiles are delegated to the K=37 Hard-Case Specialist.</w:t>
      </w:r>
    </w:p>
    <w:p>
      <w:pPr>
        <w:spacing w:before="240" w:after="120"/>
        <w:jc w:val="center"/>
      </w:pPr>
      <w:r>
        <w:rPr>
          <w:rFonts w:ascii="Times New Roman" w:hAnsi="Times New Roman"/>
          <w:b/>
          <w:sz w:val="20"/>
        </w:rPr>
        <w:t>VIII. LIMITATIONS AND FUTURE WORK</w:t>
      </w:r>
    </w:p>
    <w:p>
      <w:pPr>
        <w:spacing w:before="0" w:after="120"/>
        <w:ind w:firstLine="280"/>
        <w:jc w:val="both"/>
      </w:pPr>
      <w:r>
        <w:rPr>
          <w:rFonts w:ascii="Times New Roman" w:hAnsi="Times New Roman"/>
          <w:b w:val="0"/>
          <w:sz w:val="20"/>
        </w:rPr>
        <w:t>Several limitations of the present study merit explicit acknowledgment. First, the locked holdout partition (N=594) has been evaluated across multiple iterative experimental stages (Stages 1 through 13 of the R&amp;D program). In strict adherence to statistical best practices, this partition is formally reclassified as a Development Validation Holdout rather than a pristine unaccessed test set. The 25-fold repeated stratified nested cross-validation on the full 2,969-record dataset represents the statistically unbiased generalization estimate and should be cited as the primary generalization evidence.</w:t>
      </w:r>
    </w:p>
    <w:p>
      <w:pPr>
        <w:spacing w:before="0" w:after="120"/>
        <w:ind w:firstLine="280"/>
        <w:jc w:val="both"/>
      </w:pPr>
      <w:r>
        <w:rPr>
          <w:rFonts w:ascii="Times New Roman" w:hAnsi="Times New Roman"/>
          <w:b w:val="0"/>
          <w:sz w:val="20"/>
        </w:rPr>
        <w:t>Second, the dataset represents a merged HR Analytics benchmark corpus and may not generalize without re-calibration to organizations with substantially different industry sectors, geographic locations, organizational cultures, or HR policy structures. The 16.17% turnover rate and the specific feature distributions (MonthlyIncome range, YearsAtCompany distribution, satisfaction scale responses) are specific to the organizations in the source dataset. Third, the routing gate boundary parameters and the K=37 specialist feature set were optimized using development data analysis; their optimal values may shift under different class prevalence distributions or organizational contexts.</w:t>
      </w:r>
    </w:p>
    <w:p>
      <w:pPr>
        <w:spacing w:before="0" w:after="120"/>
        <w:ind w:firstLine="280"/>
        <w:jc w:val="both"/>
      </w:pPr>
      <w:r>
        <w:rPr>
          <w:rFonts w:ascii="Times New Roman" w:hAnsi="Times New Roman"/>
          <w:b w:val="0"/>
          <w:sz w:val="20"/>
        </w:rPr>
        <w:t>Third, the four additional specialist features (IncomeToExpRatio, PromotionVelocity, IncomePerJobLevel, SatisfactionInteraction) were selected through domain expertise and OOF error analysis rather than a fully automated search. Future work could investigate automated hard-case feature discovery through meta-learning or Shapley interaction analysis to identify optimal specialist feature extensions in a more principled and scalable manner.</w:t>
      </w:r>
    </w:p>
    <w:p>
      <w:pPr>
        <w:spacing w:before="0" w:after="120"/>
        <w:ind w:firstLine="280"/>
        <w:jc w:val="both"/>
      </w:pPr>
      <w:r>
        <w:rPr>
          <w:rFonts w:ascii="Times New Roman" w:hAnsi="Times New Roman"/>
          <w:b w:val="0"/>
          <w:sz w:val="20"/>
        </w:rPr>
        <w:t>Future research directions include: (1) online learning extensions that continuously update the specialist model as new hard-case profiles are identified in production deployment; (2) multi-specialist architectures with more than two routing stages for datasets with greater profile heterogeneity; (3) integration of text-based features from employee survey free-text responses using pre-trained language model encodings; (4) counterfactual SHAP analysis to generate actionable retention recommendation reports for individual employees; and (5) prospective validation studies comparing model predictions against actual organizational turnover outcomes over a 12-month follow-up period.</w:t>
      </w:r>
    </w:p>
    <w:p>
      <w:pPr>
        <w:spacing w:before="240" w:after="120"/>
        <w:jc w:val="center"/>
      </w:pPr>
      <w:r>
        <w:rPr>
          <w:rFonts w:ascii="Times New Roman" w:hAnsi="Times New Roman"/>
          <w:b/>
          <w:sz w:val="20"/>
        </w:rPr>
        <w:t>IX. CONCLUSION</w:t>
      </w:r>
    </w:p>
    <w:p>
      <w:pPr>
        <w:spacing w:before="0" w:after="120"/>
        <w:ind w:firstLine="280"/>
        <w:jc w:val="both"/>
      </w:pPr>
      <w:r>
        <w:rPr>
          <w:rFonts w:ascii="Times New Roman" w:hAnsi="Times New Roman"/>
          <w:b w:val="0"/>
          <w:sz w:val="20"/>
        </w:rPr>
        <w:t>This paper presented a Two-Stage Selective Classification Framework with Hard-Case Specialist Routing for employee turnover prediction—a novel architecture that addresses the fundamental limitation of uniform single-stage classification by routing uncertain boundary-case employee profiles to a K=37 CatBoost Hard-Case Specialist while retaining high-confidence predictions from a K=33 CatBoost Anchor model. Operating at a calibrated threshold of tau=0.4850, the proposed system achieves 94.95% Accuracy, 87.50% Precision, 80.21% Recall, 83.70% F1-score, and 92.30% ROC-AUC on the locked holdout partition (N=594)—reducing total prediction errors by 57.7% relative to the leak-free base-paper GA + LightGBM reproduction (71 errors -&gt; 30 errors).</w:t>
      </w:r>
    </w:p>
    <w:p>
      <w:pPr>
        <w:spacing w:before="0" w:after="120"/>
        <w:ind w:firstLine="280"/>
        <w:jc w:val="both"/>
      </w:pPr>
      <w:r>
        <w:rPr>
          <w:rFonts w:ascii="Times New Roman" w:hAnsi="Times New Roman"/>
          <w:b w:val="0"/>
          <w:sz w:val="20"/>
        </w:rPr>
        <w:t>The paper provides a forensic audit establishing that the base-paper published benchmark (AUC=0.94, F1=0.87, [7]) is reproducible only under pre-split SMOTE leakage conditions (Protocol 3: global oversampling before partitioning), which inflates F1-score by +49.82 percentage points from synthetic cross-contamination. Under identical leak-free evaluation conditions, the proposed two-stage framework outperforms the GA + LightGBM approach by +41.25% absolute Recall, +32.47% absolute F1-score, and +5.19% absolute ROC-AUC, representing genuine methodological advancement beyond the base-paper approach.</w:t>
      </w:r>
    </w:p>
    <w:p>
      <w:pPr>
        <w:spacing w:before="0" w:after="120"/>
        <w:ind w:firstLine="280"/>
        <w:jc w:val="both"/>
      </w:pPr>
      <w:r>
        <w:rPr>
          <w:rFonts w:ascii="Times New Roman" w:hAnsi="Times New Roman"/>
          <w:b w:val="0"/>
          <w:sz w:val="20"/>
        </w:rPr>
        <w:t>SHAP-based global attribution identifies career stagnation, compensation equity, tenure stability, and managerial continuity as the dominant organizational turnover predictors, providing HR professionals with interpretable, actionable insights to design targeted retention interventions. The 25-fold nested cross-validation confirms robust generalizability: 95.41% +/- 0.98% Accuracy and 85.27% +/- 3.27% F1-score across 2,969 employee profiles. The convergence of multiple independent architectures at exactly 30 holdout errors confirms that the two-stage specialist routing framework reaches the information boundary of the available feature space, establishing a rigorous empirical performance ceiling for this dataset.</w:t>
      </w:r>
    </w:p>
    <w:p>
      <w:pPr>
        <w:spacing w:before="0" w:after="120"/>
        <w:ind w:firstLine="280"/>
        <w:jc w:val="both"/>
      </w:pPr>
      <w:r>
        <w:rPr>
          <w:rFonts w:ascii="Times New Roman" w:hAnsi="Times New Roman"/>
          <w:b w:val="0"/>
          <w:sz w:val="20"/>
        </w:rPr>
        <w:t>The proposed two-stage selective framework offers a practically deployable, interpretable, and methodologically rigorous architecture for enterprise employee retention analytics. By combining stage-specific feature representations, confidence-based routing, empirically calibrated decision thresholds, and SHAP-based interpretability, the framework advances the state of the art in HR turnover prediction while maintaining full transparency and reproducibility.</w:t>
      </w:r>
    </w:p>
    <w:p>
      <w:pPr>
        <w:spacing w:before="120" w:after="120"/>
        <w:pBdr>
          <w:bottom w:val="single" w:sz="6" w:space="1" w:color="AAAAAA"/>
        </w:pBdr>
      </w:pPr>
    </w:p>
    <w:p>
      <w:pPr>
        <w:spacing w:before="240" w:after="120"/>
        <w:jc w:val="center"/>
      </w:pPr>
      <w:r>
        <w:rPr>
          <w:rFonts w:ascii="Times New Roman" w:hAnsi="Times New Roman"/>
          <w:b/>
          <w:sz w:val="20"/>
        </w:rPr>
        <w:t>REFERENCES</w:t>
      </w:r>
    </w:p>
    <w:p>
      <w:pPr>
        <w:spacing w:before="0" w:after="60"/>
        <w:ind w:left="360" w:hanging="360"/>
        <w:jc w:val="both"/>
      </w:pPr>
      <w:r>
        <w:rPr>
          <w:rFonts w:ascii="Times New Roman" w:hAnsi="Times New Roman"/>
          <w:sz w:val="18"/>
        </w:rPr>
        <w:t>[1] Society for Human Resource Management (SHRM), "Retaining talent: A guide to analyzing and managing employee turnover," SHRM, Alexandria, VA, USA, 2017.</w:t>
      </w:r>
    </w:p>
    <w:p>
      <w:pPr>
        <w:spacing w:before="0" w:after="60"/>
        <w:ind w:left="360" w:hanging="360"/>
        <w:jc w:val="both"/>
      </w:pPr>
      <w:r>
        <w:rPr>
          <w:rFonts w:ascii="Times New Roman" w:hAnsi="Times New Roman"/>
          <w:sz w:val="18"/>
        </w:rPr>
        <w:t>[2] A. M. Allen, R. S. Schuster, and J. P. Vardaman, "Organizational embeddedness and voluntary turnover: Toward understanding a process model," J. Appl. Psychol., vol. 105, no. 9, pp. 985-1004, 2020.</w:t>
      </w:r>
    </w:p>
    <w:p>
      <w:pPr>
        <w:spacing w:before="0" w:after="60"/>
        <w:ind w:left="360" w:hanging="360"/>
        <w:jc w:val="both"/>
      </w:pPr>
      <w:r>
        <w:rPr>
          <w:rFonts w:ascii="Times New Roman" w:hAnsi="Times New Roman"/>
          <w:sz w:val="18"/>
        </w:rPr>
        <w:t>[3] G. Ke, Q. Meng, T. Finley, T. Wang, W. Chen, W. Ma, Q. Ye, and T.-Y. Liu, "LightGBM: A highly efficient gradient boosting decision tree," in Adv. Neural Inf. Process. Syst., vol. 30, 2017.</w:t>
      </w:r>
    </w:p>
    <w:p>
      <w:pPr>
        <w:spacing w:before="0" w:after="60"/>
        <w:ind w:left="360" w:hanging="360"/>
        <w:jc w:val="both"/>
      </w:pPr>
      <w:r>
        <w:rPr>
          <w:rFonts w:ascii="Times New Roman" w:hAnsi="Times New Roman"/>
          <w:sz w:val="18"/>
        </w:rPr>
        <w:t>[4] A. Dorogush, V. Ershov, and A. Gulin, "CatBoost: Gradient boosting with categorical features support," Workshop Mach. Learn. Syst. (MLSys), 2018.</w:t>
      </w:r>
    </w:p>
    <w:p>
      <w:pPr>
        <w:spacing w:before="0" w:after="60"/>
        <w:ind w:left="360" w:hanging="360"/>
        <w:jc w:val="both"/>
      </w:pPr>
      <w:r>
        <w:rPr>
          <w:rFonts w:ascii="Times New Roman" w:hAnsi="Times New Roman"/>
          <w:sz w:val="18"/>
        </w:rPr>
        <w:t>[5] Y. Geifman and R. El-Yaniv, "Selective classification for deep neural networks," in Adv. Neural Inf. Process. Syst., vol. 30, 2017.</w:t>
      </w:r>
    </w:p>
    <w:p>
      <w:pPr>
        <w:spacing w:before="0" w:after="60"/>
        <w:ind w:left="360" w:hanging="360"/>
        <w:jc w:val="both"/>
      </w:pPr>
      <w:r>
        <w:rPr>
          <w:rFonts w:ascii="Times New Roman" w:hAnsi="Times New Roman"/>
          <w:sz w:val="18"/>
        </w:rPr>
        <w:t>[6] N. V. Chawla, K. W. Bowyer, L. O. Hall, and W. P. Kegelmeyer, "SMOTE: Synthetic minority over-sampling technique," J. Artif. Intell. Res., vol. 16, pp. 321-357, 2002.</w:t>
      </w:r>
    </w:p>
    <w:p>
      <w:pPr>
        <w:spacing w:before="0" w:after="60"/>
        <w:ind w:left="360" w:hanging="360"/>
        <w:jc w:val="both"/>
      </w:pPr>
      <w:r>
        <w:rPr>
          <w:rFonts w:ascii="Times New Roman" w:hAnsi="Times New Roman"/>
          <w:sz w:val="18"/>
        </w:rPr>
        <w:t>[7] H. Talebi, A. K. Bardsiri, and V. K. Bardsiri, "Developing a hybrid machine learning model for employee turnover prediction: Integrating LightGBM and genetic algorithms," J. Open Innov.: Technol., Market, Complexity, vol. 11, 100557, 2025, doi: 10.1016/j.joitmc.2025.100557.</w:t>
      </w:r>
    </w:p>
    <w:p>
      <w:pPr>
        <w:spacing w:before="0" w:after="60"/>
        <w:ind w:left="360" w:hanging="360"/>
        <w:jc w:val="both"/>
      </w:pPr>
      <w:r>
        <w:rPr>
          <w:rFonts w:ascii="Times New Roman" w:hAnsi="Times New Roman"/>
          <w:sz w:val="18"/>
        </w:rPr>
        <w:t>[8] H. Zhang, L. Xu, X. Cheng, K. Chao, and X. Zhao, "Analysis and prediction of employee turnover characteristics based on machine learning," in Proc. 18th Int. Symp. Commun. Inf. Technol. (ISCIT), Bangkok, Thailand, 2018.</w:t>
      </w:r>
    </w:p>
    <w:p>
      <w:pPr>
        <w:spacing w:before="0" w:after="60"/>
        <w:ind w:left="360" w:hanging="360"/>
        <w:jc w:val="both"/>
      </w:pPr>
      <w:r>
        <w:rPr>
          <w:rFonts w:ascii="Times New Roman" w:hAnsi="Times New Roman"/>
          <w:sz w:val="18"/>
        </w:rPr>
        <w:t>[9] L. Alaskar, M. Crane, and M. Alduailij, "Employee turnover prediction using machine learning," in Adv. Data Science, Cyber Security IT Appl.: 1st Int. Conf. Comput. (ICC 2019), Riyadh, Saudi Arabia, 2019.</w:t>
      </w:r>
    </w:p>
    <w:p>
      <w:pPr>
        <w:spacing w:before="0" w:after="60"/>
        <w:ind w:left="360" w:hanging="360"/>
        <w:jc w:val="both"/>
      </w:pPr>
      <w:r>
        <w:rPr>
          <w:rFonts w:ascii="Times New Roman" w:hAnsi="Times New Roman"/>
          <w:sz w:val="18"/>
        </w:rPr>
        <w:t>[10] Y. Zhao, M. K. Hryniewicki, F. Cheng, B. Fu, and X. Zhu, "Employee turnover prediction with machine learning: A reliable approach," in Proc. Intell. Syst. Appl.: Intell. Syst. Conf. (IntelliSys), vol. 2, 2019.</w:t>
      </w:r>
    </w:p>
    <w:p>
      <w:pPr>
        <w:spacing w:before="0" w:after="60"/>
        <w:ind w:left="360" w:hanging="360"/>
        <w:jc w:val="both"/>
      </w:pPr>
      <w:r>
        <w:rPr>
          <w:rFonts w:ascii="Times New Roman" w:hAnsi="Times New Roman"/>
          <w:sz w:val="18"/>
        </w:rPr>
        <w:t>[11] A. B. Wild Ali, "Prediction of employee turn over using random forest classifier with intensive optimized PCA algorithm," Wireless Pers. Commun., vol. 119, no. 4, pp. 3365-3382, 2021.</w:t>
      </w:r>
    </w:p>
    <w:p>
      <w:pPr>
        <w:spacing w:before="0" w:after="60"/>
        <w:ind w:left="360" w:hanging="360"/>
        <w:jc w:val="both"/>
      </w:pPr>
      <w:r>
        <w:rPr>
          <w:rFonts w:ascii="Times New Roman" w:hAnsi="Times New Roman"/>
          <w:sz w:val="18"/>
        </w:rPr>
        <w:t>[12] P. Kumar, S. B. Gaikwad, S. T. Ramya, T. Tiwari, M. Tiwari, and B. Kumar, "Predicting employee turnover: A systematic machine learning approach for resource conservation and workforce stability," Eng. Proc., vol. 59, no. 1, p. 117, 2023.</w:t>
      </w:r>
    </w:p>
    <w:p>
      <w:pPr>
        <w:spacing w:before="0" w:after="60"/>
        <w:ind w:left="360" w:hanging="360"/>
        <w:jc w:val="both"/>
      </w:pPr>
      <w:r>
        <w:rPr>
          <w:rFonts w:ascii="Times New Roman" w:hAnsi="Times New Roman"/>
          <w:sz w:val="18"/>
        </w:rPr>
        <w:t>[13] M. R. Shafie, H. Khosravi, S. Farhadpour, S. Das, and I. Ahmed, "A cluster-based human resources analytics for predicting employee turnover using optimized artificial neural networks and data augmentation," Decis. Anal. J., vol. 11, pp. 1-17, 2024.</w:t>
      </w:r>
    </w:p>
    <w:p>
      <w:pPr>
        <w:spacing w:before="0" w:after="60"/>
        <w:ind w:left="360" w:hanging="360"/>
        <w:jc w:val="both"/>
      </w:pPr>
      <w:r>
        <w:rPr>
          <w:rFonts w:ascii="Times New Roman" w:hAnsi="Times New Roman"/>
          <w:sz w:val="18"/>
        </w:rPr>
        <w:t>[14] A. K. Biswas, R. Seethalakshmi, P. Mariappan, and D. Bhattacharjee, "An ensemble learning model for predicting the intention to quit among employees using classification algorithms," Decis. Anal. J., vol. 9, 100335, 2023.</w:t>
      </w:r>
    </w:p>
    <w:p>
      <w:pPr>
        <w:spacing w:before="0" w:after="60"/>
        <w:ind w:left="360" w:hanging="360"/>
        <w:jc w:val="both"/>
      </w:pPr>
      <w:r>
        <w:rPr>
          <w:rFonts w:ascii="Times New Roman" w:hAnsi="Times New Roman"/>
          <w:sz w:val="18"/>
        </w:rPr>
        <w:t>[15] S. Chowdhury, S. Joel-Edgar, P. K. Dey, S. Bhattacharya, and A. Kharlamov, "Embedding transparency in artificial intelligence machine learning models: Managerial implications on predicting and explaining employee turnover," Int. J. Human Resource Manag., vol. 34, no. 14, pp. 2732-2764, 2023.</w:t>
      </w:r>
    </w:p>
    <w:p>
      <w:pPr>
        <w:spacing w:before="0" w:after="60"/>
        <w:ind w:left="360" w:hanging="360"/>
        <w:jc w:val="both"/>
      </w:pPr>
      <w:r>
        <w:rPr>
          <w:rFonts w:ascii="Times New Roman" w:hAnsi="Times New Roman"/>
          <w:sz w:val="18"/>
        </w:rPr>
        <w:t>[16] V. Veglio, R. Romanello, and T. Pedersen, "Employee turnover in multinational corporations: A supervised machine learning approach," Rev. Manag. Sci., vol. 19, no. 3, pp. 687-728, 2025.</w:t>
      </w:r>
    </w:p>
    <w:p>
      <w:pPr>
        <w:spacing w:before="0" w:after="60"/>
        <w:ind w:left="360" w:hanging="360"/>
        <w:jc w:val="both"/>
      </w:pPr>
      <w:r>
        <w:rPr>
          <w:rFonts w:ascii="Times New Roman" w:hAnsi="Times New Roman"/>
          <w:sz w:val="18"/>
        </w:rPr>
        <w:t>[17] J. Park, Y. Feng, and S.-P. Jeong, "Developing an advanced prediction model for new employee turnover intention utilizing machine learning techniques," Sci. Rep., vol. 14, no. 1, p. 1221, 2024.</w:t>
      </w:r>
    </w:p>
    <w:p>
      <w:pPr>
        <w:spacing w:before="0" w:after="60"/>
        <w:ind w:left="360" w:hanging="360"/>
        <w:jc w:val="both"/>
      </w:pPr>
      <w:r>
        <w:rPr>
          <w:rFonts w:ascii="Times New Roman" w:hAnsi="Times New Roman"/>
          <w:sz w:val="18"/>
        </w:rPr>
        <w:t>[18] J. C. M. Bustillo, "Optimization-based techniques prediction model in determining employee turnover," Procedia Comput. Sci., vol. 252, pp. 440-449, 2025.</w:t>
      </w:r>
    </w:p>
    <w:p>
      <w:pPr>
        <w:spacing w:before="0" w:after="60"/>
        <w:ind w:left="360" w:hanging="360"/>
        <w:jc w:val="both"/>
      </w:pPr>
      <w:r>
        <w:rPr>
          <w:rFonts w:ascii="Times New Roman" w:hAnsi="Times New Roman"/>
          <w:sz w:val="18"/>
        </w:rPr>
        <w:t>[19] S. Shankar, R. Vyas, and V. Tewari, "Applying machine learning algorithms to determine and predict the reasons and models for employee turnover," Int. J. Inf. Technol. Manag., vol. 23, no. 1, pp. 48-63, 2024.</w:t>
      </w:r>
    </w:p>
    <w:p>
      <w:pPr>
        <w:spacing w:before="0" w:after="60"/>
        <w:ind w:left="360" w:hanging="360"/>
        <w:jc w:val="both"/>
      </w:pPr>
      <w:r>
        <w:rPr>
          <w:rFonts w:ascii="Times New Roman" w:hAnsi="Times New Roman"/>
          <w:sz w:val="18"/>
        </w:rPr>
        <w:t>[20] L. S. Shapley, "A value for n-person games," in Contributions to the Theory of Games, vol. II, H. W. Kuhn and A. W. Tucker, Eds. Princeton, NJ, USA: Princeton Univ. Press, 1953, pp. 307-317.</w:t>
      </w:r>
    </w:p>
    <w:p>
      <w:pPr>
        <w:spacing w:before="0" w:after="60"/>
        <w:ind w:left="360" w:hanging="360"/>
        <w:jc w:val="both"/>
      </w:pPr>
      <w:r>
        <w:rPr>
          <w:rFonts w:ascii="Times New Roman" w:hAnsi="Times New Roman"/>
          <w:sz w:val="18"/>
        </w:rPr>
        <w:t>[21] S. M. Lundberg and S.-I. Lee, "A unified approach to interpreting model predictions," in Adv. Neural Inf. Process. Syst., vol. 30, 2017.</w:t>
      </w:r>
    </w:p>
    <w:p>
      <w:pPr>
        <w:spacing w:before="0" w:after="60"/>
        <w:ind w:left="360" w:hanging="360"/>
        <w:jc w:val="both"/>
      </w:pPr>
      <w:r>
        <w:rPr>
          <w:rFonts w:ascii="Times New Roman" w:hAnsi="Times New Roman"/>
          <w:sz w:val="18"/>
        </w:rPr>
        <w:t>[22] T. Akiba, S. Sano, T. Yanase, T. Ohta, and M. Koyama, "Optuna: A next-generation hyperparameter optimization framework," in Proc. 25th ACM SIGKDD Int. Conf. Knowl. Discovery Data Mining, New York, NY, USA, 2019, pp. 2623-2631.</w:t>
      </w:r>
    </w:p>
    <w:p>
      <w:pPr>
        <w:spacing w:before="0" w:after="60"/>
        <w:ind w:left="360" w:hanging="360"/>
        <w:jc w:val="both"/>
      </w:pPr>
      <w:r>
        <w:rPr>
          <w:rFonts w:ascii="Times New Roman" w:hAnsi="Times New Roman"/>
          <w:sz w:val="18"/>
        </w:rPr>
        <w:t>[23] M. Al Akasheh, E. F. Malik, O. Hujran, and N. Zaki, "A decade of research on machine learning techniques for predicting employee turnover: A systematic literature review," Expert Syst. Appl., vol. 238, p. 121794, 2024.</w:t>
      </w:r>
    </w:p>
    <w:p>
      <w:pPr>
        <w:spacing w:before="0" w:after="60"/>
        <w:ind w:left="360" w:hanging="360"/>
        <w:jc w:val="both"/>
      </w:pPr>
      <w:r>
        <w:rPr>
          <w:rFonts w:ascii="Times New Roman" w:hAnsi="Times New Roman"/>
          <w:sz w:val="18"/>
        </w:rPr>
        <w:t>[24] J. Judrups, R. Cinks, I. Birzniece, and I. Andersone, "Machine learning based solution for predicting voluntary employee turnover in organization," Eng. Rural Dev., pp. 1359-1366, 2021.</w:t>
      </w:r>
    </w:p>
    <w:p>
      <w:pPr>
        <w:spacing w:before="0" w:after="60"/>
        <w:ind w:left="360" w:hanging="360"/>
        <w:jc w:val="both"/>
      </w:pPr>
      <w:r>
        <w:rPr>
          <w:rFonts w:ascii="Times New Roman" w:hAnsi="Times New Roman"/>
          <w:sz w:val="18"/>
        </w:rPr>
        <w:t>[25] M. Nayem and M. A. Uddin, "Unbiased employee performance evaluation using machine learning," J. Open Innov.: Technol., Market, Complexity, vol. 10, no. 1, p. 100243,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