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RSV POC Website + Dual-Mode Chatbot</w:t>
        <w:br/>
        <w:t>Product Requirements Document (PRD)</w:t>
      </w:r>
    </w:p>
    <w:p>
      <w:pPr>
        <w:jc w:val="center"/>
      </w:pPr>
      <w:r>
        <w:rPr>
          <w:i/>
        </w:rPr>
        <w:t>Version 0.1 | 16 Dec 2025 | Internal POC</w:t>
      </w:r>
    </w:p>
    <w:p/>
    <w:p>
      <w:pPr>
        <w:pStyle w:val="Heading1"/>
      </w:pPr>
      <w:r>
        <w:t>1. Executive summary</w:t>
      </w:r>
    </w:p>
    <w:p>
      <w:r>
        <w:t>Build a simple 7-page placeholder microsite that demonstrates navigation and a single chatbot widget with a mode switch. The chatbot supports (A) Guided-only Q&amp;A (no free text) and (B) Free-text Q&amp;A using LLM-based intent classification, but responses must always come from an approved response bank. The key proof point is deep-linking from chatbot answers to relevant internal POC pages and safe/compliant fallback behaviour for unsupported queries.</w:t>
      </w:r>
    </w:p>
    <w:p>
      <w:pPr>
        <w:pStyle w:val="Heading1"/>
      </w:pPr>
      <w:r>
        <w:t>2. Goals and non-goals</w:t>
      </w:r>
    </w:p>
    <w:p>
      <w:pPr>
        <w:pStyle w:val="Heading2"/>
      </w:pPr>
      <w:r>
        <w:t>2.1 Goals</w:t>
      </w:r>
    </w:p>
    <w:p>
      <w:pPr>
        <w:pStyle w:val="ListBullet"/>
      </w:pPr>
      <w:r>
        <w:t>Demonstrate a multi-page website experience (7 pages) with working navigation.</w:t>
      </w:r>
    </w:p>
    <w:p>
      <w:pPr>
        <w:pStyle w:val="ListBullet"/>
      </w:pPr>
      <w:r>
        <w:t>Provide a single chatbot widget with a clear mode switch: Guided vs Free text.</w:t>
      </w:r>
    </w:p>
    <w:p>
      <w:pPr>
        <w:pStyle w:val="ListBullet"/>
      </w:pPr>
      <w:r>
        <w:t>Guided mode: users can only click pre-defined questions; bot returns approved answers and suggests next steps.</w:t>
      </w:r>
    </w:p>
    <w:p>
      <w:pPr>
        <w:pStyle w:val="ListBullet"/>
      </w:pPr>
      <w:r>
        <w:t>Free-text mode: user text is classified by an LLM into an approved intent; the bot returns the response-bank answer for that intent (no improvisation).</w:t>
      </w:r>
    </w:p>
    <w:p>
      <w:pPr>
        <w:pStyle w:val="ListBullet"/>
      </w:pPr>
      <w:r>
        <w:t>Deep-linking: bot answers can include 1–2 ‘Read more’ buttons that navigate to specific internal POC pages.</w:t>
      </w:r>
    </w:p>
    <w:p>
      <w:pPr>
        <w:pStyle w:val="ListBullet"/>
      </w:pPr>
      <w:r>
        <w:t>Compliant fallbacks: for out-of-scope queries, redirect the user to supported topics and/or to appropriate support pathways as defined in the response bank.</w:t>
      </w:r>
    </w:p>
    <w:p>
      <w:pPr>
        <w:pStyle w:val="ListBullet"/>
      </w:pPr>
      <w:r>
        <w:t>No analytics/logging requirement (beyond basic console logs for debugging).</w:t>
      </w:r>
    </w:p>
    <w:p>
      <w:pPr>
        <w:pStyle w:val="Heading2"/>
      </w:pPr>
      <w:r>
        <w:t>2.2 Non-goals</w:t>
      </w:r>
    </w:p>
    <w:p>
      <w:pPr>
        <w:pStyle w:val="ListBullet"/>
      </w:pPr>
      <w:r>
        <w:t>Pixel-perfect styling or visual cloning of the reference public website.</w:t>
      </w:r>
    </w:p>
    <w:p>
      <w:pPr>
        <w:pStyle w:val="ListBullet"/>
      </w:pPr>
      <w:r>
        <w:t>A full production-grade content-management system.</w:t>
      </w:r>
    </w:p>
    <w:p>
      <w:pPr>
        <w:pStyle w:val="ListBullet"/>
      </w:pPr>
      <w:r>
        <w:t>User authentication, role-based access, or hosting hardening beyond basic API key handling.</w:t>
      </w:r>
    </w:p>
    <w:p>
      <w:pPr>
        <w:pStyle w:val="ListBullet"/>
      </w:pPr>
      <w:r>
        <w:t>Generating new medical advice or free-form medical content beyond the approved response bank.</w:t>
      </w:r>
    </w:p>
    <w:p>
      <w:pPr>
        <w:pStyle w:val="Heading1"/>
      </w:pPr>
      <w:r>
        <w:t>3. Target users and stakeholders</w:t>
      </w:r>
    </w:p>
    <w:p>
      <w:r>
        <w:t>Primary users: internal stakeholders reviewing a proof-of-concept (product, medical, compliance, engineering).</w:t>
      </w:r>
    </w:p>
    <w:p>
      <w:r>
        <w:t>Secondary users: demo audiences who will click through pages and test chatbot flows.</w:t>
      </w:r>
    </w:p>
    <w:p>
      <w:pPr>
        <w:pStyle w:val="Heading1"/>
      </w:pPr>
      <w:r>
        <w:t>4. Site map (7 pages)</w:t>
      </w:r>
    </w:p>
    <w:p>
      <w:r>
        <w:t>Pages are placeholders with minimal content (title, short description, and a few internal links).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Purpose (POC)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Landing page; links to all pages; short ‘About this POC’ blurb.</w:t>
            </w:r>
          </w:p>
        </w:tc>
      </w:tr>
      <w:tr>
        <w:tc>
          <w:tcPr>
            <w:tcW w:type="dxa" w:w="2880"/>
          </w:tcPr>
          <w:p>
            <w:r>
              <w:t>RSV basics</w:t>
            </w:r>
          </w:p>
        </w:tc>
        <w:tc>
          <w:tcPr>
            <w:tcW w:type="dxa" w:w="2880"/>
          </w:tcPr>
          <w:p>
            <w:r>
              <w:t>/rsv-basics</w:t>
            </w:r>
          </w:p>
        </w:tc>
        <w:tc>
          <w:tcPr>
            <w:tcW w:type="dxa" w:w="2880"/>
          </w:tcPr>
          <w:p>
            <w:r>
              <w:t>What RSV is, who it can affect; placeholder sections.</w:t>
            </w:r>
          </w:p>
        </w:tc>
      </w:tr>
      <w:tr>
        <w:tc>
          <w:tcPr>
            <w:tcW w:type="dxa" w:w="2880"/>
          </w:tcPr>
          <w:p>
            <w:r>
              <w:t>Symptoms in adults</w:t>
            </w:r>
          </w:p>
        </w:tc>
        <w:tc>
          <w:tcPr>
            <w:tcW w:type="dxa" w:w="2880"/>
          </w:tcPr>
          <w:p>
            <w:r>
              <w:t>/symptoms-adults</w:t>
            </w:r>
          </w:p>
        </w:tc>
        <w:tc>
          <w:tcPr>
            <w:tcW w:type="dxa" w:w="2880"/>
          </w:tcPr>
          <w:p>
            <w:r>
              <w:t>Common symptoms; prompts to speak to healthcare professional.</w:t>
            </w:r>
          </w:p>
        </w:tc>
      </w:tr>
      <w:tr>
        <w:tc>
          <w:tcPr>
            <w:tcW w:type="dxa" w:w="2880"/>
          </w:tcPr>
          <w:p>
            <w:r>
              <w:t>Spread and prevention</w:t>
            </w:r>
          </w:p>
        </w:tc>
        <w:tc>
          <w:tcPr>
            <w:tcW w:type="dxa" w:w="2880"/>
          </w:tcPr>
          <w:p>
            <w:r>
              <w:t>/spread-prevention</w:t>
            </w:r>
          </w:p>
        </w:tc>
        <w:tc>
          <w:tcPr>
            <w:tcW w:type="dxa" w:w="2880"/>
          </w:tcPr>
          <w:p>
            <w:r>
              <w:t>How RSV spreads; general prevention tips (placeholder).</w:t>
            </w:r>
          </w:p>
        </w:tc>
      </w:tr>
      <w:tr>
        <w:tc>
          <w:tcPr>
            <w:tcW w:type="dxa" w:w="2880"/>
          </w:tcPr>
          <w:p>
            <w:r>
              <w:t>How long RSV lasts</w:t>
            </w:r>
          </w:p>
        </w:tc>
        <w:tc>
          <w:tcPr>
            <w:tcW w:type="dxa" w:w="2880"/>
          </w:tcPr>
          <w:p>
            <w:r>
              <w:t>/duration</w:t>
            </w:r>
          </w:p>
        </w:tc>
        <w:tc>
          <w:tcPr>
            <w:tcW w:type="dxa" w:w="2880"/>
          </w:tcPr>
          <w:p>
            <w:r>
              <w:t>Duration/contagiousness placeholders; links to symptoms and what-to-do.</w:t>
            </w:r>
          </w:p>
        </w:tc>
      </w:tr>
      <w:tr>
        <w:tc>
          <w:tcPr>
            <w:tcW w:type="dxa" w:w="2880"/>
          </w:tcPr>
          <w:p>
            <w:r>
              <w:t>What to do next</w:t>
            </w:r>
          </w:p>
        </w:tc>
        <w:tc>
          <w:tcPr>
            <w:tcW w:type="dxa" w:w="2880"/>
          </w:tcPr>
          <w:p>
            <w:r>
              <w:t>/what-to-do</w:t>
            </w:r>
          </w:p>
        </w:tc>
        <w:tc>
          <w:tcPr>
            <w:tcW w:type="dxa" w:w="2880"/>
          </w:tcPr>
          <w:p>
            <w:r>
              <w:t>General ‘seek advice’ guidance; emergency/support pathways (placeholder).</w:t>
            </w:r>
          </w:p>
        </w:tc>
      </w:tr>
      <w:tr>
        <w:tc>
          <w:tcPr>
            <w:tcW w:type="dxa" w:w="2880"/>
          </w:tcPr>
          <w:p>
            <w:r>
              <w:t>About the campaign / support</w:t>
            </w:r>
          </w:p>
        </w:tc>
        <w:tc>
          <w:tcPr>
            <w:tcW w:type="dxa" w:w="2880"/>
          </w:tcPr>
          <w:p>
            <w:r>
              <w:t>/about-support</w:t>
            </w:r>
          </w:p>
        </w:tc>
        <w:tc>
          <w:tcPr>
            <w:tcW w:type="dxa" w:w="2880"/>
          </w:tcPr>
          <w:p>
            <w:r>
              <w:t>Who is behind campaign (placeholder); contact/support links.</w:t>
            </w:r>
          </w:p>
        </w:tc>
      </w:tr>
    </w:tbl>
    <w:p/>
    <w:p>
      <w:pPr>
        <w:pStyle w:val="Heading1"/>
      </w:pPr>
      <w:r>
        <w:t>5. Navigation and layout</w:t>
      </w:r>
    </w:p>
    <w:p>
      <w:r>
        <w:t>Layout should remain intentionally simple and consistent across pages:</w:t>
      </w:r>
    </w:p>
    <w:p>
      <w:pPr>
        <w:pStyle w:val="ListBullet"/>
      </w:pPr>
      <w:r>
        <w:t>Top navigation bar with links to all 7 pages.</w:t>
      </w:r>
    </w:p>
    <w:p>
      <w:pPr>
        <w:pStyle w:val="ListBullet"/>
      </w:pPr>
      <w:r>
        <w:t>Main content column + a persistent chatbot area (recommended: right sidebar or Streamlit sidebar).</w:t>
      </w:r>
    </w:p>
    <w:p>
      <w:pPr>
        <w:pStyle w:val="ListBullet"/>
      </w:pPr>
      <w:r>
        <w:t>All navigation is internal within the POC (no external-link modal).</w:t>
      </w:r>
    </w:p>
    <w:p>
      <w:pPr>
        <w:pStyle w:val="ListBullet"/>
      </w:pPr>
      <w:r>
        <w:t>Optional: breadcrumb or ‘Back to Home’ link on each page.</w:t>
      </w:r>
    </w:p>
    <w:p>
      <w:pPr>
        <w:pStyle w:val="Heading1"/>
      </w:pPr>
      <w:r>
        <w:t>6. Chatbot requirements</w:t>
      </w:r>
    </w:p>
    <w:p>
      <w:pPr>
        <w:pStyle w:val="Heading2"/>
      </w:pPr>
      <w:r>
        <w:t>6.1 Widget structure</w:t>
      </w:r>
    </w:p>
    <w:p>
      <w:r>
        <w:t>A single chatbot widget with a mode switch (tabs or segmented control):</w:t>
      </w:r>
    </w:p>
    <w:p>
      <w:pPr>
        <w:pStyle w:val="ListBullet"/>
      </w:pPr>
      <w:r>
        <w:t>Mode A: Guided (no free text).</w:t>
      </w:r>
    </w:p>
    <w:p>
      <w:pPr>
        <w:pStyle w:val="ListBullet"/>
      </w:pPr>
      <w:r>
        <w:t>Mode B: Free text (LLM intent classification).</w:t>
      </w:r>
    </w:p>
    <w:p>
      <w:r>
        <w:t>Both modes share:</w:t>
      </w:r>
    </w:p>
    <w:p>
      <w:pPr>
        <w:pStyle w:val="ListBullet2"/>
      </w:pPr>
      <w:r>
        <w:t>Common response rendering (answer + optional redirects + optional deep links).</w:t>
      </w:r>
    </w:p>
    <w:p>
      <w:pPr>
        <w:pStyle w:val="ListBullet2"/>
      </w:pPr>
      <w:r>
        <w:t>Conversation history per mode (kept in session state).</w:t>
      </w:r>
    </w:p>
    <w:p>
      <w:pPr>
        <w:pStyle w:val="ListBullet2"/>
      </w:pPr>
      <w:r>
        <w:t>Clear ‘Start over / Clear chat’ control.</w:t>
      </w:r>
    </w:p>
    <w:p>
      <w:pPr>
        <w:pStyle w:val="Heading2"/>
      </w:pPr>
      <w:r>
        <w:t>6.2 Guided mode (no free text)</w:t>
      </w:r>
    </w:p>
    <w:p>
      <w:pPr>
        <w:pStyle w:val="ListBullet"/>
      </w:pPr>
      <w:r>
        <w:t>Show user-friendly categories (derived from response bank metadata).</w:t>
      </w:r>
    </w:p>
    <w:p>
      <w:pPr>
        <w:pStyle w:val="ListBullet"/>
      </w:pPr>
      <w:r>
        <w:t>Within each category, show a list of pre-defined question buttons.</w:t>
      </w:r>
    </w:p>
    <w:p>
      <w:pPr>
        <w:pStyle w:val="ListBullet"/>
      </w:pPr>
      <w:r>
        <w:t>On click, append user question + bot answer to the chat history.</w:t>
      </w:r>
    </w:p>
    <w:p>
      <w:pPr>
        <w:pStyle w:val="ListBullet"/>
      </w:pPr>
      <w:r>
        <w:t>After answering, show 2–3 ‘Next best questions’ buttons (if available in the bank).</w:t>
      </w:r>
    </w:p>
    <w:p>
      <w:pPr>
        <w:pStyle w:val="ListBullet"/>
      </w:pPr>
      <w:r>
        <w:t>After answering, show 1–2 deep-link buttons to relevant internal pages (based on intent-to-page mapping).</w:t>
      </w:r>
    </w:p>
    <w:p>
      <w:pPr>
        <w:pStyle w:val="ListBullet"/>
      </w:pPr>
      <w:r>
        <w:t>No text input should be available in this mode (only buttons).</w:t>
      </w:r>
    </w:p>
    <w:p>
      <w:pPr>
        <w:pStyle w:val="Heading2"/>
      </w:pPr>
      <w:r>
        <w:t>6.3 Free-text mode (LLM classified)</w:t>
      </w:r>
    </w:p>
    <w:p>
      <w:pPr>
        <w:pStyle w:val="ListBullet"/>
      </w:pPr>
      <w:r>
        <w:t>Provide a text input box + Send button.</w:t>
      </w:r>
    </w:p>
    <w:p>
      <w:pPr>
        <w:pStyle w:val="ListBullet"/>
      </w:pPr>
      <w:r>
        <w:t>Before calling the LLM, run simple safety routing rules for obvious emergency or adverse-event phrases (route directly to the corresponding response-bank intent).</w:t>
      </w:r>
    </w:p>
    <w:p>
      <w:pPr>
        <w:pStyle w:val="ListBullet"/>
      </w:pPr>
      <w:r>
        <w:t>Otherwise call OpenAI Responses API with Structured Outputs to classify the user message into one approved intent (and optional slots).</w:t>
      </w:r>
    </w:p>
    <w:p>
      <w:pPr>
        <w:pStyle w:val="ListBullet"/>
      </w:pPr>
      <w:r>
        <w:t>Render only the approved response-bank answer for the chosen intent; do not generate novel medical advice.</w:t>
      </w:r>
    </w:p>
    <w:p>
      <w:pPr>
        <w:pStyle w:val="ListBullet"/>
      </w:pPr>
      <w:r>
        <w:t>If classification confidence is below threshold or no intent fits: show a response-bank-aligned fallback (e.g., ‘I can’t help with that here’) and present the supported topic buttons.</w:t>
      </w:r>
    </w:p>
    <w:p>
      <w:pPr>
        <w:pStyle w:val="Heading2"/>
      </w:pPr>
      <w:r>
        <w:t>6.4 Deep-linking behaviour (core proof point)</w:t>
      </w:r>
    </w:p>
    <w:p>
      <w:r>
        <w:t>Each response-bank intent can optionally map to 0–2 internal pages.</w:t>
      </w:r>
    </w:p>
    <w:p>
      <w:r>
        <w:t>When present, the bot shows buttons like:</w:t>
      </w:r>
    </w:p>
    <w:p>
      <w:pPr>
        <w:pStyle w:val="ListBullet"/>
      </w:pPr>
      <w:r>
        <w:t>Read more: RSV basics</w:t>
      </w:r>
    </w:p>
    <w:p>
      <w:pPr>
        <w:pStyle w:val="ListBullet"/>
      </w:pPr>
      <w:r>
        <w:t>What to do next</w:t>
      </w:r>
    </w:p>
    <w:p>
      <w:r>
        <w:t>Clicking should navigate within the Streamlit multi-page app (no full reload, no external modal).</w:t>
      </w:r>
    </w:p>
    <w:p>
      <w:pPr>
        <w:pStyle w:val="Heading1"/>
      </w:pPr>
      <w:r>
        <w:t>7. Response bank and data model</w:t>
      </w:r>
    </w:p>
    <w:p>
      <w:r>
        <w:t>All user-facing answers must come from the approved response bank provided by the project owner. The application should load this bank from a JSON file committed in the repository.</w:t>
      </w:r>
    </w:p>
    <w:p>
      <w:pPr>
        <w:pStyle w:val="Heading2"/>
      </w:pPr>
      <w:r>
        <w:t>7.1 Response bank JSON schema (repo file: data/response_bank.json)</w:t>
      </w:r>
    </w:p>
    <w:p>
      <w:pPr/>
      <w:r>
        <w:t>{</w:t>
        <w:br/>
        <w:t xml:space="preserve">  "intents": [</w:t>
        <w:br/>
        <w:t xml:space="preserve">    {</w:t>
        <w:br/>
        <w:t xml:space="preserve">      "intent_id": "string_unique_id",</w:t>
        <w:br/>
        <w:t xml:space="preserve">      "category": "string",</w:t>
        <w:br/>
        <w:t xml:space="preserve">      "display_question": "string (for guided button)",</w:t>
        <w:br/>
        <w:t xml:space="preserve">      "example_questions": ["string", "..."],</w:t>
        <w:br/>
        <w:t xml:space="preserve">      "answer_markdown": "string (rendered to user)",</w:t>
        <w:br/>
        <w:t xml:space="preserve">      "redirects": ["string", "..."],</w:t>
        <w:br/>
        <w:t xml:space="preserve">      "guardrails": ["string", "..."],</w:t>
        <w:br/>
        <w:t xml:space="preserve">      "next_best_intent_ids": ["string", "..."],</w:t>
        <w:br/>
        <w:t xml:space="preserve">      "page_links": [</w:t>
        <w:br/>
        <w:t xml:space="preserve">        { "label": "string", "route": "/path" }</w:t>
        <w:br/>
        <w:t xml:space="preserve">      ]</w:t>
        <w:br/>
        <w:t xml:space="preserve">    }</w:t>
        <w:br/>
        <w:t xml:space="preserve">  ]</w:t>
        <w:br/>
        <w:t>}</w:t>
      </w:r>
    </w:p>
    <w:p>
      <w:r>
        <w:t>Notes:</w:t>
        <w:br/>
        <w:t>- answer_markdown may include phone numbers / URLs as plain text per the bank.</w:t>
        <w:br/>
        <w:t>- ‘monitoring team’ notes must not be shown to users; store them separately if needed.</w:t>
        <w:br/>
        <w:t>- page_links are the internal deep links shown after the answer.</w:t>
      </w:r>
    </w:p>
    <w:p>
      <w:pPr>
        <w:pStyle w:val="Heading1"/>
      </w:pPr>
      <w:r>
        <w:t>8. LLM intent classification spec</w:t>
      </w:r>
    </w:p>
    <w:p>
      <w:r>
        <w:t>The LLM is used only for classification and slot extraction, not for generating user-facing medical content.</w:t>
      </w:r>
    </w:p>
    <w:p>
      <w:pPr>
        <w:pStyle w:val="Heading2"/>
      </w:pPr>
      <w:r>
        <w:t>8.1 API choice</w:t>
      </w:r>
    </w:p>
    <w:p>
      <w:r>
        <w:t>Use OpenAI Responses API and Structured Outputs (JSON schema) to force machine-readable classification results. Prefer SDK helpers (Pydantic) to avoid schema drift. References: OpenAI Responses API and Structured Outputs docs.</w:t>
      </w:r>
    </w:p>
    <w:p>
      <w:pPr>
        <w:pStyle w:val="Heading2"/>
      </w:pPr>
      <w:r>
        <w:t>8.2 Classifier output schema (Pydantic)</w:t>
      </w:r>
    </w:p>
    <w:p>
      <w:r>
        <w:t>class ClassifiedIntent(BaseModel):</w:t>
        <w:br/>
        <w:t xml:space="preserve">    intent_id: str</w:t>
        <w:br/>
        <w:t xml:space="preserve">    confidence: float  # 0.0 to 1.0</w:t>
        <w:br/>
        <w:t xml:space="preserve">    slots: dict[str, str] = {}  # optional placeholders like symptom='cough'</w:t>
        <w:br/>
        <w:t xml:space="preserve">    rationale: str  # short, non-user-facing reason for the choice</w:t>
      </w:r>
    </w:p>
    <w:p>
      <w:pPr>
        <w:pStyle w:val="Heading2"/>
      </w:pPr>
      <w:r>
        <w:t>8.3 Classification rules</w:t>
      </w:r>
    </w:p>
    <w:p>
      <w:pPr>
        <w:pStyle w:val="ListBullet"/>
      </w:pPr>
      <w:r>
        <w:t>The classifier MUST choose intent_id from the loaded response_bank intents, or return intent_id='__NO_MATCH__'.</w:t>
      </w:r>
    </w:p>
    <w:p>
      <w:pPr>
        <w:pStyle w:val="ListBullet"/>
      </w:pPr>
      <w:r>
        <w:t>If the user asks for personal medical advice, diagnosis, or treatment recommendations, the classifier should prefer a bank intent that provides compliant redirection; otherwise return __NO_MATCH__.</w:t>
      </w:r>
    </w:p>
    <w:p>
      <w:pPr>
        <w:pStyle w:val="ListBullet"/>
      </w:pPr>
      <w:r>
        <w:t>If user text suggests an adverse event report or emergency, route to the relevant adverse-event / emergency intent (hard-rule override).</w:t>
      </w:r>
    </w:p>
    <w:p>
      <w:pPr>
        <w:pStyle w:val="ListBullet"/>
      </w:pPr>
      <w:r>
        <w:t>The application should implement a confidence threshold (default 0.70). Below threshold: treat as __NO_MATCH__.</w:t>
      </w:r>
    </w:p>
    <w:p>
      <w:pPr>
        <w:pStyle w:val="Heading1"/>
      </w:pPr>
      <w:r>
        <w:t>9. Functional requirements</w:t>
      </w:r>
    </w:p>
    <w:p>
      <w:pPr>
        <w:pStyle w:val="ListNumber"/>
      </w:pPr>
      <w:r>
        <w:t>FR1: Multi-page navigation across 7 pages via top nav.</w:t>
      </w:r>
    </w:p>
    <w:p>
      <w:pPr>
        <w:pStyle w:val="ListNumber"/>
      </w:pPr>
      <w:r>
        <w:t>FR2: Chatbot widget present on every page; maintains history per mode.</w:t>
      </w:r>
    </w:p>
    <w:p>
      <w:pPr>
        <w:pStyle w:val="ListNumber"/>
      </w:pPr>
      <w:r>
        <w:t>FR3: Guided mode question buttons are generated from response_bank.json (no hard-coded questions in UI).</w:t>
      </w:r>
    </w:p>
    <w:p>
      <w:pPr>
        <w:pStyle w:val="ListNumber"/>
      </w:pPr>
      <w:r>
        <w:t>FR4: Free-text mode uses OpenAI API to classify into response-bank intents; answer returned from bank.</w:t>
      </w:r>
    </w:p>
    <w:p>
      <w:pPr>
        <w:pStyle w:val="ListNumber"/>
      </w:pPr>
      <w:r>
        <w:t>FR5: Deep links in responses navigate internally to relevant POC pages.</w:t>
      </w:r>
    </w:p>
    <w:p>
      <w:pPr>
        <w:pStyle w:val="ListNumber"/>
      </w:pPr>
      <w:r>
        <w:t>FR6: Clear fallback path for unknown queries showing supported topics and compliant guidance from bank.</w:t>
      </w:r>
    </w:p>
    <w:p>
      <w:pPr>
        <w:pStyle w:val="ListNumber"/>
      </w:pPr>
      <w:r>
        <w:t>FR7: No persistent user tracking or analytics storage.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NFR1: App should run locally with a single command and minimal setup.</w:t>
      </w:r>
    </w:p>
    <w:p>
      <w:pPr>
        <w:pStyle w:val="ListBullet"/>
      </w:pPr>
      <w:r>
        <w:t>NFR2: No API keys stored in code. Load from environment variable OPENAI_API_KEY.</w:t>
      </w:r>
    </w:p>
    <w:p>
      <w:pPr>
        <w:pStyle w:val="ListBullet"/>
      </w:pPr>
      <w:r>
        <w:t>NFR3: LLM calls should be server-side only (Streamlit backend). Do not expose API key to the browser.</w:t>
      </w:r>
    </w:p>
    <w:p>
      <w:pPr>
        <w:pStyle w:val="ListBullet"/>
      </w:pPr>
      <w:r>
        <w:t>NFR4: Keep response latency acceptable for demos (target &lt; 2 seconds average for classification).</w:t>
      </w:r>
    </w:p>
    <w:p>
      <w:pPr>
        <w:pStyle w:val="ListBullet"/>
      </w:pPr>
      <w:r>
        <w:t>NFR5: Provide a simple README with setup steps.</w:t>
      </w:r>
    </w:p>
    <w:p>
      <w:pPr>
        <w:pStyle w:val="Heading1"/>
      </w:pPr>
      <w:r>
        <w:t>11. Technical approach (recommended)</w:t>
      </w:r>
    </w:p>
    <w:p>
      <w:r>
        <w:t>Framework: Streamlit multi-page app (Python).</w:t>
      </w:r>
    </w:p>
    <w:p>
      <w:pPr>
        <w:pStyle w:val="ListBullet"/>
      </w:pPr>
      <w:r>
        <w:t>App structure uses Streamlit ‘pages/’ directory for routing.</w:t>
      </w:r>
    </w:p>
    <w:p>
      <w:pPr>
        <w:pStyle w:val="ListBullet"/>
      </w:pPr>
      <w:r>
        <w:t>Chat widget implemented in sidebar or fixed right column; mode switch via tabs/segmented control.</w:t>
      </w:r>
    </w:p>
    <w:p>
      <w:pPr>
        <w:pStyle w:val="ListBullet"/>
      </w:pPr>
      <w:r>
        <w:t>Data files in data/: response_bank.json + optional intent_to_page_map.json.</w:t>
      </w:r>
    </w:p>
    <w:p>
      <w:pPr>
        <w:pStyle w:val="ListBullet"/>
      </w:pPr>
      <w:r>
        <w:t>OpenAI SDK used for classification. Use responses.parse with a Pydantic model for structured outputs.</w:t>
      </w:r>
    </w:p>
    <w:p>
      <w:pPr>
        <w:pStyle w:val="ListBullet"/>
      </w:pPr>
      <w:r>
        <w:t>Provide a script to ingest/normalize the provided response-bank document into JSON (optional but recommended).</w:t>
      </w:r>
    </w:p>
    <w:p>
      <w:pPr>
        <w:pStyle w:val="Heading1"/>
      </w:pPr>
      <w:r>
        <w:t>12. Acceptance criteria (definition of done)</w:t>
      </w:r>
    </w:p>
    <w:p>
      <w:pPr>
        <w:pStyle w:val="ListBullet"/>
      </w:pPr>
      <w:r>
        <w:t>User can navigate across all 7 pages without errors.</w:t>
      </w:r>
    </w:p>
    <w:p>
      <w:pPr>
        <w:pStyle w:val="ListBullet"/>
      </w:pPr>
      <w:r>
        <w:t>Chat widget is visible on all pages and supports switching between Guided and Free text modes.</w:t>
      </w:r>
    </w:p>
    <w:p>
      <w:pPr>
        <w:pStyle w:val="ListBullet"/>
      </w:pPr>
      <w:r>
        <w:t>Guided mode shows categories and question buttons sourced from response_bank.json.</w:t>
      </w:r>
    </w:p>
    <w:p>
      <w:pPr>
        <w:pStyle w:val="ListBullet"/>
      </w:pPr>
      <w:r>
        <w:t>Selecting a guided question shows the correct answer and offers next-best questions.</w:t>
      </w:r>
    </w:p>
    <w:p>
      <w:pPr>
        <w:pStyle w:val="ListBullet"/>
      </w:pPr>
      <w:r>
        <w:t>At least 10 intents demonstrate deep-link buttons that navigate to the correct internal page.</w:t>
      </w:r>
    </w:p>
    <w:p>
      <w:pPr>
        <w:pStyle w:val="ListBullet"/>
      </w:pPr>
      <w:r>
        <w:t>Free-text mode successfully classifies at least 10 sample inputs into correct intents and returns bank answers.</w:t>
      </w:r>
    </w:p>
    <w:p>
      <w:pPr>
        <w:pStyle w:val="ListBullet"/>
      </w:pPr>
      <w:r>
        <w:t>Out-of-scope free-text queries reliably hit fallback and show supported topics without generating new advice.</w:t>
      </w:r>
    </w:p>
    <w:p>
      <w:pPr>
        <w:pStyle w:val="ListBullet"/>
      </w:pPr>
      <w:r>
        <w:t>API key is read from environment variable; application runs without key by disabling free-text mode gracefully.</w:t>
      </w:r>
    </w:p>
    <w:p>
      <w:pPr>
        <w:pStyle w:val="Heading1"/>
      </w:pPr>
      <w:r>
        <w:t>13. Risks and mitigations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Response bank contains ‘monitoring team’ operational notes</w:t>
            </w:r>
          </w:p>
        </w:tc>
        <w:tc>
          <w:tcPr>
            <w:tcW w:type="dxa" w:w="4320"/>
          </w:tcPr>
          <w:p>
            <w:r>
              <w:t>Strip or hide these notes from user-facing output; store as metadata if needed.</w:t>
            </w:r>
          </w:p>
        </w:tc>
      </w:tr>
      <w:tr>
        <w:tc>
          <w:tcPr>
            <w:tcW w:type="dxa" w:w="4320"/>
          </w:tcPr>
          <w:p>
            <w:r>
              <w:t>LLM misclassification</w:t>
            </w:r>
          </w:p>
        </w:tc>
        <w:tc>
          <w:tcPr>
            <w:tcW w:type="dxa" w:w="4320"/>
          </w:tcPr>
          <w:p>
            <w:r>
              <w:t>Use structured outputs + confidence threshold + hard-rule overrides for safety-critical topics; fallback to guided topics.</w:t>
            </w:r>
          </w:p>
        </w:tc>
      </w:tr>
      <w:tr>
        <w:tc>
          <w:tcPr>
            <w:tcW w:type="dxa" w:w="4320"/>
          </w:tcPr>
          <w:p>
            <w:r>
              <w:t>Streamlit navigation limitations</w:t>
            </w:r>
          </w:p>
        </w:tc>
        <w:tc>
          <w:tcPr>
            <w:tcW w:type="dxa" w:w="4320"/>
          </w:tcPr>
          <w:p>
            <w:r>
              <w:t>Use st.page_link / st.switch_page; keep routes stable and mapped in config.</w:t>
            </w:r>
          </w:p>
        </w:tc>
      </w:tr>
    </w:tbl>
    <w:p/>
    <w:p>
      <w:pPr>
        <w:pStyle w:val="Heading1"/>
      </w:pPr>
      <w:r>
        <w:t>Appendix A. Suggested repository structure</w:t>
      </w:r>
    </w:p>
    <w:p>
      <w:r>
        <w:t>rsv-poc/</w:t>
        <w:br/>
        <w:t xml:space="preserve">  app.py</w:t>
        <w:br/>
        <w:t xml:space="preserve">  pages/</w:t>
        <w:br/>
        <w:t xml:space="preserve">    1_Home.py</w:t>
        <w:br/>
        <w:t xml:space="preserve">    2_RSV_Basics.py</w:t>
        <w:br/>
        <w:t xml:space="preserve">    3_Symptoms_in_Adults.py</w:t>
        <w:br/>
        <w:t xml:space="preserve">    4_Spread_and_Prevention.py</w:t>
        <w:br/>
        <w:t xml:space="preserve">    5_Duration.py</w:t>
        <w:br/>
        <w:t xml:space="preserve">    6_What_to_Do_Next.py</w:t>
        <w:br/>
        <w:t xml:space="preserve">    7_About_Support.py</w:t>
        <w:br/>
        <w:t xml:space="preserve">  components/</w:t>
        <w:br/>
        <w:t xml:space="preserve">    chatbot_widget.py</w:t>
        <w:br/>
        <w:t xml:space="preserve">    intent_classifier.py</w:t>
        <w:br/>
        <w:t xml:space="preserve">    response_bank.py</w:t>
        <w:br/>
        <w:t xml:space="preserve">  data/</w:t>
        <w:br/>
        <w:t xml:space="preserve">    response_bank.json</w:t>
        <w:br/>
        <w:t xml:space="preserve">    intent_to_page_map.json</w:t>
        <w:br/>
        <w:t xml:space="preserve">  scripts/</w:t>
        <w:br/>
        <w:t xml:space="preserve">    ingest_response_bank_docx.py  (optional)</w:t>
        <w:br/>
        <w:t xml:space="preserve">  README.md</w:t>
        <w:br/>
        <w:t xml:space="preserve">  requirements.txt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