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EduOS — End-to-End Product, Technology &amp; Business Blueprint</w:t>
      </w:r>
    </w:p>
    <w:p>
      <w:pPr>
        <w:jc w:val="center"/>
      </w:pPr>
      <w:r>
        <w:t>AI Education Operating System | Prototype Layer → Full Product → Future Smart Board</w:t>
      </w:r>
    </w:p>
    <w:p>
      <w:r>
        <w:t>Prepared for: Renacod</w:t>
      </w:r>
    </w:p>
    <w:p>
      <w:r>
        <w:t>Document purpose: Product definition, technical architecture, AI workflow, business model, competitive positioning, prototype plan, future hardware strategy and commercialization roadmap.</w:t>
      </w:r>
    </w:p>
    <w:p>
      <w:r>
        <w:t>Version: 1.0 | Date: 15 August 2026</w:t>
      </w:r>
    </w:p>
    <w:p>
      <w:r>
        <w:br w:type="page"/>
      </w:r>
    </w:p>
    <w:p>
      <w:pPr>
        <w:pStyle w:val="Heading1"/>
      </w:pPr>
      <w:r>
        <w:t>1. Executive Summary</w:t>
      </w:r>
    </w:p>
    <w:p>
      <w:r>
        <w:t>EduOS is an AI-powered Education Operating System designed to become the intelligent software foundation for educational institutions. It is intended to understand a college's academic structure—department, program, year, semester, subject, unit and topic—and connect that structure to institutional documents, question papers, presentations, videos, notes and other learning resources.</w:t>
      </w:r>
    </w:p>
    <w:p>
      <w:r>
        <w:t>For the prototype version only, we are not creating a complete standalone operating system or a physical board. The prototype implements the EduOS operating-system concept as a lightweight software layer above the host operating system so the core intelligence and classroom workflows can be validated. The product vision remains a full EduOS operating system for education, with the future option to run it natively on dedicated EduOS hardware.</w:t>
      </w:r>
    </w:p>
    <w:p>
      <w:r>
        <w:t>The product includes teacher AI assistance, voice interaction, touch and stylus interaction, topic-aware content retrieval, live lesson assistance, automatic lesson and slide support, quiz and assignment generation, visual explanations, classroom resource access, offline/edge caching for selected approved resources and institution-specific AI policies. These are product capabilities; they are not limited to the future smart board.</w:t>
      </w:r>
    </w:p>
    <w:p>
      <w:r>
        <w:t>This architecture also creates a path toward future engines such as a Knowledge Engine, RAG Engine, Academic Intelligence Engine, Assessment Engine, Lesson Engine, Resource Recommendation Engine, Workflow/Agent Engine and eventually a device/runtime integration layer.</w:t>
      </w:r>
    </w:p>
    <w:p>
      <w:pPr>
        <w:pStyle w:val="Heading2"/>
      </w:pPr>
      <w:r>
        <w:t>One-line positioning</w:t>
      </w:r>
    </w:p>
    <w:p>
      <w:r>
        <w:t>EduOS is an institution-aware AI Education Operating System that turns a college's scattered academic content into a structured, searchable and intelligent teaching and learning environment.</w:t>
      </w:r>
    </w:p>
    <w:p>
      <w:pPr>
        <w:pStyle w:val="Heading1"/>
      </w:pPr>
      <w:r>
        <w:t>2. Problem Statement</w:t>
      </w:r>
    </w:p>
    <w:p>
      <w:r>
        <w:t>Higher-education teaching is distributed across many disconnected resources. A teacher may have a syllabus in one PDF, notes in another folder, presentations in PowerPoint, question papers in archives, videos in YouTube links, assignments in documents and reference material elsewhere. A generic AI assistant can answer questions, but it does not automatically understand the institution's academic hierarchy or treat the institution's material as a controlled knowledge source.</w:t>
      </w:r>
    </w:p>
    <w:p>
      <w:r>
        <w:t>The operational problem is therefore not simply 'lack of AI'. It is fragmentation, context loss and repeated manual preparation.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Current Situation</w:t>
            </w:r>
          </w:p>
        </w:tc>
        <w:tc>
          <w:tcPr>
            <w:tcW w:type="dxa" w:w="3312"/>
          </w:tcPr>
          <w:p>
            <w:r>
              <w:rPr>
                <w:b/>
              </w:rPr>
              <w:t>Problem Created</w:t>
            </w:r>
          </w:p>
        </w:tc>
        <w:tc>
          <w:tcPr>
            <w:tcW w:type="dxa" w:w="3312"/>
          </w:tcPr>
          <w:p>
            <w:r>
              <w:rPr>
                <w:b/>
              </w:rPr>
              <w:t>EduOS Opportunity</w:t>
            </w:r>
          </w:p>
        </w:tc>
      </w:tr>
      <w:tr>
        <w:tc>
          <w:tcPr>
            <w:tcW w:type="dxa" w:w="3312"/>
            <w:vAlign w:val="center"/>
          </w:tcPr>
          <w:p>
            <w:r>
              <w:t>Syllabus, notes, PPTs, PDFs and links are separated</w:t>
            </w:r>
          </w:p>
        </w:tc>
        <w:tc>
          <w:tcPr>
            <w:tcW w:type="dxa" w:w="3312"/>
            <w:vAlign w:val="center"/>
          </w:tcPr>
          <w:p>
            <w:r>
              <w:t>Teacher spends time finding and organizing material</w:t>
            </w:r>
          </w:p>
        </w:tc>
        <w:tc>
          <w:tcPr>
            <w:tcW w:type="dxa" w:w="3312"/>
            <w:vAlign w:val="center"/>
          </w:tcPr>
          <w:p>
            <w:r>
              <w:t>Unified academic knowledge layer</w:t>
            </w:r>
          </w:p>
        </w:tc>
      </w:tr>
      <w:tr>
        <w:tc>
          <w:tcPr>
            <w:tcW w:type="dxa" w:w="3312"/>
            <w:vAlign w:val="center"/>
          </w:tcPr>
          <w:p>
            <w:r>
              <w:t>Generic AI answers are not automatically institution-grounded</w:t>
            </w:r>
          </w:p>
        </w:tc>
        <w:tc>
          <w:tcPr>
            <w:tcW w:type="dxa" w:w="3312"/>
            <w:vAlign w:val="center"/>
          </w:tcPr>
          <w:p>
            <w:r>
              <w:t>Risk of irrelevant or unsupported explanations</w:t>
            </w:r>
          </w:p>
        </w:tc>
        <w:tc>
          <w:tcPr>
            <w:tcW w:type="dxa" w:w="3312"/>
            <w:vAlign w:val="center"/>
          </w:tcPr>
          <w:p>
            <w:r>
              <w:t>RAG + academic context</w:t>
            </w:r>
          </w:p>
        </w:tc>
      </w:tr>
      <w:tr>
        <w:tc>
          <w:tcPr>
            <w:tcW w:type="dxa" w:w="3312"/>
            <w:vAlign w:val="center"/>
          </w:tcPr>
          <w:p>
            <w:r>
              <w:t>Question papers are stored but rarely analyzed systematically</w:t>
            </w:r>
          </w:p>
        </w:tc>
        <w:tc>
          <w:tcPr>
            <w:tcW w:type="dxa" w:w="3312"/>
            <w:vAlign w:val="center"/>
          </w:tcPr>
          <w:p>
            <w:r>
              <w:t>Historical academic patterns remain underused</w:t>
            </w:r>
          </w:p>
        </w:tc>
        <w:tc>
          <w:tcPr>
            <w:tcW w:type="dxa" w:w="3312"/>
            <w:vAlign w:val="center"/>
          </w:tcPr>
          <w:p>
            <w:r>
              <w:t>Question intelligence</w:t>
            </w:r>
          </w:p>
        </w:tc>
      </w:tr>
      <w:tr>
        <w:tc>
          <w:tcPr>
            <w:tcW w:type="dxa" w:w="3312"/>
            <w:vAlign w:val="center"/>
          </w:tcPr>
          <w:p>
            <w:r>
              <w:t>Lesson, PPT, quiz and assignment creation are separate tasks</w:t>
            </w:r>
          </w:p>
        </w:tc>
        <w:tc>
          <w:tcPr>
            <w:tcW w:type="dxa" w:w="3312"/>
            <w:vAlign w:val="center"/>
          </w:tcPr>
          <w:p>
            <w:r>
              <w:t>Repeated preparation work</w:t>
            </w:r>
          </w:p>
        </w:tc>
        <w:tc>
          <w:tcPr>
            <w:tcW w:type="dxa" w:w="3312"/>
            <w:vAlign w:val="center"/>
          </w:tcPr>
          <w:p>
            <w:r>
              <w:t>AI lesson/assessment orchestration</w:t>
            </w:r>
          </w:p>
        </w:tc>
      </w:tr>
      <w:tr>
        <w:tc>
          <w:tcPr>
            <w:tcW w:type="dxa" w:w="3312"/>
            <w:vAlign w:val="center"/>
          </w:tcPr>
          <w:p>
            <w:r>
              <w:t>Classroom hardware is mostly a presentation endpoint</w:t>
            </w:r>
          </w:p>
        </w:tc>
        <w:tc>
          <w:tcPr>
            <w:tcW w:type="dxa" w:w="3312"/>
            <w:vAlign w:val="center"/>
          </w:tcPr>
          <w:p>
            <w:r>
              <w:t>AI capabilities may be external to the teaching flow</w:t>
            </w:r>
          </w:p>
        </w:tc>
        <w:tc>
          <w:tcPr>
            <w:tcW w:type="dxa" w:w="3312"/>
            <w:vAlign w:val="center"/>
          </w:tcPr>
          <w:p>
            <w:r>
              <w:t>Future EduOS device/runtime layer</w:t>
            </w:r>
          </w:p>
        </w:tc>
      </w:tr>
    </w:tbl>
    <w:p>
      <w:pPr>
        <w:pStyle w:val="Heading2"/>
      </w:pPr>
      <w:r>
        <w:t>Student Learning &amp; Classroom Problem</w:t>
      </w:r>
    </w:p>
    <w:p>
      <w:r>
        <w:t>A second and equally important problem is the student experience inside the classroom. Students do not learn at the same speed or in the same way. Some students may struggle with theoretical classes, lose attention when concepts are presented too quickly, feel bored when the teaching approach does not match their learning needs, or leave class without fully understanding the topic. A student may also hesitate to raise a question in front of the entire class because of fear of embarrassment, peer pressure, or the feeling that the question is too basic. When this happens repeatedly, the gap between what is taught and what the student actually understands can grow, and that gap can later affect confidence, practical skills and career preparation.</w:t>
      </w:r>
    </w:p>
    <w:p>
      <w:r>
        <w:t>EduOS addresses this with a private student AI learning assistant. When a student connects through a laptop or another supported device, the student can ask questions about the current topic privately. EduOS can explain the concept using the institution's approved academic material first, then adapt the explanation when the student still does not understand. The system can progressively simplify the explanation—for example, moving from a technical definition to a simpler explanation, then to a real-world analogy, worked example, step-by-step breakdown, or visual explanation. The objective is not to lower academic standards; it is to reduce the barrier to understanding so that the student can build a stronger conceptual foundation.</w:t>
      </w:r>
    </w:p>
    <w:p>
      <w:r>
        <w:t>This student-learning capability is strategically important to the EduOS vision because understanding is a foundation for skill development. When students understand why and how a concept works, they are better positioned to practice it, apply it in projects and laboratories, and build the skills required for their future careers. EduOS therefore treats personalized explanation and private question-asking as a core learning capability, not merely an optional chatbot feature.</w:t>
      </w:r>
    </w:p>
    <w:p>
      <w:pPr>
        <w:pStyle w:val="Heading3"/>
      </w:pPr>
      <w:r>
        <w:t>Student AI Learning Flow</w:t>
      </w:r>
    </w:p>
    <w:p>
      <w:r>
        <w:t>Student asks a question → EduOS identifies the current topic → retrieves approved academic context → explains at the student's current level → checks understanding → simplifies further when needed → offers an example, analogy or visual explanation → provides a practice question → recommends the relevant institutional resource.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Student Situation</w:t>
            </w:r>
          </w:p>
        </w:tc>
        <w:tc>
          <w:tcPr>
            <w:tcW w:type="dxa" w:w="3312"/>
          </w:tcPr>
          <w:p>
            <w:r>
              <w:rPr>
                <w:b/>
              </w:rPr>
              <w:t>EduOS Response</w:t>
            </w:r>
          </w:p>
        </w:tc>
        <w:tc>
          <w:tcPr>
            <w:tcW w:type="dxa" w:w="3312"/>
          </w:tcPr>
          <w:p>
            <w:r>
              <w:rPr>
                <w:b/>
              </w:rPr>
              <w:t>Expected Benefit</w:t>
            </w:r>
          </w:p>
        </w:tc>
      </w:tr>
      <w:tr>
        <w:tc>
          <w:tcPr>
            <w:tcW w:type="dxa" w:w="3312"/>
          </w:tcPr>
          <w:p>
            <w:r>
              <w:t>Student does not understand the classroom explanation</w:t>
            </w:r>
          </w:p>
        </w:tc>
        <w:tc>
          <w:tcPr>
            <w:tcW w:type="dxa" w:w="3312"/>
          </w:tcPr>
          <w:p>
            <w:r>
              <w:t>Explain the same concept in simpler language while staying aligned with the topic</w:t>
            </w:r>
          </w:p>
        </w:tc>
        <w:tc>
          <w:tcPr>
            <w:tcW w:type="dxa" w:w="3312"/>
          </w:tcPr>
          <w:p>
            <w:r>
              <w:t>Improved conceptual understanding</w:t>
            </w:r>
          </w:p>
        </w:tc>
      </w:tr>
      <w:tr>
        <w:tc>
          <w:tcPr>
            <w:tcW w:type="dxa" w:w="3312"/>
          </w:tcPr>
          <w:p>
            <w:r>
              <w:t>Student is afraid to ask in front of the class</w:t>
            </w:r>
          </w:p>
        </w:tc>
        <w:tc>
          <w:tcPr>
            <w:tcW w:type="dxa" w:w="3312"/>
          </w:tcPr>
          <w:p>
            <w:r>
              <w:t>Provide a private AI question-and-answer channel</w:t>
            </w:r>
          </w:p>
        </w:tc>
        <w:tc>
          <w:tcPr>
            <w:tcW w:type="dxa" w:w="3312"/>
          </w:tcPr>
          <w:p>
            <w:r>
              <w:t>Lower barrier to asking questions</w:t>
            </w:r>
          </w:p>
        </w:tc>
      </w:tr>
      <w:tr>
        <w:tc>
          <w:tcPr>
            <w:tcW w:type="dxa" w:w="3312"/>
          </w:tcPr>
          <w:p>
            <w:r>
              <w:t>Student understands the definition but not the application</w:t>
            </w:r>
          </w:p>
        </w:tc>
        <w:tc>
          <w:tcPr>
            <w:tcW w:type="dxa" w:w="3312"/>
          </w:tcPr>
          <w:p>
            <w:r>
              <w:t>Provide examples, analogies, scenarios and practice</w:t>
            </w:r>
          </w:p>
        </w:tc>
        <w:tc>
          <w:tcPr>
            <w:tcW w:type="dxa" w:w="3312"/>
          </w:tcPr>
          <w:p>
            <w:r>
              <w:t>Better ability to apply the concept</w:t>
            </w:r>
          </w:p>
        </w:tc>
      </w:tr>
      <w:tr>
        <w:tc>
          <w:tcPr>
            <w:tcW w:type="dxa" w:w="3312"/>
          </w:tcPr>
          <w:p>
            <w:r>
              <w:t>Student still does not understand</w:t>
            </w:r>
          </w:p>
        </w:tc>
        <w:tc>
          <w:tcPr>
            <w:tcW w:type="dxa" w:w="3312"/>
          </w:tcPr>
          <w:p>
            <w:r>
              <w:t>Change the explanation style and progressively simplify it</w:t>
            </w:r>
          </w:p>
        </w:tc>
        <w:tc>
          <w:tcPr>
            <w:tcW w:type="dxa" w:w="3312"/>
          </w:tcPr>
          <w:p>
            <w:r>
              <w:t>Adaptive learning support</w:t>
            </w:r>
          </w:p>
        </w:tc>
      </w:tr>
      <w:tr>
        <w:tc>
          <w:tcPr>
            <w:tcW w:type="dxa" w:w="3312"/>
          </w:tcPr>
          <w:p>
            <w:r>
              <w:t>Student wants to strengthen the topic after class</w:t>
            </w:r>
          </w:p>
        </w:tc>
        <w:tc>
          <w:tcPr>
            <w:tcW w:type="dxa" w:w="3312"/>
          </w:tcPr>
          <w:p>
            <w:r>
              <w:t>Provide recap, resources and practice questions</w:t>
            </w:r>
          </w:p>
        </w:tc>
        <w:tc>
          <w:tcPr>
            <w:tcW w:type="dxa" w:w="3312"/>
          </w:tcPr>
          <w:p>
            <w:r>
              <w:t>Better retention and skill development</w:t>
            </w:r>
          </w:p>
        </w:tc>
      </w:tr>
    </w:tbl>
    <w:p>
      <w:pPr>
        <w:pStyle w:val="Heading1"/>
      </w:pPr>
      <w:r>
        <w:t>3. Origin of the Idea &amp; Product Inspiration</w:t>
      </w:r>
    </w:p>
    <w:p>
      <w:r>
        <w:t>The product concept emerged from a practical classroom scenario discussed during the project: a teacher preparing lessons, PPT topics and assignments, repeatedly searching for resources, and becoming overloaded by preparation work. The proposed experience is that AI should operate alongside the teacher rather than replace the teacher.</w:t>
      </w:r>
    </w:p>
    <w:p>
      <w:r>
        <w:t>The second part of the vision came from the idea of an intelligent classroom board: a board should not merely display a slide. In a future version, the board could connect to the EduOS intelligence layer, understand the current subject/topic, retrieve approved institutional material, explain concepts, generate supporting content and assist the teacher during a lesson.</w:t>
      </w:r>
    </w:p>
    <w:p>
      <w:r>
        <w:t>The product is therefore inspired by the combination of three ideas: an AI assistant, an institution-owned academic knowledge system, and an intelligent classroom interface. The differentiating hypothesis is the integration of these capabilities into one academic operating layer rather than treating each capability as an isolated application.</w:t>
      </w:r>
    </w:p>
    <w:p>
      <w:r>
        <w:t>This origin story should be presented as the founder/product team's problem observation and design direction—not as a claim that the underlying technologies themselves are new.</w:t>
      </w:r>
    </w:p>
    <w:p>
      <w:pPr>
        <w:pStyle w:val="Heading1"/>
      </w:pPr>
      <w:r>
        <w:t>4. Vision, Mission &amp; Product Principles</w:t>
      </w:r>
    </w:p>
    <w:p>
      <w:pPr>
        <w:pStyle w:val="Heading2"/>
      </w:pPr>
      <w:r>
        <w:t>Vision</w:t>
      </w:r>
    </w:p>
    <w:p>
      <w:r>
        <w:t>Create an intelligent Education Operating System that understands an institution's academic world and makes that intelligence available across teaching, learning and classroom experiences.</w:t>
      </w:r>
    </w:p>
    <w:p>
      <w:pPr>
        <w:pStyle w:val="Heading2"/>
      </w:pPr>
      <w:r>
        <w:t>Mission</w:t>
      </w:r>
    </w:p>
    <w:p>
      <w:r>
        <w:t>Reduce repetitive academic preparation, improve access to institution-grounded knowledge, and give teachers and students an intelligent learning assistant that understands academic context.</w:t>
      </w:r>
    </w:p>
    <w:p>
      <w:pPr>
        <w:pStyle w:val="Heading2"/>
      </w:pPr>
      <w:r>
        <w:t>Core principles</w:t>
      </w:r>
    </w:p>
    <w:p>
      <w:pPr>
        <w:pStyle w:val="ListBullet"/>
      </w:pPr>
      <w:r>
        <w:t>Teacher-first: AI assists teachers; it does not claim to replace them.</w:t>
      </w:r>
    </w:p>
    <w:p>
      <w:pPr>
        <w:pStyle w:val="ListBullet"/>
      </w:pPr>
      <w:r>
        <w:t>Institution-grounded: institutional resources should be first-class knowledge sources.</w:t>
      </w:r>
    </w:p>
    <w:p>
      <w:pPr>
        <w:pStyle w:val="ListBullet"/>
      </w:pPr>
      <w:r>
        <w:t>Transparent: answers should indicate the basis of the response where possible.</w:t>
      </w:r>
    </w:p>
    <w:p>
      <w:pPr>
        <w:pStyle w:val="ListBullet"/>
      </w:pPr>
      <w:r>
        <w:t>Multi-tenant by design: one institution's data must never leak into another institution's context.</w:t>
      </w:r>
    </w:p>
    <w:p>
      <w:pPr>
        <w:pStyle w:val="ListBullet"/>
      </w:pPr>
      <w:r>
        <w:t>Modular: future engines should use stable SDK contracts rather than kernel internals.</w:t>
      </w:r>
    </w:p>
    <w:p>
      <w:pPr>
        <w:pStyle w:val="ListBullet"/>
      </w:pPr>
      <w:r>
        <w:t>Provider-independent: the architecture should allow different LLM and embedding providers.</w:t>
      </w:r>
    </w:p>
    <w:p>
      <w:pPr>
        <w:pStyle w:val="ListBullet"/>
      </w:pPr>
      <w:r>
        <w:t>Human-controlled: generated lesson plans, assessments and resources should remain reviewable.</w:t>
      </w:r>
    </w:p>
    <w:p>
      <w:pPr>
        <w:pStyle w:val="ListBullet"/>
      </w:pPr>
      <w:r>
        <w:t>Prototype-first: prove the EduOS intelligence and operating-system concept before developing a dedicated custom smart board.</w:t>
      </w:r>
    </w:p>
    <w:p>
      <w:pPr>
        <w:pStyle w:val="Heading1"/>
      </w:pPr>
      <w:r>
        <w:t>5. What EduOS Actually Is</w:t>
      </w:r>
    </w:p>
    <w:p>
      <w:r>
        <w:t>EduOS is the product operating system. For the prototype version only, the operating-system concept is implemented as a lightweight software layer running above an existing Windows, Linux or Android environment so that the core intelligence can be validated before deeper OS development and hardware investment.</w:t>
      </w:r>
    </w:p>
    <w:p>
      <w:r>
        <w:t>The EduOS Kernel provides the platform foundation: configuration, dependency injection, logging, events, security, tenant context, health, metrics, storage abstractions and plugin architecture. On top of the Kernel, the product provides academic knowledge, RAG, academic intelligence and teacher-facing AI capabilities. In the prototype, these capabilities run as a software layer; in the full product they form the EduOS operating environment.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Purpose</w:t>
            </w:r>
          </w:p>
        </w:tc>
      </w:tr>
      <w:tr>
        <w:tc>
          <w:tcPr>
            <w:tcW w:type="dxa" w:w="4968"/>
            <w:vAlign w:val="center"/>
          </w:tcPr>
          <w:p>
            <w:r>
              <w:t>Future Device / Smart Board</w:t>
            </w:r>
          </w:p>
        </w:tc>
        <w:tc>
          <w:tcPr>
            <w:tcW w:type="dxa" w:w="4968"/>
            <w:vAlign w:val="center"/>
          </w:tcPr>
          <w:p>
            <w:r>
              <w:t>Classroom hardware interface; not part of the first prototype</w:t>
            </w:r>
          </w:p>
        </w:tc>
      </w:tr>
      <w:tr>
        <w:tc>
          <w:tcPr>
            <w:tcW w:type="dxa" w:w="4968"/>
            <w:vAlign w:val="center"/>
          </w:tcPr>
          <w:p>
            <w:r>
              <w:t>EduOS Experience</w:t>
            </w:r>
          </w:p>
        </w:tc>
        <w:tc>
          <w:tcPr>
            <w:tcW w:type="dxa" w:w="4968"/>
            <w:vAlign w:val="center"/>
          </w:tcPr>
          <w:p>
            <w:r>
              <w:t>Teacher/student applications and future board UI</w:t>
            </w:r>
          </w:p>
        </w:tc>
      </w:tr>
      <w:tr>
        <w:tc>
          <w:tcPr>
            <w:tcW w:type="dxa" w:w="4968"/>
            <w:vAlign w:val="center"/>
          </w:tcPr>
          <w:p>
            <w:r>
              <w:t>Academic Intelligence Engines</w:t>
            </w:r>
          </w:p>
        </w:tc>
        <w:tc>
          <w:tcPr>
            <w:tcW w:type="dxa" w:w="4968"/>
            <w:vAlign w:val="center"/>
          </w:tcPr>
          <w:p>
            <w:r>
              <w:t>Question intelligence, lesson generation, assessment, recommendations</w:t>
            </w:r>
          </w:p>
        </w:tc>
      </w:tr>
      <w:tr>
        <w:tc>
          <w:tcPr>
            <w:tcW w:type="dxa" w:w="4968"/>
            <w:vAlign w:val="center"/>
          </w:tcPr>
          <w:p>
            <w:r>
              <w:t>RAG / Knowledge Intelligence</w:t>
            </w:r>
          </w:p>
        </w:tc>
        <w:tc>
          <w:tcPr>
            <w:tcW w:type="dxa" w:w="4968"/>
            <w:vAlign w:val="center"/>
          </w:tcPr>
          <w:p>
            <w:r>
              <w:t>Retrieval, grounding, semantic search and context construction</w:t>
            </w:r>
          </w:p>
        </w:tc>
      </w:tr>
      <w:tr>
        <w:tc>
          <w:tcPr>
            <w:tcW w:type="dxa" w:w="4968"/>
            <w:vAlign w:val="center"/>
          </w:tcPr>
          <w:p>
            <w:r>
              <w:t>Academic Knowledge Layer</w:t>
            </w:r>
          </w:p>
        </w:tc>
        <w:tc>
          <w:tcPr>
            <w:tcW w:type="dxa" w:w="4968"/>
            <w:vAlign w:val="center"/>
          </w:tcPr>
          <w:p>
            <w:r>
              <w:t>Syllabus, subjects, units, topics, materials and question papers</w:t>
            </w:r>
          </w:p>
        </w:tc>
      </w:tr>
      <w:tr>
        <w:tc>
          <w:tcPr>
            <w:tcW w:type="dxa" w:w="4968"/>
            <w:vAlign w:val="center"/>
          </w:tcPr>
          <w:p>
            <w:r>
              <w:t>EduOS SDK</w:t>
            </w:r>
          </w:p>
        </w:tc>
        <w:tc>
          <w:tcPr>
            <w:tcW w:type="dxa" w:w="4968"/>
            <w:vAlign w:val="center"/>
          </w:tcPr>
          <w:p>
            <w:r>
              <w:t>Stable contracts shared by engines</w:t>
            </w:r>
          </w:p>
        </w:tc>
      </w:tr>
      <w:tr>
        <w:tc>
          <w:tcPr>
            <w:tcW w:type="dxa" w:w="4968"/>
            <w:vAlign w:val="center"/>
          </w:tcPr>
          <w:p>
            <w:r>
              <w:t>EduOS Kernel</w:t>
            </w:r>
          </w:p>
        </w:tc>
        <w:tc>
          <w:tcPr>
            <w:tcW w:type="dxa" w:w="4968"/>
            <w:vAlign w:val="center"/>
          </w:tcPr>
          <w:p>
            <w:r>
              <w:t>Security, tenancy, lifecycle, events, configuration, logging, metrics, storage</w:t>
            </w:r>
          </w:p>
        </w:tc>
      </w:tr>
      <w:tr>
        <w:tc>
          <w:tcPr>
            <w:tcW w:type="dxa" w:w="4968"/>
            <w:vAlign w:val="center"/>
          </w:tcPr>
          <w:p>
            <w:r>
              <w:t>Infrastructure</w:t>
            </w:r>
          </w:p>
        </w:tc>
        <w:tc>
          <w:tcPr>
            <w:tcW w:type="dxa" w:w="4968"/>
            <w:vAlign w:val="center"/>
          </w:tcPr>
          <w:p>
            <w:r>
              <w:t>MongoDB, Redis, object storage, model APIs and deployment infrastructure</w:t>
            </w:r>
          </w:p>
        </w:tc>
      </w:tr>
    </w:tbl>
    <w:p>
      <w:pPr>
        <w:pStyle w:val="Heading2"/>
      </w:pPr>
      <w:r>
        <w:t>Current Product Capabilities</w:t>
      </w:r>
    </w:p>
    <w:p>
      <w:r>
        <w:t>These are current EduOS product capabilities. The prototype validates the core software implementation first; the product definition includes both teacher-facing and student-facing intelligence.</w:t>
      </w:r>
    </w:p>
    <w:p>
      <w:pPr>
        <w:pStyle w:val="ListBullet"/>
      </w:pPr>
      <w:r>
        <w:t>Automatic lesson and slide support</w:t>
      </w:r>
    </w:p>
    <w:p>
      <w:pPr>
        <w:pStyle w:val="ListBullet"/>
      </w:pPr>
      <w:r>
        <w:t>Teacher AI Assistant</w:t>
      </w:r>
    </w:p>
    <w:p>
      <w:pPr>
        <w:pStyle w:val="Heading2"/>
      </w:pPr>
      <w:r>
        <w:t>Student AI Learning Assistant — Core Product Capability</w:t>
      </w:r>
    </w:p>
    <w:p>
      <w:r>
        <w:t>The student-side AI assistant is a core EduOS product capability. It is a private, topic-aware learning companion for students during and after class. It does not replace the teacher. It gives students a safe place to ask questions, receive explanations at an appropriate level, and continue learning without the social pressure of asking in front of a classroom.</w:t>
      </w:r>
    </w:p>
    <w:p>
      <w:r>
        <w:t>The assistant uses academic context such as college, program, year, semester, subject, unit and topic. If a student asks a question, EduOS first uses approved institutional material where relevant. If the first explanation is not understood, the student can request a simpler explanation, another example, a real-world analogy, a step-by-step explanation, a visual explanation, or a quick practice question. The system can progressively reduce complexity while preserving the core concept.</w:t>
      </w:r>
    </w:p>
    <w:p>
      <w:r>
        <w:t>For product positioning, this feature connects understanding to long-term skill development: the platform is designed to help a student move from hearing a concept in class, to understanding it, and then to applying it in laboratories, projects and future work.</w:t>
      </w:r>
    </w:p>
    <w:p>
      <w:pPr>
        <w:pStyle w:val="ListBullet"/>
      </w:pPr>
      <w:r>
        <w:t>Adaptive explanation that can progressively simplify concepts for individual students</w:t>
      </w:r>
    </w:p>
    <w:p>
      <w:pPr>
        <w:pStyle w:val="ListBullet"/>
      </w:pPr>
      <w:r>
        <w:t>Institution-specific AI policies</w:t>
      </w:r>
    </w:p>
    <w:p>
      <w:pPr>
        <w:pStyle w:val="ListBullet"/>
      </w:pPr>
      <w:r>
        <w:t>Offline/edge caching for selected approved resources</w:t>
      </w:r>
    </w:p>
    <w:p>
      <w:pPr>
        <w:pStyle w:val="ListBullet"/>
      </w:pPr>
      <w:r>
        <w:t>Classroom resource access</w:t>
      </w:r>
    </w:p>
    <w:p>
      <w:pPr>
        <w:pStyle w:val="ListBullet"/>
      </w:pPr>
      <w:r>
        <w:t>Visual explanations</w:t>
      </w:r>
    </w:p>
    <w:p>
      <w:pPr>
        <w:pStyle w:val="ListBullet"/>
      </w:pPr>
      <w:r>
        <w:t>Quiz and assignment generation</w:t>
      </w:r>
    </w:p>
    <w:p>
      <w:pPr>
        <w:pStyle w:val="ListBullet"/>
      </w:pPr>
      <w:r>
        <w:t>Automatic lesson and slide support</w:t>
      </w:r>
    </w:p>
    <w:p>
      <w:pPr>
        <w:pStyle w:val="ListBullet"/>
      </w:pPr>
      <w:r>
        <w:t>Live lesson assistance</w:t>
      </w:r>
    </w:p>
    <w:p>
      <w:pPr>
        <w:pStyle w:val="ListBullet"/>
      </w:pPr>
      <w:r>
        <w:t>Topic-aware content retrieval</w:t>
      </w:r>
    </w:p>
    <w:p>
      <w:pPr>
        <w:pStyle w:val="ListBullet"/>
      </w:pPr>
      <w:r>
        <w:t>Touch and stylus interaction</w:t>
      </w:r>
    </w:p>
    <w:p>
      <w:pPr>
        <w:pStyle w:val="ListBullet"/>
      </w:pPr>
      <w:r>
        <w:t>Voice interaction</w:t>
      </w:r>
    </w:p>
    <w:p>
      <w:pPr>
        <w:pStyle w:val="ListBullet"/>
      </w:pPr>
      <w:r>
        <w:t>Student Private AI Learning Assistant</w:t>
      </w:r>
    </w:p>
    <w:p>
      <w:pPr>
        <w:pStyle w:val="ListBullet"/>
      </w:pPr>
      <w:r>
        <w:t>Teacher AI Assistant</w:t>
      </w:r>
    </w:p>
    <w:p>
      <w:pPr>
        <w:pStyle w:val="Heading1"/>
      </w:pPr>
      <w:r>
        <w:t>6. End-to-End Product Workflow</w:t>
      </w:r>
    </w:p>
    <w:p>
      <w:r>
        <w:t>The following is the intended end-to-end flow for the prototype and later platform.</w:t>
      </w:r>
    </w:p>
    <w:p>
      <w:pPr>
        <w:pStyle w:val="ListNumber"/>
      </w:pPr>
      <w:r>
        <w:t>Institution is created as a tenant.</w:t>
      </w:r>
    </w:p>
    <w:p>
      <w:pPr>
        <w:pStyle w:val="ListNumber"/>
      </w:pPr>
      <w:r>
        <w:t>Academic hierarchy is configured: department → program → year → semester → subject → unit → topic.</w:t>
      </w:r>
    </w:p>
    <w:p>
      <w:pPr>
        <w:pStyle w:val="ListNumber"/>
      </w:pPr>
      <w:r>
        <w:t>Teacher/admin uploads syllabus, notes, PDFs, PPTs, question papers or approved resource links.</w:t>
      </w:r>
    </w:p>
    <w:p>
      <w:pPr>
        <w:pStyle w:val="ListNumber"/>
      </w:pPr>
      <w:r>
        <w:t>Knowledge ingestion identifies the material type and extracts usable text/metadata.</w:t>
      </w:r>
    </w:p>
    <w:p>
      <w:pPr>
        <w:pStyle w:val="ListNumber"/>
      </w:pPr>
      <w:r>
        <w:t>Documents are normalized and divided into knowledge chunks.</w:t>
      </w:r>
    </w:p>
    <w:p>
      <w:pPr>
        <w:pStyle w:val="ListNumber"/>
      </w:pPr>
      <w:r>
        <w:t>Chunks are converted into embeddings and stored with academic and tenant metadata.</w:t>
      </w:r>
    </w:p>
    <w:p>
      <w:pPr>
        <w:pStyle w:val="ListNumber"/>
      </w:pPr>
      <w:r>
        <w:t>A teacher asks a question such as 'Explain CNN for Unit 3.'</w:t>
      </w:r>
    </w:p>
    <w:p>
      <w:pPr>
        <w:pStyle w:val="ListNumber"/>
      </w:pPr>
      <w:r>
        <w:t>The request is interpreted together with tenant, subject, unit and topic context.</w:t>
      </w:r>
    </w:p>
    <w:p>
      <w:pPr>
        <w:pStyle w:val="ListNumber"/>
      </w:pPr>
      <w:r>
        <w:t>The RAG engine retrieves relevant institutional chunks.</w:t>
      </w:r>
    </w:p>
    <w:p>
      <w:pPr>
        <w:pStyle w:val="ListNumber"/>
      </w:pPr>
      <w:r>
        <w:t>The AI orchestrator builds a controlled prompt using the retrieved context.</w:t>
      </w:r>
    </w:p>
    <w:p>
      <w:pPr>
        <w:pStyle w:val="ListNumber"/>
      </w:pPr>
      <w:r>
        <w:t>The LLM generates an educational response.</w:t>
      </w:r>
    </w:p>
    <w:p>
      <w:pPr>
        <w:pStyle w:val="ListNumber"/>
      </w:pPr>
      <w:r>
        <w:t>The response can cite or identify the relevant institutional resources.</w:t>
      </w:r>
    </w:p>
    <w:p>
      <w:pPr>
        <w:pStyle w:val="ListNumber"/>
      </w:pPr>
      <w:r>
        <w:t>For academic-intelligence requests, question papers are analyzed for frequency, marks, difficulty, Bloom's taxonomy and topic importance.</w:t>
      </w:r>
    </w:p>
    <w:p>
      <w:pPr>
        <w:pStyle w:val="ListNumber"/>
      </w:pPr>
      <w:r>
        <w:t>The system recommends relevant resources for the selected topic.</w:t>
      </w:r>
    </w:p>
    <w:p>
      <w:pPr>
        <w:pStyle w:val="ListNumber"/>
      </w:pPr>
      <w:r>
        <w:t>Future engines can use the same SDK and kernel services without directly coupling to infrastructure.</w:t>
      </w:r>
    </w:p>
    <w:p>
      <w:pPr>
        <w:pStyle w:val="Heading1"/>
      </w:pPr>
      <w:r>
        <w:t>7. AI System — Roles of Each Technology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Technology / Component</w:t>
            </w:r>
          </w:p>
        </w:tc>
        <w:tc>
          <w:tcPr>
            <w:tcW w:type="dxa" w:w="3312"/>
          </w:tcPr>
          <w:p>
            <w:r>
              <w:rPr>
                <w:b/>
              </w:rPr>
              <w:t>Primary Role</w:t>
            </w:r>
          </w:p>
        </w:tc>
        <w:tc>
          <w:tcPr>
            <w:tcW w:type="dxa" w:w="3312"/>
          </w:tcPr>
          <w:p>
            <w:r>
              <w:rPr>
                <w:b/>
              </w:rPr>
              <w:t>What It Should NOT Do</w:t>
            </w:r>
          </w:p>
        </w:tc>
      </w:tr>
      <w:tr>
        <w:tc>
          <w:tcPr>
            <w:tcW w:type="dxa" w:w="3312"/>
            <w:vAlign w:val="center"/>
          </w:tcPr>
          <w:p>
            <w:r>
              <w:t>Document parsers</w:t>
            </w:r>
          </w:p>
        </w:tc>
        <w:tc>
          <w:tcPr>
            <w:tcW w:type="dxa" w:w="3312"/>
            <w:vAlign w:val="center"/>
          </w:tcPr>
          <w:p>
            <w:r>
              <w:t>Extract text/structure from PDFs, PPTs and supported documents</w:t>
            </w:r>
          </w:p>
        </w:tc>
        <w:tc>
          <w:tcPr>
            <w:tcW w:type="dxa" w:w="3312"/>
            <w:vAlign w:val="center"/>
          </w:tcPr>
          <w:p>
            <w:r>
              <w:t>Make academic conclusions</w:t>
            </w:r>
          </w:p>
        </w:tc>
      </w:tr>
      <w:tr>
        <w:tc>
          <w:tcPr>
            <w:tcW w:type="dxa" w:w="3312"/>
            <w:vAlign w:val="center"/>
          </w:tcPr>
          <w:p>
            <w:r>
              <w:t>YouTube transcript extraction</w:t>
            </w:r>
          </w:p>
        </w:tc>
        <w:tc>
          <w:tcPr>
            <w:tcW w:type="dxa" w:w="3312"/>
            <w:vAlign w:val="center"/>
          </w:tcPr>
          <w:p>
            <w:r>
              <w:t>Obtain available transcript/caption text for approved links</w:t>
            </w:r>
          </w:p>
        </w:tc>
        <w:tc>
          <w:tcPr>
            <w:tcW w:type="dxa" w:w="3312"/>
            <w:vAlign w:val="center"/>
          </w:tcPr>
          <w:p>
            <w:r>
              <w:t>Invent video content when transcript is unavailable</w:t>
            </w:r>
          </w:p>
        </w:tc>
      </w:tr>
      <w:tr>
        <w:tc>
          <w:tcPr>
            <w:tcW w:type="dxa" w:w="3312"/>
            <w:vAlign w:val="center"/>
          </w:tcPr>
          <w:p>
            <w:r>
              <w:t>Chunking</w:t>
            </w:r>
          </w:p>
        </w:tc>
        <w:tc>
          <w:tcPr>
            <w:tcW w:type="dxa" w:w="3312"/>
            <w:vAlign w:val="center"/>
          </w:tcPr>
          <w:p>
            <w:r>
              <w:t>Split source material into retrieval-sized pieces</w:t>
            </w:r>
          </w:p>
        </w:tc>
        <w:tc>
          <w:tcPr>
            <w:tcW w:type="dxa" w:w="3312"/>
            <w:vAlign w:val="center"/>
          </w:tcPr>
          <w:p>
            <w:r>
              <w:t>Decide whether a topic is academically important</w:t>
            </w:r>
          </w:p>
        </w:tc>
      </w:tr>
      <w:tr>
        <w:tc>
          <w:tcPr>
            <w:tcW w:type="dxa" w:w="3312"/>
            <w:vAlign w:val="center"/>
          </w:tcPr>
          <w:p>
            <w:r>
              <w:t>Embedding model</w:t>
            </w:r>
          </w:p>
        </w:tc>
        <w:tc>
          <w:tcPr>
            <w:tcW w:type="dxa" w:w="3312"/>
            <w:vAlign w:val="center"/>
          </w:tcPr>
          <w:p>
            <w:r>
              <w:t>Convert text into semantic vectors for retrieval</w:t>
            </w:r>
          </w:p>
        </w:tc>
        <w:tc>
          <w:tcPr>
            <w:tcW w:type="dxa" w:w="3312"/>
            <w:vAlign w:val="center"/>
          </w:tcPr>
          <w:p>
            <w:r>
              <w:t>Generate final explanations</w:t>
            </w:r>
          </w:p>
        </w:tc>
      </w:tr>
      <w:tr>
        <w:tc>
          <w:tcPr>
            <w:tcW w:type="dxa" w:w="3312"/>
            <w:vAlign w:val="center"/>
          </w:tcPr>
          <w:p>
            <w:r>
              <w:t>Vector similarity search</w:t>
            </w:r>
          </w:p>
        </w:tc>
        <w:tc>
          <w:tcPr>
            <w:tcW w:type="dxa" w:w="3312"/>
            <w:vAlign w:val="center"/>
          </w:tcPr>
          <w:p>
            <w:r>
              <w:t>Find semantically related knowledge chunks</w:t>
            </w:r>
          </w:p>
        </w:tc>
        <w:tc>
          <w:tcPr>
            <w:tcW w:type="dxa" w:w="3312"/>
            <w:vAlign w:val="center"/>
          </w:tcPr>
          <w:p>
            <w:r>
              <w:t>Replace academic reasoning</w:t>
            </w:r>
          </w:p>
        </w:tc>
      </w:tr>
      <w:tr>
        <w:tc>
          <w:tcPr>
            <w:tcW w:type="dxa" w:w="3312"/>
            <w:vAlign w:val="center"/>
          </w:tcPr>
          <w:p>
            <w:r>
              <w:t>Metadata filters</w:t>
            </w:r>
          </w:p>
        </w:tc>
        <w:tc>
          <w:tcPr>
            <w:tcW w:type="dxa" w:w="3312"/>
            <w:vAlign w:val="center"/>
          </w:tcPr>
          <w:p>
            <w:r>
              <w:t>Restrict retrieval to tenant/subject/unit/topic context</w:t>
            </w:r>
          </w:p>
        </w:tc>
        <w:tc>
          <w:tcPr>
            <w:tcW w:type="dxa" w:w="3312"/>
            <w:vAlign w:val="center"/>
          </w:tcPr>
          <w:p>
            <w:r>
              <w:t>Rely on frontend filtering</w:t>
            </w:r>
          </w:p>
        </w:tc>
      </w:tr>
      <w:tr>
        <w:tc>
          <w:tcPr>
            <w:tcW w:type="dxa" w:w="3312"/>
            <w:vAlign w:val="center"/>
          </w:tcPr>
          <w:p>
            <w:r>
              <w:t>RAG engine</w:t>
            </w:r>
          </w:p>
        </w:tc>
        <w:tc>
          <w:tcPr>
            <w:tcW w:type="dxa" w:w="3312"/>
            <w:vAlign w:val="center"/>
          </w:tcPr>
          <w:p>
            <w:r>
              <w:t>Retrieve relevant source context</w:t>
            </w:r>
          </w:p>
        </w:tc>
        <w:tc>
          <w:tcPr>
            <w:tcW w:type="dxa" w:w="3312"/>
            <w:vAlign w:val="center"/>
          </w:tcPr>
          <w:p>
            <w:r>
              <w:t>Be the final conversational intelligence</w:t>
            </w:r>
          </w:p>
        </w:tc>
      </w:tr>
      <w:tr>
        <w:tc>
          <w:tcPr>
            <w:tcW w:type="dxa" w:w="3312"/>
            <w:vAlign w:val="center"/>
          </w:tcPr>
          <w:p>
            <w:r>
              <w:t>Academic Intelligence Engine</w:t>
            </w:r>
          </w:p>
        </w:tc>
        <w:tc>
          <w:tcPr>
            <w:tcW w:type="dxa" w:w="3312"/>
            <w:vAlign w:val="center"/>
          </w:tcPr>
          <w:p>
            <w:r>
              <w:t>Analyze historical academic data and topic patterns</w:t>
            </w:r>
          </w:p>
        </w:tc>
        <w:tc>
          <w:tcPr>
            <w:tcW w:type="dxa" w:w="3312"/>
            <w:vAlign w:val="center"/>
          </w:tcPr>
          <w:p>
            <w:r>
              <w:t>Predict guaranteed future exam questions</w:t>
            </w:r>
          </w:p>
        </w:tc>
      </w:tr>
      <w:tr>
        <w:tc>
          <w:tcPr>
            <w:tcW w:type="dxa" w:w="3312"/>
            <w:vAlign w:val="center"/>
          </w:tcPr>
          <w:p>
            <w:r>
              <w:t>AI Orchestrator</w:t>
            </w:r>
          </w:p>
        </w:tc>
        <w:tc>
          <w:tcPr>
            <w:tcW w:type="dxa" w:w="3312"/>
            <w:vAlign w:val="center"/>
          </w:tcPr>
          <w:p>
            <w:r>
              <w:t>Centralize LLM calls, provider abstraction and token/cost controls</w:t>
            </w:r>
          </w:p>
        </w:tc>
        <w:tc>
          <w:tcPr>
            <w:tcW w:type="dxa" w:w="3312"/>
            <w:vAlign w:val="center"/>
          </w:tcPr>
          <w:p>
            <w:r>
              <w:t>Store raw academic documents</w:t>
            </w:r>
          </w:p>
        </w:tc>
      </w:tr>
      <w:tr>
        <w:tc>
          <w:tcPr>
            <w:tcW w:type="dxa" w:w="3312"/>
            <w:vAlign w:val="center"/>
          </w:tcPr>
          <w:p>
            <w:r>
              <w:t>LLM</w:t>
            </w:r>
          </w:p>
        </w:tc>
        <w:tc>
          <w:tcPr>
            <w:tcW w:type="dxa" w:w="3312"/>
            <w:vAlign w:val="center"/>
          </w:tcPr>
          <w:p>
            <w:r>
              <w:t>Reason over provided context and generate educational content</w:t>
            </w:r>
          </w:p>
        </w:tc>
        <w:tc>
          <w:tcPr>
            <w:tcW w:type="dxa" w:w="3312"/>
            <w:vAlign w:val="center"/>
          </w:tcPr>
          <w:p>
            <w:r>
              <w:t>Be treated as the authoritative source for institution-specific facts</w:t>
            </w:r>
          </w:p>
        </w:tc>
      </w:tr>
      <w:tr>
        <w:tc>
          <w:tcPr>
            <w:tcW w:type="dxa" w:w="3312"/>
            <w:vAlign w:val="center"/>
          </w:tcPr>
          <w:p>
            <w:r>
              <w:t>Redis</w:t>
            </w:r>
          </w:p>
        </w:tc>
        <w:tc>
          <w:tcPr>
            <w:tcW w:type="dxa" w:w="3312"/>
            <w:vAlign w:val="center"/>
          </w:tcPr>
          <w:p>
            <w:r>
              <w:t>Cache and support distributed event/rate-limit capabilities</w:t>
            </w:r>
          </w:p>
        </w:tc>
        <w:tc>
          <w:tcPr>
            <w:tcW w:type="dxa" w:w="3312"/>
            <w:vAlign w:val="center"/>
          </w:tcPr>
          <w:p>
            <w:r>
              <w:t>Become the primary permanent document store</w:t>
            </w:r>
          </w:p>
        </w:tc>
      </w:tr>
      <w:tr>
        <w:tc>
          <w:tcPr>
            <w:tcW w:type="dxa" w:w="3312"/>
            <w:vAlign w:val="center"/>
          </w:tcPr>
          <w:p>
            <w:r>
              <w:t>MongoDB</w:t>
            </w:r>
          </w:p>
        </w:tc>
        <w:tc>
          <w:tcPr>
            <w:tcW w:type="dxa" w:w="3312"/>
            <w:vAlign w:val="center"/>
          </w:tcPr>
          <w:p>
            <w:r>
              <w:t>Store structured metadata, academic entities, questions and intelligence results</w:t>
            </w:r>
          </w:p>
        </w:tc>
        <w:tc>
          <w:tcPr>
            <w:tcW w:type="dxa" w:w="3312"/>
            <w:vAlign w:val="center"/>
          </w:tcPr>
          <w:p>
            <w:r>
              <w:t>Store large binary video files</w:t>
            </w:r>
          </w:p>
        </w:tc>
      </w:tr>
      <w:tr>
        <w:tc>
          <w:tcPr>
            <w:tcW w:type="dxa" w:w="3312"/>
            <w:vAlign w:val="center"/>
          </w:tcPr>
          <w:p>
            <w:r>
              <w:t>Object storage</w:t>
            </w:r>
          </w:p>
        </w:tc>
        <w:tc>
          <w:tcPr>
            <w:tcW w:type="dxa" w:w="3312"/>
            <w:vAlign w:val="center"/>
          </w:tcPr>
          <w:p>
            <w:r>
              <w:t>Store PDFs, PPTs, images, generated media and other large objects</w:t>
            </w:r>
          </w:p>
        </w:tc>
        <w:tc>
          <w:tcPr>
            <w:tcW w:type="dxa" w:w="3312"/>
            <w:vAlign w:val="center"/>
          </w:tcPr>
          <w:p>
            <w:r>
              <w:t>Perform semantic search by itself</w:t>
            </w:r>
          </w:p>
        </w:tc>
      </w:tr>
    </w:tbl>
    <w:p>
      <w:pPr>
        <w:pStyle w:val="Heading2"/>
      </w:pPr>
      <w:r>
        <w:t>7.1 AI response modes</w:t>
      </w:r>
    </w:p>
    <w:p>
      <w:r>
        <w:t>EduOS should support three conceptual response modes:</w:t>
      </w:r>
    </w:p>
    <w:p>
      <w:pPr>
        <w:pStyle w:val="ListBullet"/>
      </w:pPr>
      <w:r>
        <w:t>Institution-grounded mode: answer primarily from the institution's approved material.</w:t>
      </w:r>
    </w:p>
    <w:p>
      <w:pPr>
        <w:pStyle w:val="ListBullet"/>
      </w:pPr>
      <w:r>
        <w:t>Hybrid mode: use institutional material first and general model knowledge only when appropriate, clearly separating the two.</w:t>
      </w:r>
    </w:p>
    <w:p>
      <w:pPr>
        <w:pStyle w:val="ListBullet"/>
      </w:pPr>
      <w:r>
        <w:t>General AI mode: answer broader questions when the institution's material is not relevant.</w:t>
      </w:r>
    </w:p>
    <w:p>
      <w:r>
        <w:t>For a question such as 'Explain CNN', the system should not be restricted to repeating a note verbatim. It should retrieve relevant notes/PPTs and use the LLM to explain them pedagogically. If the requested detail is absent from institutional material, the system may use general model knowledge if the product policy allows it, but should explicitly distinguish that information from institution-grounded content.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Current State</w:t>
            </w:r>
          </w:p>
        </w:tc>
      </w:tr>
      <w:tr>
        <w:tc>
          <w:tcPr>
            <w:tcW w:type="dxa" w:w="4968"/>
            <w:vAlign w:val="center"/>
          </w:tcPr>
          <w:p>
            <w:r>
              <w:t>Kernel foundation</w:t>
            </w:r>
          </w:p>
        </w:tc>
        <w:tc>
          <w:tcPr>
            <w:tcW w:type="dxa" w:w="4968"/>
            <w:vAlign w:val="center"/>
          </w:tcPr>
          <w:p>
            <w:r>
              <w:t>Configuration, DI, logging, eventing, lifecycle, tenant context, errors, auth/RBAC, API registry, health and metrics are reported as implemented.</w:t>
            </w:r>
          </w:p>
        </w:tc>
      </w:tr>
      <w:tr>
        <w:tc>
          <w:tcPr>
            <w:tcW w:type="dxa" w:w="4968"/>
            <w:vAlign w:val="center"/>
          </w:tcPr>
          <w:p>
            <w:r>
              <w:t>Distributed infrastructure</w:t>
            </w:r>
          </w:p>
        </w:tc>
        <w:tc>
          <w:tcPr>
            <w:tcW w:type="dxa" w:w="4968"/>
            <w:vAlign w:val="center"/>
          </w:tcPr>
          <w:p>
            <w:r>
              <w:t>Redis-based eventing/rate limiting and MongoDB connection infrastructure are reported as implemented.</w:t>
            </w:r>
          </w:p>
        </w:tc>
      </w:tr>
      <w:tr>
        <w:tc>
          <w:tcPr>
            <w:tcW w:type="dxa" w:w="4968"/>
            <w:vAlign w:val="center"/>
          </w:tcPr>
          <w:p>
            <w:r>
              <w:t>Academic data model</w:t>
            </w:r>
          </w:p>
        </w:tc>
        <w:tc>
          <w:tcPr>
            <w:tcW w:type="dxa" w:w="4968"/>
            <w:vAlign w:val="center"/>
          </w:tcPr>
          <w:p>
            <w:r>
              <w:t>Subject, Material and KnowledgeChunk are implemented in the Phase 1 report.</w:t>
            </w:r>
          </w:p>
        </w:tc>
      </w:tr>
      <w:tr>
        <w:tc>
          <w:tcPr>
            <w:tcW w:type="dxa" w:w="4968"/>
            <w:vAlign w:val="center"/>
          </w:tcPr>
          <w:p>
            <w:r>
              <w:t>Knowledge ingestion</w:t>
            </w:r>
          </w:p>
        </w:tc>
        <w:tc>
          <w:tcPr>
            <w:tcW w:type="dxa" w:w="4968"/>
            <w:vAlign w:val="center"/>
          </w:tcPr>
          <w:p>
            <w:r>
              <w:t>PDF and YouTube transcript ingestion are reported as implemented.</w:t>
            </w:r>
          </w:p>
        </w:tc>
      </w:tr>
      <w:tr>
        <w:tc>
          <w:tcPr>
            <w:tcW w:type="dxa" w:w="4968"/>
            <w:vAlign w:val="center"/>
          </w:tcPr>
          <w:p>
            <w:r>
              <w:t>RAG</w:t>
            </w:r>
          </w:p>
        </w:tc>
        <w:tc>
          <w:tcPr>
            <w:tcW w:type="dxa" w:w="4968"/>
            <w:vAlign w:val="center"/>
          </w:tcPr>
          <w:p>
            <w:r>
              <w:t>Chunking, embeddings and semantic retrieval are reported as implemented.</w:t>
            </w:r>
          </w:p>
        </w:tc>
      </w:tr>
      <w:tr>
        <w:tc>
          <w:tcPr>
            <w:tcW w:type="dxa" w:w="4968"/>
            <w:vAlign w:val="center"/>
          </w:tcPr>
          <w:p>
            <w:r>
              <w:t>AI orchestration</w:t>
            </w:r>
          </w:p>
        </w:tc>
        <w:tc>
          <w:tcPr>
            <w:tcW w:type="dxa" w:w="4968"/>
            <w:vAlign w:val="center"/>
          </w:tcPr>
          <w:p>
            <w:r>
              <w:t>Centralized LLM access through an AI orchestrator is reported as implemented.</w:t>
            </w:r>
          </w:p>
        </w:tc>
      </w:tr>
      <w:tr>
        <w:tc>
          <w:tcPr>
            <w:tcW w:type="dxa" w:w="4968"/>
            <w:vAlign w:val="center"/>
          </w:tcPr>
          <w:p>
            <w:r>
              <w:t>Teacher assistant</w:t>
            </w:r>
          </w:p>
        </w:tc>
        <w:tc>
          <w:tcPr>
            <w:tcW w:type="dxa" w:w="4968"/>
            <w:vAlign w:val="center"/>
          </w:tcPr>
          <w:p>
            <w:r>
              <w:t>RAG retrieval + academic context + LLM response workflow is reported as implemented.</w:t>
            </w:r>
          </w:p>
        </w:tc>
      </w:tr>
      <w:tr>
        <w:tc>
          <w:tcPr>
            <w:tcW w:type="dxa" w:w="4968"/>
            <w:vAlign w:val="center"/>
          </w:tcPr>
          <w:p>
            <w:r>
              <w:t>Academic Intelligence</w:t>
            </w:r>
          </w:p>
        </w:tc>
        <w:tc>
          <w:tcPr>
            <w:tcW w:type="dxa" w:w="4968"/>
            <w:vAlign w:val="center"/>
          </w:tcPr>
          <w:p>
            <w:r>
              <w:t>Phase 2 is the next major capability: question-paper analysis, topic intelligence and recommendations.</w:t>
            </w:r>
          </w:p>
        </w:tc>
      </w:tr>
    </w:tbl>
    <w:p>
      <w:pPr>
        <w:pStyle w:val="Heading1"/>
      </w:pPr>
      <w:r>
        <w:t>8. Phase 2 — Academic Intelligence Engine</w:t>
      </w:r>
    </w:p>
    <w:p>
      <w:r>
        <w:t>The Academic Intelligence Engine is a core EduOS intelligence component. Its purpose is to transform historical academic information into explainable academic insights.</w:t>
      </w:r>
    </w:p>
    <w:p>
      <w:pPr>
        <w:pStyle w:val="Heading2"/>
      </w:pPr>
      <w:r>
        <w:t>Inputs</w:t>
      </w:r>
    </w:p>
    <w:p>
      <w:pPr>
        <w:pStyle w:val="ListBullet"/>
      </w:pPr>
      <w:r>
        <w:t>Question papers</w:t>
      </w:r>
    </w:p>
    <w:p>
      <w:pPr>
        <w:pStyle w:val="ListBullet"/>
      </w:pPr>
      <w:r>
        <w:t>Subject and unit structure</w:t>
      </w:r>
    </w:p>
    <w:p>
      <w:pPr>
        <w:pStyle w:val="ListBullet"/>
      </w:pPr>
      <w:r>
        <w:t>Topic mapping</w:t>
      </w:r>
    </w:p>
    <w:p>
      <w:pPr>
        <w:pStyle w:val="ListBullet"/>
      </w:pPr>
      <w:r>
        <w:t>Marks</w:t>
      </w:r>
    </w:p>
    <w:p>
      <w:pPr>
        <w:pStyle w:val="ListBullet"/>
      </w:pPr>
      <w:r>
        <w:t>Academic year/semester</w:t>
      </w:r>
    </w:p>
    <w:p>
      <w:pPr>
        <w:pStyle w:val="ListBullet"/>
      </w:pPr>
      <w:r>
        <w:t>Existing institutional resources</w:t>
      </w:r>
    </w:p>
    <w:p>
      <w:pPr>
        <w:pStyle w:val="Heading2"/>
      </w:pPr>
      <w:r>
        <w:t>Outputs</w:t>
      </w:r>
    </w:p>
    <w:p>
      <w:pPr>
        <w:pStyle w:val="ListBullet"/>
      </w:pPr>
      <w:r>
        <w:t>Question frequency</w:t>
      </w:r>
    </w:p>
    <w:p>
      <w:pPr>
        <w:pStyle w:val="ListBullet"/>
      </w:pPr>
      <w:r>
        <w:t>Topic frequency</w:t>
      </w:r>
    </w:p>
    <w:p>
      <w:pPr>
        <w:pStyle w:val="ListBullet"/>
      </w:pPr>
      <w:r>
        <w:t>Marks distribution</w:t>
      </w:r>
    </w:p>
    <w:p>
      <w:pPr>
        <w:pStyle w:val="ListBullet"/>
      </w:pPr>
      <w:r>
        <w:t>Difficulty classification</w:t>
      </w:r>
    </w:p>
    <w:p>
      <w:pPr>
        <w:pStyle w:val="ListBullet"/>
      </w:pPr>
      <w:r>
        <w:t>Bloom's taxonomy classification</w:t>
      </w:r>
    </w:p>
    <w:p>
      <w:pPr>
        <w:pStyle w:val="ListBullet"/>
      </w:pPr>
      <w:r>
        <w:t>Topic importance score</w:t>
      </w:r>
    </w:p>
    <w:p>
      <w:pPr>
        <w:pStyle w:val="ListBullet"/>
      </w:pPr>
      <w:r>
        <w:t>Resource recommendations</w:t>
      </w:r>
    </w:p>
    <w:p>
      <w:r>
        <w:t>The engine must never present historical frequency as a guaranteed future examination prediction. The correct language is 'historically frequent', 'high academic importance based on available data', or 'recommended for revision'.</w:t>
      </w:r>
    </w:p>
    <w:p>
      <w:pPr>
        <w:pStyle w:val="Heading2"/>
      </w:pPr>
      <w:r>
        <w:t>Example</w:t>
      </w:r>
    </w:p>
    <w:p>
      <w:r>
        <w:t>If CNN appears in several historical question papers and is associated with high-mark questions, EduOS can report that CNN has high historical importance. It can recommend the institution's CNN notes, PPTs, previous questions and approved videos. It should not state that CNN will definitely appear in the next exam.</w:t>
      </w:r>
    </w:p>
    <w:p>
      <w:pPr>
        <w:pStyle w:val="Heading1"/>
      </w:pPr>
      <w:r>
        <w:t>9. Data, Storage &amp; Scalability Strategy</w:t>
      </w:r>
    </w:p>
    <w:p>
      <w:r>
        <w:t>The long-term vision includes syllabi, notes, PPTs, question papers, YouTube links, images, generated lesson material and potentially generated video/animation resources for many departments, subjects, units and topics. This is a large data problem, but it is manageable if the system separates metadata, search indexes and large objects.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Data Type</w:t>
            </w:r>
          </w:p>
        </w:tc>
        <w:tc>
          <w:tcPr>
            <w:tcW w:type="dxa" w:w="3312"/>
          </w:tcPr>
          <w:p>
            <w:r>
              <w:rPr>
                <w:b/>
              </w:rPr>
              <w:t>Recommended Storage</w:t>
            </w:r>
          </w:p>
        </w:tc>
        <w:tc>
          <w:tcPr>
            <w:tcW w:type="dxa" w:w="3312"/>
          </w:tcPr>
          <w:p>
            <w:r>
              <w:rPr>
                <w:b/>
              </w:rPr>
              <w:t>Reason</w:t>
            </w:r>
          </w:p>
        </w:tc>
      </w:tr>
      <w:tr>
        <w:tc>
          <w:tcPr>
            <w:tcW w:type="dxa" w:w="3312"/>
            <w:vAlign w:val="center"/>
          </w:tcPr>
          <w:p>
            <w:r>
              <w:t>Institution / department / subject / unit / topic metadata</w:t>
            </w:r>
          </w:p>
        </w:tc>
        <w:tc>
          <w:tcPr>
            <w:tcW w:type="dxa" w:w="3312"/>
            <w:vAlign w:val="center"/>
          </w:tcPr>
          <w:p>
            <w:r>
              <w:t>MongoDB</w:t>
            </w:r>
          </w:p>
        </w:tc>
        <w:tc>
          <w:tcPr>
            <w:tcW w:type="dxa" w:w="3312"/>
            <w:vAlign w:val="center"/>
          </w:tcPr>
          <w:p>
            <w:r>
              <w:t>Structured and queryable</w:t>
            </w:r>
          </w:p>
        </w:tc>
      </w:tr>
      <w:tr>
        <w:tc>
          <w:tcPr>
            <w:tcW w:type="dxa" w:w="3312"/>
            <w:vAlign w:val="center"/>
          </w:tcPr>
          <w:p>
            <w:r>
              <w:t>Question records and analysis</w:t>
            </w:r>
          </w:p>
        </w:tc>
        <w:tc>
          <w:tcPr>
            <w:tcW w:type="dxa" w:w="3312"/>
            <w:vAlign w:val="center"/>
          </w:tcPr>
          <w:p>
            <w:r>
              <w:t>MongoDB</w:t>
            </w:r>
          </w:p>
        </w:tc>
        <w:tc>
          <w:tcPr>
            <w:tcW w:type="dxa" w:w="3312"/>
            <w:vAlign w:val="center"/>
          </w:tcPr>
          <w:p>
            <w:r>
              <w:t>Structured academic intelligence</w:t>
            </w:r>
          </w:p>
        </w:tc>
      </w:tr>
      <w:tr>
        <w:tc>
          <w:tcPr>
            <w:tcW w:type="dxa" w:w="3312"/>
            <w:vAlign w:val="center"/>
          </w:tcPr>
          <w:p>
            <w:r>
              <w:t>Document metadata</w:t>
            </w:r>
          </w:p>
        </w:tc>
        <w:tc>
          <w:tcPr>
            <w:tcW w:type="dxa" w:w="3312"/>
            <w:vAlign w:val="center"/>
          </w:tcPr>
          <w:p>
            <w:r>
              <w:t>MongoDB</w:t>
            </w:r>
          </w:p>
        </w:tc>
        <w:tc>
          <w:tcPr>
            <w:tcW w:type="dxa" w:w="3312"/>
            <w:vAlign w:val="center"/>
          </w:tcPr>
          <w:p>
            <w:r>
              <w:t>Fast filtering and tenant context</w:t>
            </w:r>
          </w:p>
        </w:tc>
      </w:tr>
      <w:tr>
        <w:tc>
          <w:tcPr>
            <w:tcW w:type="dxa" w:w="3312"/>
            <w:vAlign w:val="center"/>
          </w:tcPr>
          <w:p>
            <w:r>
              <w:t>PDF/PPT/image/video files</w:t>
            </w:r>
          </w:p>
        </w:tc>
        <w:tc>
          <w:tcPr>
            <w:tcW w:type="dxa" w:w="3312"/>
            <w:vAlign w:val="center"/>
          </w:tcPr>
          <w:p>
            <w:r>
              <w:t>Object storage</w:t>
            </w:r>
          </w:p>
        </w:tc>
        <w:tc>
          <w:tcPr>
            <w:tcW w:type="dxa" w:w="3312"/>
            <w:vAlign w:val="center"/>
          </w:tcPr>
          <w:p>
            <w:r>
              <w:t>Designed for large binary objects</w:t>
            </w:r>
          </w:p>
        </w:tc>
      </w:tr>
      <w:tr>
        <w:tc>
          <w:tcPr>
            <w:tcW w:type="dxa" w:w="3312"/>
            <w:vAlign w:val="center"/>
          </w:tcPr>
          <w:p>
            <w:r>
              <w:t>Text chunks</w:t>
            </w:r>
          </w:p>
        </w:tc>
        <w:tc>
          <w:tcPr>
            <w:tcW w:type="dxa" w:w="3312"/>
            <w:vAlign w:val="center"/>
          </w:tcPr>
          <w:p>
            <w:r>
              <w:t>MongoDB initially; specialized store later if required</w:t>
            </w:r>
          </w:p>
        </w:tc>
        <w:tc>
          <w:tcPr>
            <w:tcW w:type="dxa" w:w="3312"/>
            <w:vAlign w:val="center"/>
          </w:tcPr>
          <w:p>
            <w:r>
              <w:t>Easy prototype implementation</w:t>
            </w:r>
          </w:p>
        </w:tc>
      </w:tr>
      <w:tr>
        <w:tc>
          <w:tcPr>
            <w:tcW w:type="dxa" w:w="3312"/>
            <w:vAlign w:val="center"/>
          </w:tcPr>
          <w:p>
            <w:r>
              <w:t>Embeddings</w:t>
            </w:r>
          </w:p>
        </w:tc>
        <w:tc>
          <w:tcPr>
            <w:tcW w:type="dxa" w:w="3312"/>
            <w:vAlign w:val="center"/>
          </w:tcPr>
          <w:p>
            <w:r>
              <w:t>Vector-capable database/index</w:t>
            </w:r>
          </w:p>
        </w:tc>
        <w:tc>
          <w:tcPr>
            <w:tcW w:type="dxa" w:w="3312"/>
            <w:vAlign w:val="center"/>
          </w:tcPr>
          <w:p>
            <w:r>
              <w:t>Semantic retrieval</w:t>
            </w:r>
          </w:p>
        </w:tc>
      </w:tr>
      <w:tr>
        <w:tc>
          <w:tcPr>
            <w:tcW w:type="dxa" w:w="3312"/>
            <w:vAlign w:val="center"/>
          </w:tcPr>
          <w:p>
            <w:r>
              <w:t>Cache</w:t>
            </w:r>
          </w:p>
        </w:tc>
        <w:tc>
          <w:tcPr>
            <w:tcW w:type="dxa" w:w="3312"/>
            <w:vAlign w:val="center"/>
          </w:tcPr>
          <w:p>
            <w:r>
              <w:t>Redis</w:t>
            </w:r>
          </w:p>
        </w:tc>
        <w:tc>
          <w:tcPr>
            <w:tcW w:type="dxa" w:w="3312"/>
            <w:vAlign w:val="center"/>
          </w:tcPr>
          <w:p>
            <w:r>
              <w:t>Fast temporary access</w:t>
            </w:r>
          </w:p>
        </w:tc>
      </w:tr>
      <w:tr>
        <w:tc>
          <w:tcPr>
            <w:tcW w:type="dxa" w:w="3312"/>
            <w:vAlign w:val="center"/>
          </w:tcPr>
          <w:p>
            <w:r>
              <w:t>Generated media</w:t>
            </w:r>
          </w:p>
        </w:tc>
        <w:tc>
          <w:tcPr>
            <w:tcW w:type="dxa" w:w="3312"/>
            <w:vAlign w:val="center"/>
          </w:tcPr>
          <w:p>
            <w:r>
              <w:t>Object storage</w:t>
            </w:r>
          </w:p>
        </w:tc>
        <w:tc>
          <w:tcPr>
            <w:tcW w:type="dxa" w:w="3312"/>
            <w:vAlign w:val="center"/>
          </w:tcPr>
          <w:p>
            <w:r>
              <w:t>Large files should not live in the main database</w:t>
            </w:r>
          </w:p>
        </w:tc>
      </w:tr>
      <w:tr>
        <w:tc>
          <w:tcPr>
            <w:tcW w:type="dxa" w:w="3312"/>
            <w:vAlign w:val="center"/>
          </w:tcPr>
          <w:p>
            <w:r>
              <w:t>Audit logs</w:t>
            </w:r>
          </w:p>
        </w:tc>
        <w:tc>
          <w:tcPr>
            <w:tcW w:type="dxa" w:w="3312"/>
            <w:vAlign w:val="center"/>
          </w:tcPr>
          <w:p>
            <w:r>
              <w:t>Persistent database</w:t>
            </w:r>
          </w:p>
        </w:tc>
        <w:tc>
          <w:tcPr>
            <w:tcW w:type="dxa" w:w="3312"/>
            <w:vAlign w:val="center"/>
          </w:tcPr>
          <w:p>
            <w:r>
              <w:t>Traceability and compliance</w:t>
            </w:r>
          </w:p>
        </w:tc>
      </w:tr>
    </w:tbl>
    <w:p>
      <w:r>
        <w:t>Cloud storage does not mean every file must be kept on a single expensive storage tier. A production design can use hot storage for frequently accessed material, lower-cost storage for older material, lifecycle policies for archival, CDN delivery for frequently watched media, and deduplication/content hashing to prevent repeated copies.</w:t>
      </w:r>
    </w:p>
    <w:p>
      <w:r>
        <w:t>For the prototype, the correct strategy is to use a small controlled dataset. Do not attempt to ingest four years of every department before proving the workflow.</w:t>
      </w:r>
    </w:p>
    <w:p>
      <w:pPr>
        <w:pStyle w:val="Heading1"/>
      </w:pPr>
      <w:r>
        <w:t>10. Future Smart Board / Device Strategy</w:t>
      </w:r>
    </w:p>
    <w:p>
      <w:r>
        <w:t>The future board is a product extension, not a prerequisite for proving EduOS.</w:t>
      </w:r>
    </w:p>
    <w:p>
      <w:pPr>
        <w:pStyle w:val="Heading2"/>
      </w:pPr>
      <w:r>
        <w:t>How the future board would work</w:t>
      </w:r>
    </w:p>
    <w:p>
      <w:pPr>
        <w:pStyle w:val="ListNumber"/>
      </w:pPr>
      <w:r>
        <w:t>The board runs a lightweight EduOS client/runtime rather than embedding the entire cloud infrastructure.</w:t>
      </w:r>
    </w:p>
    <w:p>
      <w:pPr>
        <w:pStyle w:val="ListNumber"/>
      </w:pPr>
      <w:r>
        <w:t>The board authenticates to the institution's tenant.</w:t>
      </w:r>
    </w:p>
    <w:p>
      <w:pPr>
        <w:pStyle w:val="ListNumber"/>
      </w:pPr>
      <w:r>
        <w:t>The board sends teacher requests and classroom context to the EduOS intelligence layer.</w:t>
      </w:r>
    </w:p>
    <w:p>
      <w:pPr>
        <w:pStyle w:val="ListNumber"/>
      </w:pPr>
      <w:r>
        <w:t>The cloud retrieves institutional knowledge and performs heavier AI operations.</w:t>
      </w:r>
    </w:p>
    <w:p>
      <w:pPr>
        <w:pStyle w:val="ListNumber"/>
      </w:pPr>
      <w:r>
        <w:t>The board receives structured responses, lesson content, visuals or generated classroom assets.</w:t>
      </w:r>
    </w:p>
    <w:p>
      <w:pPr>
        <w:pStyle w:val="ListNumber"/>
      </w:pPr>
      <w:r>
        <w:t>Frequently used classroom resources can be cached locally for resilience and lower latency.</w:t>
      </w:r>
    </w:p>
    <w:p>
      <w:pPr>
        <w:pStyle w:val="ListNumber"/>
      </w:pPr>
      <w:r>
        <w:t>Sensitive institutional data is controlled through tenant policies, authentication and authorization.</w:t>
      </w:r>
    </w:p>
    <w:p>
      <w:r>
        <w:t>This architecture prevents the board from needing the full AI model, vector database and complete institutional archive locally. The device can behave as an intelligent endpoint while the heavy intelligence remains in the cloud.</w:t>
      </w:r>
    </w:p>
    <w:p>
      <w:pPr>
        <w:pStyle w:val="ListBullet"/>
      </w:pPr>
      <w:r>
        <w:t>Touch and stylus interaction</w:t>
      </w:r>
    </w:p>
    <w:p>
      <w:pPr>
        <w:pStyle w:val="ListBullet"/>
      </w:pPr>
      <w:r>
        <w:t>Voice interaction</w:t>
      </w:r>
    </w:p>
    <w:p>
      <w:pPr>
        <w:pStyle w:val="ListBullet"/>
      </w:pPr>
      <w:r>
        <w:t>Topic-aware content retrieval</w:t>
      </w:r>
    </w:p>
    <w:p>
      <w:pPr>
        <w:pStyle w:val="ListBullet"/>
      </w:pPr>
      <w:r>
        <w:t>Live lesson assistance</w:t>
      </w:r>
    </w:p>
    <w:p>
      <w:pPr>
        <w:pStyle w:val="ListBullet"/>
      </w:pPr>
      <w:r>
        <w:t>Quiz and assignment generation</w:t>
      </w:r>
    </w:p>
    <w:p>
      <w:pPr>
        <w:pStyle w:val="ListBullet"/>
      </w:pPr>
      <w:r>
        <w:t>Visual explanations</w:t>
      </w:r>
    </w:p>
    <w:p>
      <w:pPr>
        <w:pStyle w:val="ListBullet"/>
      </w:pPr>
      <w:r>
        <w:t>Classroom resource access</w:t>
      </w:r>
    </w:p>
    <w:p>
      <w:pPr>
        <w:pStyle w:val="ListBullet"/>
      </w:pPr>
      <w:r>
        <w:t>Offline/edge caching for selected approved resources</w:t>
      </w:r>
    </w:p>
    <w:p>
      <w:pPr>
        <w:pStyle w:val="ListBullet"/>
      </w:pPr>
      <w:r>
        <w:t>Institution-specific AI policies</w:t>
      </w:r>
    </w:p>
    <w:p>
      <w:r>
        <w:t>A dedicated EduOS board is a future hardware implementation. It would require a separate program covering display technology, compute modules, microphones/cameras, networking, secure boot, device management, thermal design, firmware, manufacturing and certification. The current product capabilities listed earlier would become board-native experiences in that future hardware product. Hardware development should begin after the software and institutional deployment model have been validated.</w:t>
      </w:r>
    </w:p>
    <w:p>
      <w:pPr>
        <w:pStyle w:val="Heading1"/>
      </w:pPr>
      <w:r>
        <w:t>11. Existing Solutions &amp; Competitive Landscape</w:t>
      </w:r>
    </w:p>
    <w:p>
      <w:r>
        <w:t>EduOS enters a market where AI education tools already exist. The opportunity is therefore not to claim that AI tutoring, lesson generation or education RAG is new. The opportunity is to build a differentiated institutional layer that integrates academic context, knowledge, intelligence and future classroom hardware.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Existing Solution</w:t>
            </w:r>
          </w:p>
        </w:tc>
        <w:tc>
          <w:tcPr>
            <w:tcW w:type="dxa" w:w="3312"/>
          </w:tcPr>
          <w:p>
            <w:r>
              <w:rPr>
                <w:b/>
              </w:rPr>
              <w:t>What It Demonstrates</w:t>
            </w:r>
          </w:p>
        </w:tc>
        <w:tc>
          <w:tcPr>
            <w:tcW w:type="dxa" w:w="3312"/>
          </w:tcPr>
          <w:p>
            <w:r>
              <w:rPr>
                <w:b/>
              </w:rPr>
              <w:t>EduOS Differentiation Hypothesis</w:t>
            </w:r>
          </w:p>
        </w:tc>
      </w:tr>
      <w:tr>
        <w:tc>
          <w:tcPr>
            <w:tcW w:type="dxa" w:w="3312"/>
            <w:vAlign w:val="center"/>
          </w:tcPr>
          <w:p>
            <w:r>
              <w:t>Google Gemini for Education / Gemini in Classroom</w:t>
            </w:r>
          </w:p>
        </w:tc>
        <w:tc>
          <w:tcPr>
            <w:tcW w:type="dxa" w:w="3312"/>
            <w:vAlign w:val="center"/>
          </w:tcPr>
          <w:p>
            <w:r>
              <w:t>AI assistance for educators and students, including lesson planning and education workflows.</w:t>
            </w:r>
          </w:p>
        </w:tc>
        <w:tc>
          <w:tcPr>
            <w:tcW w:type="dxa" w:w="3312"/>
            <w:vAlign w:val="center"/>
          </w:tcPr>
          <w:p>
            <w:r>
              <w:t>EduOS focuses on institution-owned academic hierarchy, knowledge graph/context, academic intelligence and a future dedicated device layer.</w:t>
            </w:r>
          </w:p>
        </w:tc>
      </w:tr>
      <w:tr>
        <w:tc>
          <w:tcPr>
            <w:tcW w:type="dxa" w:w="3312"/>
            <w:vAlign w:val="center"/>
          </w:tcPr>
          <w:p>
            <w:r>
              <w:t>Microsoft Education / Learning Zone</w:t>
            </w:r>
          </w:p>
        </w:tc>
        <w:tc>
          <w:tcPr>
            <w:tcW w:type="dxa" w:w="3312"/>
            <w:vAlign w:val="center"/>
          </w:tcPr>
          <w:p>
            <w:r>
              <w:t>AI-assisted lesson generation and personalized learning activities for educators.</w:t>
            </w:r>
          </w:p>
        </w:tc>
        <w:tc>
          <w:tcPr>
            <w:tcW w:type="dxa" w:w="3312"/>
            <w:vAlign w:val="center"/>
          </w:tcPr>
          <w:p>
            <w:r>
              <w:t>EduOS aims for a deeper academic data layer and institution-specific intelligence across resources and historical academic data.</w:t>
            </w:r>
          </w:p>
        </w:tc>
      </w:tr>
      <w:tr>
        <w:tc>
          <w:tcPr>
            <w:tcW w:type="dxa" w:w="3312"/>
            <w:vAlign w:val="center"/>
          </w:tcPr>
          <w:p>
            <w:r>
              <w:t>MagicSchool</w:t>
            </w:r>
          </w:p>
        </w:tc>
        <w:tc>
          <w:tcPr>
            <w:tcW w:type="dxa" w:w="3312"/>
            <w:vAlign w:val="center"/>
          </w:tcPr>
          <w:p>
            <w:r>
              <w:t>Large collection of AI tools for educators, lesson planning, feedback and learning support.</w:t>
            </w:r>
          </w:p>
        </w:tc>
        <w:tc>
          <w:tcPr>
            <w:tcW w:type="dxa" w:w="3312"/>
            <w:vAlign w:val="center"/>
          </w:tcPr>
          <w:p>
            <w:r>
              <w:t>EduOS aims to make the institution's academic knowledge and intelligence the core platform rather than a collection of separate tools.</w:t>
            </w:r>
          </w:p>
        </w:tc>
      </w:tr>
      <w:tr>
        <w:tc>
          <w:tcPr>
            <w:tcW w:type="dxa" w:w="3312"/>
            <w:vAlign w:val="center"/>
          </w:tcPr>
          <w:p>
            <w:r>
              <w:t>Khanmigo</w:t>
            </w:r>
          </w:p>
        </w:tc>
        <w:tc>
          <w:tcPr>
            <w:tcW w:type="dxa" w:w="3312"/>
            <w:vAlign w:val="center"/>
          </w:tcPr>
          <w:p>
            <w:r>
              <w:t>AI tutoring and learning support across subjects.</w:t>
            </w:r>
          </w:p>
        </w:tc>
        <w:tc>
          <w:tcPr>
            <w:tcW w:type="dxa" w:w="3312"/>
            <w:vAlign w:val="center"/>
          </w:tcPr>
          <w:p>
            <w:r>
              <w:t>EduOS is institution-centric and designed for college academic ecosystems, with future classroom-device integration.</w:t>
            </w:r>
          </w:p>
        </w:tc>
      </w:tr>
      <w:tr>
        <w:tc>
          <w:tcPr>
            <w:tcW w:type="dxa" w:w="3312"/>
            <w:vAlign w:val="center"/>
          </w:tcPr>
          <w:p>
            <w:r>
              <w:t>Generic LLM chatbots</w:t>
            </w:r>
          </w:p>
        </w:tc>
        <w:tc>
          <w:tcPr>
            <w:tcW w:type="dxa" w:w="3312"/>
            <w:vAlign w:val="center"/>
          </w:tcPr>
          <w:p>
            <w:r>
              <w:t>Strong general reasoning and content generation.</w:t>
            </w:r>
          </w:p>
        </w:tc>
        <w:tc>
          <w:tcPr>
            <w:tcW w:type="dxa" w:w="3312"/>
            <w:vAlign w:val="center"/>
          </w:tcPr>
          <w:p>
            <w:r>
              <w:t>EduOS adds tenant-aware academic grounding, institutional retrieval, academic analytics and education-specific orchestration.</w:t>
            </w:r>
          </w:p>
        </w:tc>
      </w:tr>
    </w:tbl>
    <w:p>
      <w:r>
        <w:t>These comparisons are positioning observations, not claims that competing products lack every feature listed in the EduOS roadmap. Competitor capabilities change over time and should be revalidated before investor presentations.</w:t>
      </w:r>
    </w:p>
    <w:p>
      <w:pPr>
        <w:pStyle w:val="Heading1"/>
      </w:pPr>
      <w:r>
        <w:t>12. Market Opportunity</w:t>
      </w:r>
    </w:p>
    <w:p>
      <w:r>
        <w:t>The market direction supports continued investment in AI-enabled education. EY-Parthenon and FICCI reported in 2025 that around 60% of surveyed Indian higher-education institutions had identified AI as a strategic priority; 53% were using generative AI for learning materials, 40% for AI-powered tutoring/chatbots, 39% for adaptive learning and 38% for automated grading. The survey covered 30 leading HEIs, so these figures should not be treated as a census of all Indian institutions.</w:t>
      </w:r>
    </w:p>
    <w:p>
      <w:r>
        <w:t>All market values in this document are presented in Indian rupees (₹) for consistency with the India-first commercial strategy. The USD-to-INR conversion used for the third-party estimate is illustrative, using about ₹95.4 per US$1 based on mid-August 2026 market levels.</w:t>
      </w:r>
    </w:p>
    <w:p>
      <w:r>
        <w:t>Grand View Research estimates the India AI-in-education market at approximately approximately ₹2,674 crore in 2025 and projects approximately approximately ₹19,729 crore by 2033, with a 26.9% CAGR from 2026–2033. This is a third-party market estimate, not a guaranteed addressable market for EduOS.</w:t>
      </w:r>
    </w:p>
    <w:p>
      <w:r>
        <w:t>The broader direction is also visible in major platforms: Google positions Gemini for Education as an education-focused AI assistant, Microsoft provides AI-powered education workflows, and MagicSchool positions its platform around AI for schools, educators and students. These signals indicate that institutional buyers are increasingly considering AI as part of education infrastructure rather than as an isolated novelty.</w:t>
      </w:r>
    </w:p>
    <w:p>
      <w:r>
        <w:t>The student-side capability broadens the value proposition from teacher productivity to learning support. EduOS can give students a private place to ask questions, request simpler explanations and practise concepts at their own pace. For institutions, this creates a second value dimension: improving learning support while also reducing repetitive preparation work for faculty.</w:t>
      </w:r>
    </w:p>
    <w:p>
      <w:pPr>
        <w:pStyle w:val="Heading2"/>
      </w:pPr>
      <w:r>
        <w:t>Market opportunity logic</w:t>
      </w:r>
    </w:p>
    <w:p>
      <w:pPr>
        <w:pStyle w:val="ListBullet"/>
      </w:pPr>
      <w:r>
        <w:t>Primary beachhead: engineering colleges and higher-education institutions.</w:t>
      </w:r>
    </w:p>
    <w:p>
      <w:pPr>
        <w:pStyle w:val="ListBullet"/>
      </w:pPr>
      <w:r>
        <w:t>Initial buyer: institution/management/academic leadership.</w:t>
      </w:r>
    </w:p>
    <w:p>
      <w:pPr>
        <w:pStyle w:val="ListBullet"/>
      </w:pPr>
      <w:r>
        <w:t>Primary users: teachers and students.</w:t>
      </w:r>
    </w:p>
    <w:p>
      <w:pPr>
        <w:pStyle w:val="ListBullet"/>
      </w:pPr>
      <w:r>
        <w:t>Expansion: departments → entire institution → institution group/network.</w:t>
      </w:r>
    </w:p>
    <w:p>
      <w:pPr>
        <w:pStyle w:val="ListBullet"/>
      </w:pPr>
      <w:r>
        <w:t>Later verticals: universities, polytechnic institutions, professional education and other higher-education segments.</w:t>
      </w:r>
    </w:p>
    <w:p>
      <w:pPr>
        <w:pStyle w:val="Heading1"/>
      </w:pPr>
      <w:r>
        <w:t>13. Business Model</w:t>
      </w:r>
    </w:p>
    <w:p>
      <w:r>
        <w:t>The current working commercial assumption discussed for EduOS is ₹10 lakh per college per year. This should be treated as a proposed pricing hypothesis that must be validated through pilots and customer interviews.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Colleges</w:t>
            </w:r>
          </w:p>
        </w:tc>
        <w:tc>
          <w:tcPr>
            <w:tcW w:type="dxa" w:w="2484"/>
          </w:tcPr>
          <w:p>
            <w:r>
              <w:rPr>
                <w:b/>
              </w:rPr>
              <w:t>Annual Contract Value at ₹10L/College</w:t>
            </w:r>
          </w:p>
        </w:tc>
        <w:tc>
          <w:tcPr>
            <w:tcW w:type="dxa" w:w="2484"/>
          </w:tcPr>
          <w:p>
            <w:r>
              <w:rPr>
                <w:b/>
              </w:rPr>
              <w:t>5-Year Simple Revenue</w:t>
            </w:r>
          </w:p>
        </w:tc>
        <w:tc>
          <w:tcPr>
            <w:tcW w:type="dxa" w:w="2484"/>
          </w:tcPr>
          <w:p>
            <w:r>
              <w:rPr>
                <w:b/>
              </w:rPr>
              <w:t>10-Year Simple Revenue</w:t>
            </w:r>
          </w:p>
        </w:tc>
      </w:tr>
      <w:tr>
        <w:tc>
          <w:tcPr>
            <w:tcW w:type="dxa" w:w="2484"/>
            <w:vAlign w:val="center"/>
          </w:tcPr>
          <w:p>
            <w:r>
              <w:t>1</w:t>
            </w:r>
          </w:p>
        </w:tc>
        <w:tc>
          <w:tcPr>
            <w:tcW w:type="dxa" w:w="2484"/>
            <w:vAlign w:val="center"/>
          </w:tcPr>
          <w:p>
            <w:r>
              <w:t>₹10 lakh</w:t>
            </w:r>
          </w:p>
        </w:tc>
        <w:tc>
          <w:tcPr>
            <w:tcW w:type="dxa" w:w="2484"/>
            <w:vAlign w:val="center"/>
          </w:tcPr>
          <w:p>
            <w:r>
              <w:t>₹50 lakh</w:t>
            </w:r>
          </w:p>
        </w:tc>
        <w:tc>
          <w:tcPr>
            <w:tcW w:type="dxa" w:w="2484"/>
            <w:vAlign w:val="center"/>
          </w:tcPr>
          <w:p>
            <w:r>
              <w:t>₹1 crore</w:t>
            </w:r>
          </w:p>
        </w:tc>
      </w:tr>
      <w:tr>
        <w:tc>
          <w:tcPr>
            <w:tcW w:type="dxa" w:w="2484"/>
            <w:vAlign w:val="center"/>
          </w:tcPr>
          <w:p>
            <w:r>
              <w:t>10</w:t>
            </w:r>
          </w:p>
        </w:tc>
        <w:tc>
          <w:tcPr>
            <w:tcW w:type="dxa" w:w="2484"/>
            <w:vAlign w:val="center"/>
          </w:tcPr>
          <w:p>
            <w:r>
              <w:t>₹1 crore</w:t>
            </w:r>
          </w:p>
        </w:tc>
        <w:tc>
          <w:tcPr>
            <w:tcW w:type="dxa" w:w="2484"/>
            <w:vAlign w:val="center"/>
          </w:tcPr>
          <w:p>
            <w:r>
              <w:t>₹5 crore</w:t>
            </w:r>
          </w:p>
        </w:tc>
        <w:tc>
          <w:tcPr>
            <w:tcW w:type="dxa" w:w="2484"/>
            <w:vAlign w:val="center"/>
          </w:tcPr>
          <w:p>
            <w:r>
              <w:t>₹10 crore</w:t>
            </w:r>
          </w:p>
        </w:tc>
      </w:tr>
      <w:tr>
        <w:tc>
          <w:tcPr>
            <w:tcW w:type="dxa" w:w="2484"/>
            <w:vAlign w:val="center"/>
          </w:tcPr>
          <w:p>
            <w:r>
              <w:t>50</w:t>
            </w:r>
          </w:p>
        </w:tc>
        <w:tc>
          <w:tcPr>
            <w:tcW w:type="dxa" w:w="2484"/>
            <w:vAlign w:val="center"/>
          </w:tcPr>
          <w:p>
            <w:r>
              <w:t>₹5 crore</w:t>
            </w:r>
          </w:p>
        </w:tc>
        <w:tc>
          <w:tcPr>
            <w:tcW w:type="dxa" w:w="2484"/>
            <w:vAlign w:val="center"/>
          </w:tcPr>
          <w:p>
            <w:r>
              <w:t>₹25 crore</w:t>
            </w:r>
          </w:p>
        </w:tc>
        <w:tc>
          <w:tcPr>
            <w:tcW w:type="dxa" w:w="2484"/>
            <w:vAlign w:val="center"/>
          </w:tcPr>
          <w:p>
            <w:r>
              <w:t>₹50 crore</w:t>
            </w:r>
          </w:p>
        </w:tc>
      </w:tr>
      <w:tr>
        <w:tc>
          <w:tcPr>
            <w:tcW w:type="dxa" w:w="2484"/>
            <w:vAlign w:val="center"/>
          </w:tcPr>
          <w:p>
            <w:r>
              <w:t>100</w:t>
            </w:r>
          </w:p>
        </w:tc>
        <w:tc>
          <w:tcPr>
            <w:tcW w:type="dxa" w:w="2484"/>
            <w:vAlign w:val="center"/>
          </w:tcPr>
          <w:p>
            <w:r>
              <w:t>₹10 crore</w:t>
            </w:r>
          </w:p>
        </w:tc>
        <w:tc>
          <w:tcPr>
            <w:tcW w:type="dxa" w:w="2484"/>
            <w:vAlign w:val="center"/>
          </w:tcPr>
          <w:p>
            <w:r>
              <w:t>₹50 crore</w:t>
            </w:r>
          </w:p>
        </w:tc>
        <w:tc>
          <w:tcPr>
            <w:tcW w:type="dxa" w:w="2484"/>
            <w:vAlign w:val="center"/>
          </w:tcPr>
          <w:p>
            <w:r>
              <w:t>₹100 crore</w:t>
            </w:r>
          </w:p>
        </w:tc>
      </w:tr>
      <w:tr>
        <w:tc>
          <w:tcPr>
            <w:tcW w:type="dxa" w:w="2484"/>
            <w:vAlign w:val="center"/>
          </w:tcPr>
          <w:p>
            <w:r>
              <w:t>500</w:t>
            </w:r>
          </w:p>
        </w:tc>
        <w:tc>
          <w:tcPr>
            <w:tcW w:type="dxa" w:w="2484"/>
            <w:vAlign w:val="center"/>
          </w:tcPr>
          <w:p>
            <w:r>
              <w:t>₹50 crore</w:t>
            </w:r>
          </w:p>
        </w:tc>
        <w:tc>
          <w:tcPr>
            <w:tcW w:type="dxa" w:w="2484"/>
            <w:vAlign w:val="center"/>
          </w:tcPr>
          <w:p>
            <w:r>
              <w:t>₹250 crore</w:t>
            </w:r>
          </w:p>
        </w:tc>
        <w:tc>
          <w:tcPr>
            <w:tcW w:type="dxa" w:w="2484"/>
            <w:vAlign w:val="center"/>
          </w:tcPr>
          <w:p>
            <w:r>
              <w:t>₹500 crore</w:t>
            </w:r>
          </w:p>
        </w:tc>
      </w:tr>
      <w:tr>
        <w:tc>
          <w:tcPr>
            <w:tcW w:type="dxa" w:w="2484"/>
            <w:vAlign w:val="center"/>
          </w:tcPr>
          <w:p>
            <w:r>
              <w:t>1,000</w:t>
            </w:r>
          </w:p>
        </w:tc>
        <w:tc>
          <w:tcPr>
            <w:tcW w:type="dxa" w:w="2484"/>
            <w:vAlign w:val="center"/>
          </w:tcPr>
          <w:p>
            <w:r>
              <w:t>₹100 crore</w:t>
            </w:r>
          </w:p>
        </w:tc>
        <w:tc>
          <w:tcPr>
            <w:tcW w:type="dxa" w:w="2484"/>
            <w:vAlign w:val="center"/>
          </w:tcPr>
          <w:p>
            <w:r>
              <w:t>₹500 crore</w:t>
            </w:r>
          </w:p>
        </w:tc>
        <w:tc>
          <w:tcPr>
            <w:tcW w:type="dxa" w:w="2484"/>
            <w:vAlign w:val="center"/>
          </w:tcPr>
          <w:p>
            <w:r>
              <w:t>₹1,000 crore</w:t>
            </w:r>
          </w:p>
        </w:tc>
      </w:tr>
    </w:tbl>
    <w:p>
      <w:r>
        <w:t>These figures are arithmetic scenarios, not forecasts. They assume every contracted college pays ₹10 lakh every year, with no churn, discounting, implementation costs, taxes, sales costs or price changes.</w:t>
      </w:r>
    </w:p>
    <w:p>
      <w:pPr>
        <w:pStyle w:val="Heading2"/>
      </w:pPr>
      <w:r>
        <w:t>Potential pricing structure</w:t>
      </w:r>
    </w:p>
    <w:p>
      <w:pPr>
        <w:pStyle w:val="ListBullet"/>
      </w:pPr>
      <w:r>
        <w:t>Institution annual platform license.</w:t>
      </w:r>
    </w:p>
    <w:p>
      <w:pPr>
        <w:pStyle w:val="ListBullet"/>
      </w:pPr>
      <w:r>
        <w:t>Implementation/onboarding fee for academic data migration.</w:t>
      </w:r>
    </w:p>
    <w:p>
      <w:pPr>
        <w:pStyle w:val="ListBullet"/>
      </w:pPr>
      <w:r>
        <w:t>Premium AI usage or high-volume generation allowance.</w:t>
      </w:r>
    </w:p>
    <w:p>
      <w:pPr>
        <w:pStyle w:val="ListBullet"/>
      </w:pPr>
      <w:r>
        <w:t>Optional smart-board/device subscription in the future.</w:t>
      </w:r>
    </w:p>
    <w:p>
      <w:pPr>
        <w:pStyle w:val="ListBullet"/>
      </w:pPr>
      <w:r>
        <w:t>Enterprise support/SLA package.</w:t>
      </w:r>
    </w:p>
    <w:p>
      <w:pPr>
        <w:pStyle w:val="ListBullet"/>
      </w:pPr>
      <w:r>
        <w:t>Optional analytics and advanced academic intelligence modules.</w:t>
      </w:r>
    </w:p>
    <w:p>
      <w:pPr>
        <w:pStyle w:val="Heading1"/>
      </w:pPr>
      <w:r>
        <w:t>14. Cost &amp; Unit-Economics Considerations</w:t>
      </w:r>
    </w:p>
    <w:p>
      <w:r>
        <w:t>The largest variable costs are likely to be model inference, embedding generation, storage, bandwidth/media delivery, support and institution onboarding. The platform should therefore be designed to control AI cost from the beginning.</w:t>
      </w:r>
    </w:p>
    <w:p>
      <w:pPr>
        <w:pStyle w:val="ListBullet"/>
      </w:pPr>
      <w:r>
        <w:t>Cache repeated retrieval and common answers where safe.</w:t>
      </w:r>
    </w:p>
    <w:p>
      <w:pPr>
        <w:pStyle w:val="ListBullet"/>
      </w:pPr>
      <w:r>
        <w:t>Avoid calling an LLM when deterministic logic can answer the request.</w:t>
      </w:r>
    </w:p>
    <w:p>
      <w:pPr>
        <w:pStyle w:val="ListBullet"/>
      </w:pPr>
      <w:r>
        <w:t>Batch embedding jobs during ingestion.</w:t>
      </w:r>
    </w:p>
    <w:p>
      <w:pPr>
        <w:pStyle w:val="ListBullet"/>
      </w:pPr>
      <w:r>
        <w:t>Use smaller models for classification and larger models only for complex generation.</w:t>
      </w:r>
    </w:p>
    <w:p>
      <w:pPr>
        <w:pStyle w:val="ListBullet"/>
      </w:pPr>
      <w:r>
        <w:t>Store large files in object storage rather than MongoDB.</w:t>
      </w:r>
    </w:p>
    <w:p>
      <w:pPr>
        <w:pStyle w:val="ListBullet"/>
      </w:pPr>
      <w:r>
        <w:t>Use content hashing to avoid duplicate ingestion.</w:t>
      </w:r>
    </w:p>
    <w:p>
      <w:pPr>
        <w:pStyle w:val="ListBullet"/>
      </w:pPr>
      <w:r>
        <w:t>Track token usage and cost per institution.</w:t>
      </w:r>
    </w:p>
    <w:p>
      <w:pPr>
        <w:pStyle w:val="ListBullet"/>
      </w:pPr>
      <w:r>
        <w:t>Introduce institution-level quotas and usage policies.</w:t>
      </w:r>
    </w:p>
    <w:p>
      <w:pPr>
        <w:pStyle w:val="Heading1"/>
      </w:pPr>
      <w:r>
        <w:t>15. Prototype — What We Build First</w:t>
      </w:r>
    </w:p>
    <w:p>
      <w:r>
        <w:t>The prototype version is a software-layer implementation of EduOS. It should prove the core operating-system concept through a small number of high-value workflows rather than attempting to build the complete product or dedicated board.</w:t>
      </w:r>
    </w:p>
    <w:p>
      <w:pPr>
        <w:pStyle w:val="Heading2"/>
      </w:pPr>
      <w:r>
        <w:t>Six core prototype capabilities</w:t>
      </w:r>
    </w:p>
    <w:p>
      <w:pPr>
        <w:pStyle w:val="ListNumber"/>
      </w:pPr>
      <w:r>
        <w:t>Academic Knowledge Base — upload and organize a small set of syllabus, notes, PPTs, PDFs, question papers and approved YouTube resources.</w:t>
      </w:r>
    </w:p>
    <w:p>
      <w:pPr>
        <w:pStyle w:val="ListNumber"/>
      </w:pPr>
      <w:r>
        <w:t>RAG Teacher Assistant — ask a topic question and receive an institution-grounded explanation.</w:t>
      </w:r>
    </w:p>
    <w:p>
      <w:pPr>
        <w:pStyle w:val="ListNumber"/>
      </w:pPr>
      <w:r>
        <w:t>Academic Intelligence — analyze historical question papers for frequency, marks, difficulty and Bloom's taxonomy.</w:t>
      </w:r>
    </w:p>
    <w:p>
      <w:pPr>
        <w:pStyle w:val="ListNumber"/>
      </w:pPr>
      <w:r>
        <w:t>Topic Intelligence — calculate explainable topic importance from available historical evidence.</w:t>
      </w:r>
    </w:p>
    <w:p>
      <w:pPr>
        <w:pStyle w:val="ListNumber"/>
      </w:pPr>
      <w:r>
        <w:t>AI Lesson/Assessment Generation — create a lesson outline, assignment or quiz using the selected academic context.</w:t>
      </w:r>
    </w:p>
    <w:p>
      <w:pPr>
        <w:pStyle w:val="ListNumber"/>
      </w:pPr>
      <w:r>
        <w:t>Resource Recommendation — recommend relevant institutional notes, PPTs, question papers and approved external resources.</w:t>
      </w:r>
    </w:p>
    <w:p>
      <w:pPr>
        <w:pStyle w:val="Heading2"/>
      </w:pPr>
      <w:r>
        <w:t>Recommended demo dataset</w:t>
      </w:r>
    </w:p>
    <w:p>
      <w:pPr>
        <w:pStyle w:val="ListBullet"/>
      </w:pPr>
      <w:r>
        <w:t>1 syllabus</w:t>
      </w:r>
    </w:p>
    <w:p>
      <w:pPr>
        <w:pStyle w:val="ListBullet"/>
      </w:pPr>
      <w:r>
        <w:t>1 subject</w:t>
      </w:r>
    </w:p>
    <w:p>
      <w:pPr>
        <w:pStyle w:val="ListBullet"/>
      </w:pPr>
      <w:r>
        <w:t>3–5 units</w:t>
      </w:r>
    </w:p>
    <w:p>
      <w:pPr>
        <w:pStyle w:val="ListBullet"/>
      </w:pPr>
      <w:r>
        <w:t>5–10 notes/PDF/PPT resources</w:t>
      </w:r>
    </w:p>
    <w:p>
      <w:pPr>
        <w:pStyle w:val="ListBullet"/>
      </w:pPr>
      <w:r>
        <w:t>3–5 historical question papers</w:t>
      </w:r>
    </w:p>
    <w:p>
      <w:pPr>
        <w:pStyle w:val="ListBullet"/>
      </w:pPr>
      <w:r>
        <w:t>A small set of approved YouTube links</w:t>
      </w:r>
    </w:p>
    <w:p>
      <w:pPr>
        <w:pStyle w:val="ListBullet"/>
      </w:pPr>
      <w:r>
        <w:t>One demonstration topic such as CNN</w:t>
      </w:r>
    </w:p>
    <w:p>
      <w:pPr>
        <w:pStyle w:val="Heading1"/>
      </w:pPr>
      <w:r>
        <w:t>16. Investor / Customer Demo Story</w:t>
      </w:r>
    </w:p>
    <w:p>
      <w:r>
        <w:t>The strongest demonstration should be a single teacher journey.</w:t>
      </w:r>
    </w:p>
    <w:p>
      <w:pPr>
        <w:pStyle w:val="ListNumber"/>
      </w:pPr>
      <w:r>
        <w:t>Teacher selects: AI &amp; ML → Machine Learning → Semester 6 → Unit 3.</w:t>
      </w:r>
    </w:p>
    <w:p>
      <w:pPr>
        <w:pStyle w:val="ListNumber"/>
      </w:pPr>
      <w:r>
        <w:t>Teacher uploads a syllabus, notes, PPTs and historical question papers.</w:t>
      </w:r>
    </w:p>
    <w:p>
      <w:pPr>
        <w:pStyle w:val="ListNumber"/>
      </w:pPr>
      <w:r>
        <w:t>EduOS processes the material.</w:t>
      </w:r>
    </w:p>
    <w:p>
      <w:pPr>
        <w:pStyle w:val="ListNumber"/>
      </w:pPr>
      <w:r>
        <w:t>Teacher asks: 'Explain CNN.'</w:t>
      </w:r>
    </w:p>
    <w:p>
      <w:pPr>
        <w:pStyle w:val="ListNumber"/>
      </w:pPr>
      <w:r>
        <w:t>EduOS retrieves relevant institutional context and generates a structured explanation.</w:t>
      </w:r>
    </w:p>
    <w:p>
      <w:pPr>
        <w:pStyle w:val="ListNumber"/>
      </w:pPr>
      <w:r>
        <w:t>Teacher asks: 'What resources should I use for this topic?'</w:t>
      </w:r>
    </w:p>
    <w:p>
      <w:pPr>
        <w:pStyle w:val="ListNumber"/>
      </w:pPr>
      <w:r>
        <w:t>EduOS recommends the relevant notes, PPTs, question papers and approved video resources.</w:t>
      </w:r>
    </w:p>
    <w:p>
      <w:pPr>
        <w:pStyle w:val="ListNumber"/>
      </w:pPr>
      <w:r>
        <w:t>Teacher asks: 'How important is CNN based on previous papers?'</w:t>
      </w:r>
    </w:p>
    <w:p>
      <w:pPr>
        <w:pStyle w:val="ListNumber"/>
      </w:pPr>
      <w:r>
        <w:t>Academic Intelligence returns historical frequency, marks distribution and an explainable importance score.</w:t>
      </w:r>
    </w:p>
    <w:p>
      <w:pPr>
        <w:pStyle w:val="ListNumber"/>
      </w:pPr>
      <w:r>
        <w:t>Teacher asks: 'Create a 30-minute lesson plan and a 10-question quiz.'</w:t>
      </w:r>
    </w:p>
    <w:p>
      <w:pPr>
        <w:pStyle w:val="ListNumber"/>
      </w:pPr>
      <w:r>
        <w:t>EduOS generates structured teaching and assessment material for teacher review.</w:t>
      </w:r>
    </w:p>
    <w:p>
      <w:pPr>
        <w:pStyle w:val="ListNumber"/>
      </w:pPr>
      <w:r>
        <w:t>The future vision is then shown: the same intelligence can power an EduOS smart board.</w:t>
      </w:r>
    </w:p>
    <w:p>
      <w:pPr>
        <w:pStyle w:val="Heading1"/>
      </w:pPr>
      <w:r>
        <w:t>17. Technical Architecture</w:t>
      </w:r>
    </w:p>
    <w:p>
      <w:r>
        <w:t>The architecture is intentionally layered internally, while the product itself is positioned as an Education Operating System. In the prototype, these capabilities run as a software layer above the host OS.</w:t>
      </w:r>
    </w:p>
    <w:p>
      <w:r>
        <w:t>Conceptual architecture:</w:t>
      </w:r>
    </w:p>
    <w:p>
      <w:r>
        <w:t>User / Future Smart Board → EduOS Experience → API → EduOS SDK → Academic Engines → RAG / Knowledge → AI Orchestrator → LLM / Embedding Providers</w:t>
      </w:r>
    </w:p>
    <w:p>
      <w:r>
        <w:t>Supporting all of these:</w:t>
      </w:r>
    </w:p>
    <w:p>
      <w:r>
        <w:t>EduOS Kernel → Security, Multi-tenancy, DI, Configuration, Logging, Event Bus, Lifecycle, Health, Metrics, Storage and Policy</w:t>
      </w:r>
    </w:p>
    <w:p>
      <w:pPr>
        <w:pStyle w:val="Heading2"/>
      </w:pPr>
      <w:r>
        <w:t>Key technologies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Prototype Technology / Pattern</w:t>
            </w:r>
          </w:p>
        </w:tc>
      </w:tr>
      <w:tr>
        <w:tc>
          <w:tcPr>
            <w:tcW w:type="dxa" w:w="4968"/>
            <w:vAlign w:val="center"/>
          </w:tcPr>
          <w:p>
            <w:r>
              <w:t>Backend</w:t>
            </w:r>
          </w:p>
        </w:tc>
        <w:tc>
          <w:tcPr>
            <w:tcW w:type="dxa" w:w="4968"/>
            <w:vAlign w:val="center"/>
          </w:tcPr>
          <w:p>
            <w:r>
              <w:t>Node.js + TypeScript</w:t>
            </w:r>
          </w:p>
        </w:tc>
      </w:tr>
      <w:tr>
        <w:tc>
          <w:tcPr>
            <w:tcW w:type="dxa" w:w="4968"/>
            <w:vAlign w:val="center"/>
          </w:tcPr>
          <w:p>
            <w:r>
              <w:t>Application architecture</w:t>
            </w:r>
          </w:p>
        </w:tc>
        <w:tc>
          <w:tcPr>
            <w:tcW w:type="dxa" w:w="4968"/>
            <w:vAlign w:val="center"/>
          </w:tcPr>
          <w:p>
            <w:r>
              <w:t>Clean Architecture / DDD-inspired modular architecture</w:t>
            </w:r>
          </w:p>
        </w:tc>
      </w:tr>
      <w:tr>
        <w:tc>
          <w:tcPr>
            <w:tcW w:type="dxa" w:w="4968"/>
            <w:vAlign w:val="center"/>
          </w:tcPr>
          <w:p>
            <w:r>
              <w:t>Dependency Injection</w:t>
            </w:r>
          </w:p>
        </w:tc>
        <w:tc>
          <w:tcPr>
            <w:tcW w:type="dxa" w:w="4968"/>
            <w:vAlign w:val="center"/>
          </w:tcPr>
          <w:p>
            <w:r>
              <w:t>Inversify-based DI</w:t>
            </w:r>
          </w:p>
        </w:tc>
      </w:tr>
      <w:tr>
        <w:tc>
          <w:tcPr>
            <w:tcW w:type="dxa" w:w="4968"/>
            <w:vAlign w:val="center"/>
          </w:tcPr>
          <w:p>
            <w:r>
              <w:t>Database</w:t>
            </w:r>
          </w:p>
        </w:tc>
        <w:tc>
          <w:tcPr>
            <w:tcW w:type="dxa" w:w="4968"/>
            <w:vAlign w:val="center"/>
          </w:tcPr>
          <w:p>
            <w:r>
              <w:t>MongoDB / Mongoose</w:t>
            </w:r>
          </w:p>
        </w:tc>
      </w:tr>
      <w:tr>
        <w:tc>
          <w:tcPr>
            <w:tcW w:type="dxa" w:w="4968"/>
            <w:vAlign w:val="center"/>
          </w:tcPr>
          <w:p>
            <w:r>
              <w:t>Cache / distributed services</w:t>
            </w:r>
          </w:p>
        </w:tc>
        <w:tc>
          <w:tcPr>
            <w:tcW w:type="dxa" w:w="4968"/>
            <w:vAlign w:val="center"/>
          </w:tcPr>
          <w:p>
            <w:r>
              <w:t>Redis</w:t>
            </w:r>
          </w:p>
        </w:tc>
      </w:tr>
      <w:tr>
        <w:tc>
          <w:tcPr>
            <w:tcW w:type="dxa" w:w="4968"/>
            <w:vAlign w:val="center"/>
          </w:tcPr>
          <w:p>
            <w:r>
              <w:t>Semantic retrieval</w:t>
            </w:r>
          </w:p>
        </w:tc>
        <w:tc>
          <w:tcPr>
            <w:tcW w:type="dxa" w:w="4968"/>
            <w:vAlign w:val="center"/>
          </w:tcPr>
          <w:p>
            <w:r>
              <w:t>Embeddings + vector similarity</w:t>
            </w:r>
          </w:p>
        </w:tc>
      </w:tr>
      <w:tr>
        <w:tc>
          <w:tcPr>
            <w:tcW w:type="dxa" w:w="4968"/>
            <w:vAlign w:val="center"/>
          </w:tcPr>
          <w:p>
            <w:r>
              <w:t>RAG</w:t>
            </w:r>
          </w:p>
        </w:tc>
        <w:tc>
          <w:tcPr>
            <w:tcW w:type="dxa" w:w="4968"/>
            <w:vAlign w:val="center"/>
          </w:tcPr>
          <w:p>
            <w:r>
              <w:t>Retrieval-Augmented Generation</w:t>
            </w:r>
          </w:p>
        </w:tc>
      </w:tr>
      <w:tr>
        <w:tc>
          <w:tcPr>
            <w:tcW w:type="dxa" w:w="4968"/>
            <w:vAlign w:val="center"/>
          </w:tcPr>
          <w:p>
            <w:r>
              <w:t>LLM access</w:t>
            </w:r>
          </w:p>
        </w:tc>
        <w:tc>
          <w:tcPr>
            <w:tcW w:type="dxa" w:w="4968"/>
            <w:vAlign w:val="center"/>
          </w:tcPr>
          <w:p>
            <w:r>
              <w:t>Centralized AI Orchestrator / provider abstraction</w:t>
            </w:r>
          </w:p>
        </w:tc>
      </w:tr>
      <w:tr>
        <w:tc>
          <w:tcPr>
            <w:tcW w:type="dxa" w:w="4968"/>
            <w:vAlign w:val="center"/>
          </w:tcPr>
          <w:p>
            <w:r>
              <w:t>Authentication</w:t>
            </w:r>
          </w:p>
        </w:tc>
        <w:tc>
          <w:tcPr>
            <w:tcW w:type="dxa" w:w="4968"/>
            <w:vAlign w:val="center"/>
          </w:tcPr>
          <w:p>
            <w:r>
              <w:t>JWT + RBAC</w:t>
            </w:r>
          </w:p>
        </w:tc>
      </w:tr>
      <w:tr>
        <w:tc>
          <w:tcPr>
            <w:tcW w:type="dxa" w:w="4968"/>
            <w:vAlign w:val="center"/>
          </w:tcPr>
          <w:p>
            <w:r>
              <w:t>Tenant isolation</w:t>
            </w:r>
          </w:p>
        </w:tc>
        <w:tc>
          <w:tcPr>
            <w:tcW w:type="dxa" w:w="4968"/>
            <w:vAlign w:val="center"/>
          </w:tcPr>
          <w:p>
            <w:r>
              <w:t>Tenant-aware request context and data filters</w:t>
            </w:r>
          </w:p>
        </w:tc>
      </w:tr>
      <w:tr>
        <w:tc>
          <w:tcPr>
            <w:tcW w:type="dxa" w:w="4968"/>
            <w:vAlign w:val="center"/>
          </w:tcPr>
          <w:p>
            <w:r>
              <w:t>Observability</w:t>
            </w:r>
          </w:p>
        </w:tc>
        <w:tc>
          <w:tcPr>
            <w:tcW w:type="dxa" w:w="4968"/>
            <w:vAlign w:val="center"/>
          </w:tcPr>
          <w:p>
            <w:r>
              <w:t>Structured logging, health endpoints, metrics</w:t>
            </w:r>
          </w:p>
        </w:tc>
      </w:tr>
      <w:tr>
        <w:tc>
          <w:tcPr>
            <w:tcW w:type="dxa" w:w="4968"/>
            <w:vAlign w:val="center"/>
          </w:tcPr>
          <w:p>
            <w:r>
              <w:t>Future object storage</w:t>
            </w:r>
          </w:p>
        </w:tc>
        <w:tc>
          <w:tcPr>
            <w:tcW w:type="dxa" w:w="4968"/>
            <w:vAlign w:val="center"/>
          </w:tcPr>
          <w:p>
            <w:r>
              <w:t>S3-compatible cloud object storage</w:t>
            </w:r>
          </w:p>
        </w:tc>
      </w:tr>
      <w:tr>
        <w:tc>
          <w:tcPr>
            <w:tcW w:type="dxa" w:w="4968"/>
            <w:vAlign w:val="center"/>
          </w:tcPr>
          <w:p>
            <w:r>
              <w:t>Future device</w:t>
            </w:r>
          </w:p>
        </w:tc>
        <w:tc>
          <w:tcPr>
            <w:tcW w:type="dxa" w:w="4968"/>
            <w:vAlign w:val="center"/>
          </w:tcPr>
          <w:p>
            <w:r>
              <w:t>Lightweight EduOS client/runtime communicating with cloud services</w:t>
            </w:r>
          </w:p>
        </w:tc>
      </w:tr>
    </w:tbl>
    <w:p>
      <w:pPr>
        <w:pStyle w:val="Heading1"/>
      </w:pPr>
      <w:r>
        <w:t>18. External AI APIs &amp; Secrets</w:t>
      </w:r>
    </w:p>
    <w:p>
      <w:r>
        <w:t>The current Phase 1 implementation report states that the embedding and LLM layers use an OpenAI client. Therefore, a valid provider API key is required for live AI generation and embedding operations unless a compatible local/self-hosted model is substituted.</w:t>
      </w:r>
    </w:p>
    <w:p>
      <w:r>
        <w:t>The key must never be hard-coded into source code, committed to Git, printed in logs, exposed to browser code or returned through APIs. It should be provided through the existing secret-management abstraction and environment/secure secret infrastructure.</w:t>
      </w:r>
    </w:p>
    <w:p>
      <w:r>
        <w:t>The architecture should keep provider access behind the AI Orchestrator so that OpenAI can later be replaced or supplemented by other model providers without rewriting the academic engines.</w:t>
      </w:r>
    </w:p>
    <w:p>
      <w:pPr>
        <w:pStyle w:val="Heading1"/>
      </w:pPr>
      <w:r>
        <w:t>19. Security, Privacy &amp; Governance</w:t>
      </w:r>
    </w:p>
    <w:p>
      <w:pPr>
        <w:pStyle w:val="ListBullet"/>
      </w:pPr>
      <w:r>
        <w:t>Strict tenant isolation at service/repository level.</w:t>
      </w:r>
    </w:p>
    <w:p>
      <w:pPr>
        <w:pStyle w:val="ListBullet"/>
      </w:pPr>
      <w:r>
        <w:t>Role-based access for administrators, teachers and students.</w:t>
      </w:r>
    </w:p>
    <w:p>
      <w:pPr>
        <w:pStyle w:val="ListBullet"/>
      </w:pPr>
      <w:r>
        <w:t>Encryption in transit and at rest where supported by infrastructure.</w:t>
      </w:r>
    </w:p>
    <w:p>
      <w:pPr>
        <w:pStyle w:val="ListBullet"/>
      </w:pPr>
      <w:r>
        <w:t>Secret management rather than hard-coded credentials.</w:t>
      </w:r>
    </w:p>
    <w:p>
      <w:pPr>
        <w:pStyle w:val="ListBullet"/>
      </w:pPr>
      <w:r>
        <w:t>Audit logging for sensitive academic operations.</w:t>
      </w:r>
    </w:p>
    <w:p>
      <w:pPr>
        <w:pStyle w:val="ListBullet"/>
      </w:pPr>
      <w:r>
        <w:t>Prompt-injection protection for uploaded documents.</w:t>
      </w:r>
    </w:p>
    <w:p>
      <w:pPr>
        <w:pStyle w:val="ListBullet"/>
      </w:pPr>
      <w:r>
        <w:t>File-type and size validation.</w:t>
      </w:r>
    </w:p>
    <w:p>
      <w:pPr>
        <w:pStyle w:val="ListBullet"/>
      </w:pPr>
      <w:r>
        <w:t>Malicious-content scanning appropriate to deployment environment.</w:t>
      </w:r>
    </w:p>
    <w:p>
      <w:pPr>
        <w:pStyle w:val="ListBullet"/>
      </w:pPr>
      <w:r>
        <w:t>No sensitive secrets in logs or error responses.</w:t>
      </w:r>
    </w:p>
    <w:p>
      <w:pPr>
        <w:pStyle w:val="ListBullet"/>
      </w:pPr>
      <w:r>
        <w:t>Clear retention and deletion policies for institutional content.</w:t>
      </w:r>
    </w:p>
    <w:p>
      <w:pPr>
        <w:pStyle w:val="ListBullet"/>
      </w:pPr>
      <w:r>
        <w:t>Human review for generated academic materials before official use.</w:t>
      </w:r>
    </w:p>
    <w:p>
      <w:pPr>
        <w:pStyle w:val="ListBullet"/>
      </w:pPr>
      <w:r>
        <w:t>Clear separation between historical analysis and examination prediction.</w:t>
      </w:r>
    </w:p>
    <w:p>
      <w:pPr>
        <w:pStyle w:val="Heading1"/>
      </w:pPr>
      <w:r>
        <w:t>20. Product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Goal</w:t>
            </w:r>
          </w:p>
        </w:tc>
        <w:tc>
          <w:tcPr>
            <w:tcW w:type="dxa" w:w="3312"/>
          </w:tcPr>
          <w:p>
            <w:r>
              <w:rPr>
                <w:b/>
              </w:rPr>
              <w:t>Key Deliverables</w:t>
            </w:r>
          </w:p>
        </w:tc>
      </w:tr>
      <w:tr>
        <w:tc>
          <w:tcPr>
            <w:tcW w:type="dxa" w:w="3312"/>
            <w:vAlign w:val="center"/>
          </w:tcPr>
          <w:p>
            <w:r>
              <w:t>Stage 0</w:t>
            </w:r>
          </w:p>
        </w:tc>
        <w:tc>
          <w:tcPr>
            <w:tcW w:type="dxa" w:w="3312"/>
            <w:vAlign w:val="center"/>
          </w:tcPr>
          <w:p>
            <w:r>
              <w:t>Kernel foundation</w:t>
            </w:r>
          </w:p>
        </w:tc>
        <w:tc>
          <w:tcPr>
            <w:tcW w:type="dxa" w:w="3312"/>
            <w:vAlign w:val="center"/>
          </w:tcPr>
          <w:p>
            <w:r>
              <w:t>Security, tenancy, DI, events, storage, health, observability</w:t>
            </w:r>
          </w:p>
        </w:tc>
      </w:tr>
      <w:tr>
        <w:tc>
          <w:tcPr>
            <w:tcW w:type="dxa" w:w="3312"/>
            <w:vAlign w:val="center"/>
          </w:tcPr>
          <w:p>
            <w:r>
              <w:t>Stage 1</w:t>
            </w:r>
          </w:p>
        </w:tc>
        <w:tc>
          <w:tcPr>
            <w:tcW w:type="dxa" w:w="3312"/>
            <w:vAlign w:val="center"/>
          </w:tcPr>
          <w:p>
            <w:r>
              <w:t>Knowledge + RAG prototype</w:t>
            </w:r>
          </w:p>
        </w:tc>
        <w:tc>
          <w:tcPr>
            <w:tcW w:type="dxa" w:w="3312"/>
            <w:vAlign w:val="center"/>
          </w:tcPr>
          <w:p>
            <w:r>
              <w:t>Academic data model, ingestion, embeddings, retrieval, teacher assistant</w:t>
            </w:r>
          </w:p>
        </w:tc>
      </w:tr>
      <w:tr>
        <w:tc>
          <w:tcPr>
            <w:tcW w:type="dxa" w:w="3312"/>
            <w:vAlign w:val="center"/>
          </w:tcPr>
          <w:p>
            <w:r>
              <w:t>Stage 2</w:t>
            </w:r>
          </w:p>
        </w:tc>
        <w:tc>
          <w:tcPr>
            <w:tcW w:type="dxa" w:w="3312"/>
            <w:vAlign w:val="center"/>
          </w:tcPr>
          <w:p>
            <w:r>
              <w:t>Academic Intelligence</w:t>
            </w:r>
          </w:p>
        </w:tc>
        <w:tc>
          <w:tcPr>
            <w:tcW w:type="dxa" w:w="3312"/>
            <w:vAlign w:val="center"/>
          </w:tcPr>
          <w:p>
            <w:r>
              <w:t>Question analysis, frequency, marks, difficulty, Bloom, importance, recommendations</w:t>
            </w:r>
          </w:p>
        </w:tc>
      </w:tr>
      <w:tr>
        <w:tc>
          <w:tcPr>
            <w:tcW w:type="dxa" w:w="3312"/>
            <w:vAlign w:val="center"/>
          </w:tcPr>
          <w:p>
            <w:r>
              <w:t>Stage 3</w:t>
            </w:r>
          </w:p>
        </w:tc>
        <w:tc>
          <w:tcPr>
            <w:tcW w:type="dxa" w:w="3312"/>
            <w:vAlign w:val="center"/>
          </w:tcPr>
          <w:p>
            <w:r>
              <w:t>EduOS SDK</w:t>
            </w:r>
          </w:p>
        </w:tc>
        <w:tc>
          <w:tcPr>
            <w:tcW w:type="dxa" w:w="3312"/>
            <w:vAlign w:val="center"/>
          </w:tcPr>
          <w:p>
            <w:r>
              <w:t>Stable public contracts for future engines</w:t>
            </w:r>
          </w:p>
        </w:tc>
      </w:tr>
      <w:tr>
        <w:tc>
          <w:tcPr>
            <w:tcW w:type="dxa" w:w="3312"/>
            <w:vAlign w:val="center"/>
          </w:tcPr>
          <w:p>
            <w:r>
              <w:t>Stage 4</w:t>
            </w:r>
          </w:p>
        </w:tc>
        <w:tc>
          <w:tcPr>
            <w:tcW w:type="dxa" w:w="3312"/>
            <w:vAlign w:val="center"/>
          </w:tcPr>
          <w:p>
            <w:r>
              <w:t>Lesson, Assessment &amp; Student Learning Engines</w:t>
            </w:r>
          </w:p>
        </w:tc>
        <w:tc>
          <w:tcPr>
            <w:tcW w:type="dxa" w:w="3312"/>
            <w:vAlign w:val="center"/>
          </w:tcPr>
          <w:p>
            <w:r>
              <w:t>Lesson plans, PPT structure, assignments, quizzes, private student AI assistant and adaptive explanations</w:t>
            </w:r>
          </w:p>
        </w:tc>
      </w:tr>
      <w:tr>
        <w:tc>
          <w:tcPr>
            <w:tcW w:type="dxa" w:w="3312"/>
            <w:vAlign w:val="center"/>
          </w:tcPr>
          <w:p>
            <w:r>
              <w:t>Stage 5</w:t>
            </w:r>
          </w:p>
        </w:tc>
        <w:tc>
          <w:tcPr>
            <w:tcW w:type="dxa" w:w="3312"/>
            <w:vAlign w:val="center"/>
          </w:tcPr>
          <w:p>
            <w:r>
              <w:t>Institution Pilot</w:t>
            </w:r>
          </w:p>
        </w:tc>
        <w:tc>
          <w:tcPr>
            <w:tcW w:type="dxa" w:w="3312"/>
            <w:vAlign w:val="center"/>
          </w:tcPr>
          <w:p>
            <w:r>
              <w:t>One college, limited departments, real teacher feedback, cost measurement</w:t>
            </w:r>
          </w:p>
        </w:tc>
      </w:tr>
      <w:tr>
        <w:tc>
          <w:tcPr>
            <w:tcW w:type="dxa" w:w="3312"/>
            <w:vAlign w:val="center"/>
          </w:tcPr>
          <w:p>
            <w:r>
              <w:t>Stage 6</w:t>
            </w:r>
          </w:p>
        </w:tc>
        <w:tc>
          <w:tcPr>
            <w:tcW w:type="dxa" w:w="3312"/>
            <w:vAlign w:val="center"/>
          </w:tcPr>
          <w:p>
            <w:r>
              <w:t>Cloud Platform</w:t>
            </w:r>
          </w:p>
        </w:tc>
        <w:tc>
          <w:tcPr>
            <w:tcW w:type="dxa" w:w="3312"/>
            <w:vAlign w:val="center"/>
          </w:tcPr>
          <w:p>
            <w:r>
              <w:t>Scalable storage, observability, billing, admin, analytics and enterprise deployment</w:t>
            </w:r>
          </w:p>
        </w:tc>
      </w:tr>
      <w:tr>
        <w:tc>
          <w:tcPr>
            <w:tcW w:type="dxa" w:w="3312"/>
            <w:vAlign w:val="center"/>
          </w:tcPr>
          <w:p>
            <w:r>
              <w:t>Stage 7</w:t>
            </w:r>
          </w:p>
        </w:tc>
        <w:tc>
          <w:tcPr>
            <w:tcW w:type="dxa" w:w="3312"/>
            <w:vAlign w:val="center"/>
          </w:tcPr>
          <w:p>
            <w:r>
              <w:t>Smart Board Integration</w:t>
            </w:r>
          </w:p>
        </w:tc>
        <w:tc>
          <w:tcPr>
            <w:tcW w:type="dxa" w:w="3312"/>
            <w:vAlign w:val="center"/>
          </w:tcPr>
          <w:p>
            <w:r>
              <w:t>Board client/runtime, device management, classroom interaction</w:t>
            </w:r>
          </w:p>
        </w:tc>
      </w:tr>
      <w:tr>
        <w:tc>
          <w:tcPr>
            <w:tcW w:type="dxa" w:w="3312"/>
            <w:vAlign w:val="center"/>
          </w:tcPr>
          <w:p>
            <w:r>
              <w:t>Stage 8</w:t>
            </w:r>
          </w:p>
        </w:tc>
        <w:tc>
          <w:tcPr>
            <w:tcW w:type="dxa" w:w="3312"/>
            <w:vAlign w:val="center"/>
          </w:tcPr>
          <w:p>
            <w:r>
              <w:t>Dedicated Hardware</w:t>
            </w:r>
          </w:p>
        </w:tc>
        <w:tc>
          <w:tcPr>
            <w:tcW w:type="dxa" w:w="3312"/>
            <w:vAlign w:val="center"/>
          </w:tcPr>
          <w:p>
            <w:r>
              <w:t>Custom board architecture, secure device platform, manufacturing partnerships</w:t>
            </w:r>
          </w:p>
        </w:tc>
      </w:tr>
      <w:tr>
        <w:tc>
          <w:tcPr>
            <w:tcW w:type="dxa" w:w="3312"/>
            <w:vAlign w:val="center"/>
          </w:tcPr>
          <w:p>
            <w:r>
              <w:t>Stage 9</w:t>
            </w:r>
          </w:p>
        </w:tc>
        <w:tc>
          <w:tcPr>
            <w:tcW w:type="dxa" w:w="3312"/>
            <w:vAlign w:val="center"/>
          </w:tcPr>
          <w:p>
            <w:r>
              <w:t>Multi-institution Expansion</w:t>
            </w:r>
          </w:p>
        </w:tc>
        <w:tc>
          <w:tcPr>
            <w:tcW w:type="dxa" w:w="3312"/>
            <w:vAlign w:val="center"/>
          </w:tcPr>
          <w:p>
            <w:r>
              <w:t>State/national/international institution deployments</w:t>
            </w:r>
          </w:p>
        </w:tc>
      </w:tr>
    </w:tbl>
    <w:p>
      <w:pPr>
        <w:pStyle w:val="Heading1"/>
      </w:pPr>
      <w:r>
        <w:t>21. Future Intelligence Engines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Engine</w:t>
            </w:r>
          </w:p>
        </w:tc>
        <w:tc>
          <w:tcPr>
            <w:tcW w:type="dxa" w:w="4968"/>
          </w:tcPr>
          <w:p>
            <w:r>
              <w:rPr>
                <w:b/>
              </w:rPr>
              <w:t>Purpose</w:t>
            </w:r>
          </w:p>
        </w:tc>
      </w:tr>
      <w:tr>
        <w:tc>
          <w:tcPr>
            <w:tcW w:type="dxa" w:w="4968"/>
            <w:vAlign w:val="center"/>
          </w:tcPr>
          <w:p>
            <w:r>
              <w:t>Knowledge Engine</w:t>
            </w:r>
          </w:p>
        </w:tc>
        <w:tc>
          <w:tcPr>
            <w:tcW w:type="dxa" w:w="4968"/>
            <w:vAlign w:val="center"/>
          </w:tcPr>
          <w:p>
            <w:r>
              <w:t>Academic knowledge organization and semantic understanding</w:t>
            </w:r>
          </w:p>
        </w:tc>
      </w:tr>
      <w:tr>
        <w:tc>
          <w:tcPr>
            <w:tcW w:type="dxa" w:w="4968"/>
            <w:vAlign w:val="center"/>
          </w:tcPr>
          <w:p>
            <w:r>
              <w:t>RAG Engine</w:t>
            </w:r>
          </w:p>
        </w:tc>
        <w:tc>
          <w:tcPr>
            <w:tcW w:type="dxa" w:w="4968"/>
            <w:vAlign w:val="center"/>
          </w:tcPr>
          <w:p>
            <w:r>
              <w:t>Grounded retrieval and context construction</w:t>
            </w:r>
          </w:p>
        </w:tc>
      </w:tr>
      <w:tr>
        <w:tc>
          <w:tcPr>
            <w:tcW w:type="dxa" w:w="4968"/>
            <w:vAlign w:val="center"/>
          </w:tcPr>
          <w:p>
            <w:r>
              <w:t>Academic Intelligence Engine</w:t>
            </w:r>
          </w:p>
        </w:tc>
        <w:tc>
          <w:tcPr>
            <w:tcW w:type="dxa" w:w="4968"/>
            <w:vAlign w:val="center"/>
          </w:tcPr>
          <w:p>
            <w:r>
              <w:t>Historical academic analysis</w:t>
            </w:r>
          </w:p>
        </w:tc>
      </w:tr>
      <w:tr>
        <w:tc>
          <w:tcPr>
            <w:tcW w:type="dxa" w:w="4968"/>
            <w:vAlign w:val="center"/>
          </w:tcPr>
          <w:p>
            <w:r>
              <w:t>Lesson Engine</w:t>
            </w:r>
          </w:p>
        </w:tc>
        <w:tc>
          <w:tcPr>
            <w:tcW w:type="dxa" w:w="4968"/>
            <w:vAlign w:val="center"/>
          </w:tcPr>
          <w:p>
            <w:r>
              <w:t>Lesson planning and teaching material generation</w:t>
            </w:r>
          </w:p>
        </w:tc>
      </w:tr>
      <w:tr>
        <w:tc>
          <w:tcPr>
            <w:tcW w:type="dxa" w:w="4968"/>
            <w:vAlign w:val="center"/>
          </w:tcPr>
          <w:p>
            <w:r>
              <w:t>Assessment Engine</w:t>
            </w:r>
          </w:p>
        </w:tc>
        <w:tc>
          <w:tcPr>
            <w:tcW w:type="dxa" w:w="4968"/>
            <w:vAlign w:val="center"/>
          </w:tcPr>
          <w:p>
            <w:r>
              <w:t>Quizzes, assignments and structured assessments</w:t>
            </w:r>
          </w:p>
        </w:tc>
      </w:tr>
      <w:tr>
        <w:tc>
          <w:tcPr>
            <w:tcW w:type="dxa" w:w="4968"/>
            <w:vAlign w:val="center"/>
          </w:tcPr>
          <w:p>
            <w:r>
              <w:t>Recommendation Engine</w:t>
            </w:r>
          </w:p>
        </w:tc>
        <w:tc>
          <w:tcPr>
            <w:tcW w:type="dxa" w:w="4968"/>
            <w:vAlign w:val="center"/>
          </w:tcPr>
          <w:p>
            <w:r>
              <w:t>Resource and learning recommendations</w:t>
            </w:r>
          </w:p>
        </w:tc>
      </w:tr>
      <w:tr>
        <w:tc>
          <w:tcPr>
            <w:tcW w:type="dxa" w:w="4968"/>
            <w:vAlign w:val="center"/>
          </w:tcPr>
          <w:p>
            <w:r>
              <w:t>Student Intelligence Engine</w:t>
            </w:r>
          </w:p>
        </w:tc>
        <w:tc>
          <w:tcPr>
            <w:tcW w:type="dxa" w:w="4968"/>
            <w:vAlign w:val="center"/>
          </w:tcPr>
          <w:p>
            <w:r>
              <w:t>Personalized learning support based on permitted student data</w:t>
            </w:r>
          </w:p>
        </w:tc>
      </w:tr>
      <w:tr>
        <w:tc>
          <w:tcPr>
            <w:tcW w:type="dxa" w:w="4968"/>
            <w:vAlign w:val="center"/>
          </w:tcPr>
          <w:p>
            <w:r>
              <w:t>Teacher Copilot Engine</w:t>
            </w:r>
          </w:p>
        </w:tc>
        <w:tc>
          <w:tcPr>
            <w:tcW w:type="dxa" w:w="4968"/>
            <w:vAlign w:val="center"/>
          </w:tcPr>
          <w:p>
            <w:r>
              <w:t>Classroom and preparation assistance</w:t>
            </w:r>
          </w:p>
        </w:tc>
      </w:tr>
      <w:tr>
        <w:tc>
          <w:tcPr>
            <w:tcW w:type="dxa" w:w="4968"/>
            <w:vAlign w:val="center"/>
          </w:tcPr>
          <w:p>
            <w:r>
              <w:t>Agent/Workflow Engine</w:t>
            </w:r>
          </w:p>
        </w:tc>
        <w:tc>
          <w:tcPr>
            <w:tcW w:type="dxa" w:w="4968"/>
            <w:vAlign w:val="center"/>
          </w:tcPr>
          <w:p>
            <w:r>
              <w:t>Multi-step academic workflows</w:t>
            </w:r>
          </w:p>
        </w:tc>
      </w:tr>
      <w:tr>
        <w:tc>
          <w:tcPr>
            <w:tcW w:type="dxa" w:w="4968"/>
            <w:vAlign w:val="center"/>
          </w:tcPr>
          <w:p>
            <w:r>
              <w:t>Multimodal Engine</w:t>
            </w:r>
          </w:p>
        </w:tc>
        <w:tc>
          <w:tcPr>
            <w:tcW w:type="dxa" w:w="4968"/>
            <w:vAlign w:val="center"/>
          </w:tcPr>
          <w:p>
            <w:r>
              <w:t>Images, diagrams, audio, video and classroom interaction</w:t>
            </w:r>
          </w:p>
        </w:tc>
      </w:tr>
      <w:tr>
        <w:tc>
          <w:tcPr>
            <w:tcW w:type="dxa" w:w="4968"/>
            <w:vAlign w:val="center"/>
          </w:tcPr>
          <w:p>
            <w:r>
              <w:t>Device/Board Runtime</w:t>
            </w:r>
          </w:p>
        </w:tc>
        <w:tc>
          <w:tcPr>
            <w:tcW w:type="dxa" w:w="4968"/>
            <w:vAlign w:val="center"/>
          </w:tcPr>
          <w:p>
            <w:r>
              <w:t>Connect intelligence to future smart-board hardware</w:t>
            </w:r>
          </w:p>
        </w:tc>
      </w:tr>
    </w:tbl>
    <w:p>
      <w:pPr>
        <w:pStyle w:val="Heading1"/>
      </w:pPr>
      <w:r>
        <w:t>22. Long-Term Smart Board Business</w:t>
      </w:r>
    </w:p>
    <w:p>
      <w:r>
        <w:t>Once the EduOS software product is validated in institutions, the same operating system can be implemented more deeply in a dedicated smart board. The board should be treated as a hardware product running the EduOS experience and connecting to institution/cloud intelligence services, rather than as a device that must locally store every model and every institutional document.</w:t>
      </w:r>
    </w:p>
    <w:p>
      <w:pPr>
        <w:pStyle w:val="Heading2"/>
      </w:pPr>
      <w:r>
        <w:t>Potential commercial model</w:t>
      </w:r>
    </w:p>
    <w:p>
      <w:pPr>
        <w:pStyle w:val="ListBullet"/>
      </w:pPr>
      <w:r>
        <w:t>EduOS software license per institution.</w:t>
      </w:r>
    </w:p>
    <w:p>
      <w:pPr>
        <w:pStyle w:val="ListBullet"/>
      </w:pPr>
      <w:r>
        <w:t>Board hardware sale or lease.</w:t>
      </w:r>
    </w:p>
    <w:p>
      <w:pPr>
        <w:pStyle w:val="ListBullet"/>
      </w:pPr>
      <w:r>
        <w:t>Annual software/device management subscription.</w:t>
      </w:r>
    </w:p>
    <w:p>
      <w:pPr>
        <w:pStyle w:val="ListBullet"/>
      </w:pPr>
      <w:r>
        <w:t>Enterprise support and warranty.</w:t>
      </w:r>
    </w:p>
    <w:p>
      <w:pPr>
        <w:pStyle w:val="ListBullet"/>
      </w:pPr>
      <w:r>
        <w:t>Optional premium AI usage.</w:t>
      </w:r>
    </w:p>
    <w:p>
      <w:pPr>
        <w:pStyle w:val="ListBullet"/>
      </w:pPr>
      <w:r>
        <w:t>Institution-wide deployment packages.</w:t>
      </w:r>
    </w:p>
    <w:p>
      <w:r>
        <w:t>The key strategic advantage of implementing the prototype as a software layer first is that the company can validate the EduOS intelligence and classroom workflows before committing significant capital to dedicated hardware manufacturing.</w:t>
      </w:r>
    </w:p>
    <w:p>
      <w:pPr>
        <w:pStyle w:val="Heading1"/>
      </w:pPr>
      <w:r>
        <w:t>23. Major Risks &amp;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Risk</w:t>
            </w:r>
          </w:p>
        </w:tc>
        <w:tc>
          <w:tcPr>
            <w:tcW w:type="dxa" w:w="3312"/>
          </w:tcPr>
          <w:p>
            <w:r>
              <w:rPr>
                <w:b/>
              </w:rPr>
              <w:t>Impact</w:t>
            </w:r>
          </w:p>
        </w:tc>
        <w:tc>
          <w:tcPr>
            <w:tcW w:type="dxa" w:w="3312"/>
          </w:tcPr>
          <w:p>
            <w:r>
              <w:rPr>
                <w:b/>
              </w:rPr>
              <w:t>Mitigation</w:t>
            </w:r>
          </w:p>
        </w:tc>
      </w:tr>
      <w:tr>
        <w:tc>
          <w:tcPr>
            <w:tcW w:type="dxa" w:w="3312"/>
            <w:vAlign w:val="center"/>
          </w:tcPr>
          <w:p>
            <w:r>
              <w:t>Hallucination</w:t>
            </w:r>
          </w:p>
        </w:tc>
        <w:tc>
          <w:tcPr>
            <w:tcW w:type="dxa" w:w="3312"/>
            <w:vAlign w:val="center"/>
          </w:tcPr>
          <w:p>
            <w:r>
              <w:t>Incorrect academic information</w:t>
            </w:r>
          </w:p>
        </w:tc>
        <w:tc>
          <w:tcPr>
            <w:tcW w:type="dxa" w:w="3312"/>
            <w:vAlign w:val="center"/>
          </w:tcPr>
          <w:p>
            <w:r>
              <w:t>RAG grounding, source references, validation and human review</w:t>
            </w:r>
          </w:p>
        </w:tc>
      </w:tr>
      <w:tr>
        <w:tc>
          <w:tcPr>
            <w:tcW w:type="dxa" w:w="3312"/>
            <w:vAlign w:val="center"/>
          </w:tcPr>
          <w:p>
            <w:r>
              <w:t>Poor source quality</w:t>
            </w:r>
          </w:p>
        </w:tc>
        <w:tc>
          <w:tcPr>
            <w:tcW w:type="dxa" w:w="3312"/>
            <w:vAlign w:val="center"/>
          </w:tcPr>
          <w:p>
            <w:r>
              <w:t>Bad recommendations</w:t>
            </w:r>
          </w:p>
        </w:tc>
        <w:tc>
          <w:tcPr>
            <w:tcW w:type="dxa" w:w="3312"/>
            <w:vAlign w:val="center"/>
          </w:tcPr>
          <w:p>
            <w:r>
              <w:t>Ingestion validation and content-quality metadata</w:t>
            </w:r>
          </w:p>
        </w:tc>
      </w:tr>
      <w:tr>
        <w:tc>
          <w:tcPr>
            <w:tcW w:type="dxa" w:w="3312"/>
            <w:vAlign w:val="center"/>
          </w:tcPr>
          <w:p>
            <w:r>
              <w:t>AI cost</w:t>
            </w:r>
          </w:p>
        </w:tc>
        <w:tc>
          <w:tcPr>
            <w:tcW w:type="dxa" w:w="3312"/>
            <w:vAlign w:val="center"/>
          </w:tcPr>
          <w:p>
            <w:r>
              <w:t>Low margins</w:t>
            </w:r>
          </w:p>
        </w:tc>
        <w:tc>
          <w:tcPr>
            <w:tcW w:type="dxa" w:w="3312"/>
            <w:vAlign w:val="center"/>
          </w:tcPr>
          <w:p>
            <w:r>
              <w:t>Caching, model routing, quotas and smaller models where appropriate</w:t>
            </w:r>
          </w:p>
        </w:tc>
      </w:tr>
      <w:tr>
        <w:tc>
          <w:tcPr>
            <w:tcW w:type="dxa" w:w="3312"/>
            <w:vAlign w:val="center"/>
          </w:tcPr>
          <w:p>
            <w:r>
              <w:t>Data privacy</w:t>
            </w:r>
          </w:p>
        </w:tc>
        <w:tc>
          <w:tcPr>
            <w:tcW w:type="dxa" w:w="3312"/>
            <w:vAlign w:val="center"/>
          </w:tcPr>
          <w:p>
            <w:r>
              <w:t>Institutional trust issue</w:t>
            </w:r>
          </w:p>
        </w:tc>
        <w:tc>
          <w:tcPr>
            <w:tcW w:type="dxa" w:w="3312"/>
            <w:vAlign w:val="center"/>
          </w:tcPr>
          <w:p>
            <w:r>
              <w:t>Tenant isolation, encryption, access controls and governance</w:t>
            </w:r>
          </w:p>
        </w:tc>
      </w:tr>
      <w:tr>
        <w:tc>
          <w:tcPr>
            <w:tcW w:type="dxa" w:w="3312"/>
            <w:vAlign w:val="center"/>
          </w:tcPr>
          <w:p>
            <w:r>
              <w:t>Vendor lock-in</w:t>
            </w:r>
          </w:p>
        </w:tc>
        <w:tc>
          <w:tcPr>
            <w:tcW w:type="dxa" w:w="3312"/>
            <w:vAlign w:val="center"/>
          </w:tcPr>
          <w:p>
            <w:r>
              <w:t>Provider dependency</w:t>
            </w:r>
          </w:p>
        </w:tc>
        <w:tc>
          <w:tcPr>
            <w:tcW w:type="dxa" w:w="3312"/>
            <w:vAlign w:val="center"/>
          </w:tcPr>
          <w:p>
            <w:r>
              <w:t>AI Orchestrator and provider abstraction</w:t>
            </w:r>
          </w:p>
        </w:tc>
      </w:tr>
      <w:tr>
        <w:tc>
          <w:tcPr>
            <w:tcW w:type="dxa" w:w="3312"/>
            <w:vAlign w:val="center"/>
          </w:tcPr>
          <w:p>
            <w:r>
              <w:t>Large media storage</w:t>
            </w:r>
          </w:p>
        </w:tc>
        <w:tc>
          <w:tcPr>
            <w:tcW w:type="dxa" w:w="3312"/>
            <w:vAlign w:val="center"/>
          </w:tcPr>
          <w:p>
            <w:r>
              <w:t>High infrastructure cost</w:t>
            </w:r>
          </w:p>
        </w:tc>
        <w:tc>
          <w:tcPr>
            <w:tcW w:type="dxa" w:w="3312"/>
            <w:vAlign w:val="center"/>
          </w:tcPr>
          <w:p>
            <w:r>
              <w:t>Object storage, lifecycle policies and deduplication</w:t>
            </w:r>
          </w:p>
        </w:tc>
      </w:tr>
      <w:tr>
        <w:tc>
          <w:tcPr>
            <w:tcW w:type="dxa" w:w="3312"/>
            <w:vAlign w:val="center"/>
          </w:tcPr>
          <w:p>
            <w:r>
              <w:t>Complexity</w:t>
            </w:r>
          </w:p>
        </w:tc>
        <w:tc>
          <w:tcPr>
            <w:tcW w:type="dxa" w:w="3312"/>
            <w:vAlign w:val="center"/>
          </w:tcPr>
          <w:p>
            <w:r>
              <w:t>Slow development</w:t>
            </w:r>
          </w:p>
        </w:tc>
        <w:tc>
          <w:tcPr>
            <w:tcW w:type="dxa" w:w="3312"/>
            <w:vAlign w:val="center"/>
          </w:tcPr>
          <w:p>
            <w:r>
              <w:t>SDK boundaries and modular engines</w:t>
            </w:r>
          </w:p>
        </w:tc>
      </w:tr>
      <w:tr>
        <w:tc>
          <w:tcPr>
            <w:tcW w:type="dxa" w:w="3312"/>
            <w:vAlign w:val="center"/>
          </w:tcPr>
          <w:p>
            <w:r>
              <w:t>Hardware too early</w:t>
            </w:r>
          </w:p>
        </w:tc>
        <w:tc>
          <w:tcPr>
            <w:tcW w:type="dxa" w:w="3312"/>
            <w:vAlign w:val="center"/>
          </w:tcPr>
          <w:p>
            <w:r>
              <w:t>Capital and execution risk</w:t>
            </w:r>
          </w:p>
        </w:tc>
        <w:tc>
          <w:tcPr>
            <w:tcW w:type="dxa" w:w="3312"/>
            <w:vAlign w:val="center"/>
          </w:tcPr>
          <w:p>
            <w:r>
              <w:t>Software-first validation</w:t>
            </w:r>
          </w:p>
        </w:tc>
      </w:tr>
      <w:tr>
        <w:tc>
          <w:tcPr>
            <w:tcW w:type="dxa" w:w="3312"/>
            <w:vAlign w:val="center"/>
          </w:tcPr>
          <w:p>
            <w:r>
              <w:t>Weak customer adoption</w:t>
            </w:r>
          </w:p>
        </w:tc>
        <w:tc>
          <w:tcPr>
            <w:tcW w:type="dxa" w:w="3312"/>
            <w:vAlign w:val="center"/>
          </w:tcPr>
          <w:p>
            <w:r>
              <w:t>Low revenue</w:t>
            </w:r>
          </w:p>
        </w:tc>
        <w:tc>
          <w:tcPr>
            <w:tcW w:type="dxa" w:w="3312"/>
            <w:vAlign w:val="center"/>
          </w:tcPr>
          <w:p>
            <w:r>
              <w:t>Pilot with teachers and institutions before broad rollout</w:t>
            </w:r>
          </w:p>
        </w:tc>
      </w:tr>
      <w:tr>
        <w:tc>
          <w:tcPr>
            <w:tcW w:type="dxa" w:w="3312"/>
            <w:vAlign w:val="center"/>
          </w:tcPr>
          <w:p>
            <w:r>
              <w:t>Overclaiming novelty</w:t>
            </w:r>
          </w:p>
        </w:tc>
        <w:tc>
          <w:tcPr>
            <w:tcW w:type="dxa" w:w="3312"/>
            <w:vAlign w:val="center"/>
          </w:tcPr>
          <w:p>
            <w:r>
              <w:t>Investor/customer credibility risk</w:t>
            </w:r>
          </w:p>
        </w:tc>
        <w:tc>
          <w:tcPr>
            <w:tcW w:type="dxa" w:w="3312"/>
            <w:vAlign w:val="center"/>
          </w:tcPr>
          <w:p>
            <w:r>
              <w:t>Position EduOS around integration and institutional architecture, not generic AI invention</w:t>
            </w:r>
          </w:p>
        </w:tc>
      </w:tr>
    </w:tbl>
    <w:p>
      <w:pPr>
        <w:pStyle w:val="Heading1"/>
      </w:pPr>
      <w:r>
        <w:t>24. What Must Be Proven Before Calling EduOS Production-Ready</w:t>
      </w:r>
    </w:p>
    <w:p>
      <w:pPr>
        <w:pStyle w:val="ListNumber"/>
      </w:pPr>
      <w:r>
        <w:t>A teacher can upload real academic material and retrieve it accurately.</w:t>
      </w:r>
    </w:p>
    <w:p>
      <w:pPr>
        <w:pStyle w:val="ListNumber"/>
      </w:pPr>
      <w:r>
        <w:t>The RAG system respects institution, subject, unit and topic boundaries.</w:t>
      </w:r>
    </w:p>
    <w:p>
      <w:pPr>
        <w:pStyle w:val="ListNumber"/>
      </w:pPr>
      <w:r>
        <w:t>The same question produces grounded, useful answers consistently.</w:t>
      </w:r>
    </w:p>
    <w:p>
      <w:pPr>
        <w:pStyle w:val="ListNumber"/>
      </w:pPr>
      <w:r>
        <w:t>Question papers can be parsed reliably enough for real historical analysis.</w:t>
      </w:r>
    </w:p>
    <w:p>
      <w:pPr>
        <w:pStyle w:val="ListNumber"/>
      </w:pPr>
      <w:r>
        <w:t>Academic intelligence calculations are deterministic and explainable.</w:t>
      </w:r>
    </w:p>
    <w:p>
      <w:pPr>
        <w:pStyle w:val="ListNumber"/>
      </w:pPr>
      <w:r>
        <w:t>Generated lessons and assessments are useful to teachers and remain human-reviewable.</w:t>
      </w:r>
    </w:p>
    <w:p>
      <w:pPr>
        <w:pStyle w:val="ListNumber"/>
      </w:pPr>
      <w:r>
        <w:t>AI provider cost per active institution is measurable.</w:t>
      </w:r>
    </w:p>
    <w:p>
      <w:pPr>
        <w:pStyle w:val="ListNumber"/>
      </w:pPr>
      <w:r>
        <w:t>Tenant isolation has automated tests.</w:t>
      </w:r>
    </w:p>
    <w:p>
      <w:pPr>
        <w:pStyle w:val="ListNumber"/>
      </w:pPr>
      <w:r>
        <w:t>Security and secret management are validated.</w:t>
      </w:r>
    </w:p>
    <w:p>
      <w:pPr>
        <w:pStyle w:val="ListNumber"/>
      </w:pPr>
      <w:r>
        <w:t>Integration and end-to-end tests pass.</w:t>
      </w:r>
    </w:p>
    <w:p>
      <w:pPr>
        <w:pStyle w:val="ListNumber"/>
      </w:pPr>
      <w:r>
        <w:t>A real college pilot demonstrates measurable time savings or teaching-value improvement.</w:t>
      </w:r>
    </w:p>
    <w:p>
      <w:pPr>
        <w:pStyle w:val="ListNumber"/>
      </w:pPr>
      <w:r>
        <w:t>Only after these are demonstrated should a dedicated smart-board hardware program be considered.</w:t>
      </w:r>
    </w:p>
    <w:p>
      <w:pPr>
        <w:pStyle w:val="Heading1"/>
      </w:pPr>
      <w:r>
        <w:t>25. Investor Narrative</w:t>
      </w:r>
    </w:p>
    <w:p>
      <w:r>
        <w:t>The strongest investment story is not 'we built another AI chatbot'. It is:</w:t>
      </w:r>
    </w:p>
    <w:p>
      <w:r>
        <w:t>Education institutions already contain enormous amounts of academic knowledge, but that knowledge is fragmented across documents, presentations, videos, question papers and individual teacher workflows. EduOS creates an institutional intelligence layer that organizes that knowledge, makes it retrievable, analyzes historical academic patterns and turns it into useful teaching and learning workflows.</w:t>
      </w:r>
    </w:p>
    <w:p>
      <w:r>
        <w:t>The first product is software. The long-term platform can extend into classroom devices. This creates a potential software-to-hardware strategy: prove the intelligence layer first, establish institutional adoption, then make the classroom endpoint more deeply integrated.</w:t>
      </w:r>
    </w:p>
    <w:p>
      <w:r>
        <w:t>The commercial model begins with institutional annual licensing and can later expand through AI usage, premium modules, enterprise support and hardware/software bundles.</w:t>
      </w:r>
    </w:p>
    <w:p>
      <w:pPr>
        <w:pStyle w:val="Heading1"/>
      </w:pPr>
      <w:r>
        <w:t>26. Why EduOS Can Be Defensible</w:t>
      </w:r>
    </w:p>
    <w:p>
      <w:pPr>
        <w:pStyle w:val="ListBullet"/>
      </w:pPr>
      <w:r>
        <w:t>Institution-specific academic data and structure can become a valuable contextual layer.</w:t>
      </w:r>
    </w:p>
    <w:p>
      <w:pPr>
        <w:pStyle w:val="ListBullet"/>
      </w:pPr>
      <w:r>
        <w:t>The architecture is multi-tenant and designed for institution-scale deployment.</w:t>
      </w:r>
    </w:p>
    <w:p>
      <w:pPr>
        <w:pStyle w:val="ListBullet"/>
      </w:pPr>
      <w:r>
        <w:t>The SDK/kernel separation can allow multiple specialized engines to evolve without rewriting the foundation.</w:t>
      </w:r>
    </w:p>
    <w:p>
      <w:pPr>
        <w:pStyle w:val="ListBullet"/>
      </w:pPr>
      <w:r>
        <w:t>Historical academic intelligence can create institution-specific analytical value.</w:t>
      </w:r>
    </w:p>
    <w:p>
      <w:pPr>
        <w:pStyle w:val="ListBullet"/>
      </w:pPr>
      <w:r>
        <w:t>Teacher workflow integration can create daily product usage rather than occasional chatbot usage.</w:t>
      </w:r>
    </w:p>
    <w:p>
      <w:pPr>
        <w:pStyle w:val="ListBullet"/>
      </w:pPr>
      <w:r>
        <w:t>Future board integration can create a tighter software-hardware experience if the market validates it.</w:t>
      </w:r>
    </w:p>
    <w:p>
      <w:pPr>
        <w:pStyle w:val="ListBullet"/>
      </w:pPr>
      <w:r>
        <w:t>Provider abstraction reduces dependence on one model vendor.</w:t>
      </w:r>
    </w:p>
    <w:p>
      <w:r>
        <w:t>Important: these are defensibility hypotheses. Real defensibility will need to be demonstrated through customer adoption, proprietary integrations/data relationships, workflow depth, execution, security, and potentially intellectual-property protections where genuinely novel inventions exist.</w:t>
      </w:r>
    </w:p>
    <w:p>
      <w:pPr>
        <w:pStyle w:val="Heading1"/>
      </w:pPr>
      <w:r>
        <w:t>27. Final Product Definition</w:t>
      </w:r>
    </w:p>
    <w:p>
      <w:r>
        <w:t>EduOS Prototype = A software-layer implementation of the EduOS operating system concept + Institutional Knowledge Base + RAG + AI Orchestrator + Academic Intelligence.</w:t>
      </w:r>
    </w:p>
    <w:p>
      <w:r>
        <w:t>EduOS Product = EduOS operating system + SDK + Lesson/Assessment/Recommendation Engines + Teacher AI Assistant + Voice + Touch/Stylus + Live Lesson Assistance + Visual Explanations + Classroom Resource Access + Institution Management + Analytics + Cloud/Edge infrastructure.</w:t>
      </w:r>
    </w:p>
    <w:p>
      <w:r>
        <w:t>Future EduOS Hardware = Dedicated EduOS smart board running the product natively, with device management, secure device infrastructure, classroom peripherals and deeper hardware/software integration.</w:t>
      </w:r>
    </w:p>
    <w:p>
      <w:r>
        <w:t>The immediate objective is therefore clear: build and validate the EduOS prototype as a software layer first. Once the product workflows and institutional value are proven, the same operating system can be implemented more deeply and ultimately delivered through a dedicated EduOS smart board.</w:t>
      </w:r>
    </w:p>
    <w:p>
      <w:pPr>
        <w:pStyle w:val="Heading1"/>
      </w:pPr>
      <w:r>
        <w:t>28. External Research Sources</w:t>
      </w:r>
    </w:p>
    <w:p>
      <w:r>
        <w:t>The following sources were used for current market/competitive context. Capabilities and market estimates can change and should be revalidated before formal investor materials.</w:t>
      </w:r>
    </w:p>
    <w:p>
      <w:pPr>
        <w:pStyle w:val="ListBullet"/>
      </w:pPr>
      <w:r>
        <w:t>EY-Parthenon &amp; FICCI — Future-Ready Campuses / AI adoption in Indian higher education (2025).</w:t>
      </w:r>
    </w:p>
    <w:p>
      <w:pPr>
        <w:pStyle w:val="ListBullet"/>
      </w:pPr>
      <w:r>
        <w:t>Google for Education — Gemini for Education and Gemini in Google Classroom.</w:t>
      </w:r>
    </w:p>
    <w:p>
      <w:pPr>
        <w:pStyle w:val="ListBullet"/>
      </w:pPr>
      <w:r>
        <w:t>Microsoft Education — Microsoft Learning Zone / AI-powered teaching resources.</w:t>
      </w:r>
    </w:p>
    <w:p>
      <w:pPr>
        <w:pStyle w:val="ListBullet"/>
      </w:pPr>
      <w:r>
        <w:t>MagicSchool — AI platform for schools, educators and students.</w:t>
      </w:r>
    </w:p>
    <w:p>
      <w:pPr>
        <w:pStyle w:val="ListBullet"/>
      </w:pPr>
      <w:r>
        <w:t>Khan Academy — Khanmigo AI tutor.</w:t>
      </w:r>
    </w:p>
    <w:p>
      <w:pPr>
        <w:pStyle w:val="ListBullet"/>
      </w:pPr>
      <w:r>
        <w:t>Grand View Research — India AI in Education Market Outlook 2026–2033.</w:t>
      </w:r>
    </w:p>
    <w:p>
      <w:pPr>
        <w:pStyle w:val="ListBullet"/>
      </w:pPr>
      <w:r>
        <w:t>Academic research examples on RAG-based educational assistants and adaptive AI in higher education.</w:t>
      </w:r>
    </w:p>
    <w:p>
      <w:pPr>
        <w:pStyle w:val="Heading1"/>
      </w:pPr>
      <w:r>
        <w:t>29. Appendix — Core Prototype Data Hierarchy</w:t>
      </w:r>
    </w:p>
    <w:p>
      <w:r>
        <w:t>Institution</w:t>
      </w:r>
    </w:p>
    <w:p>
      <w:r>
        <w:t>└── Department</w:t>
      </w:r>
    </w:p>
    <w:p>
      <w:r>
        <w:t xml:space="preserve">    └── Program</w:t>
      </w:r>
    </w:p>
    <w:p>
      <w:r>
        <w:t xml:space="preserve">        └── Year</w:t>
      </w:r>
    </w:p>
    <w:p>
      <w:r>
        <w:t xml:space="preserve">            └── Semester</w:t>
      </w:r>
    </w:p>
    <w:p>
      <w:r>
        <w:t xml:space="preserve">                └── Subject</w:t>
      </w:r>
    </w:p>
    <w:p>
      <w:r>
        <w:t xml:space="preserve">                    └── Unit</w:t>
      </w:r>
    </w:p>
    <w:p>
      <w:r>
        <w:t xml:space="preserve">                        └── Topic</w:t>
      </w:r>
    </w:p>
    <w:p>
      <w:r>
        <w:t xml:space="preserve">                            ├── Notes</w:t>
      </w:r>
    </w:p>
    <w:p>
      <w:r>
        <w:t xml:space="preserve">                            ├── PPT</w:t>
      </w:r>
    </w:p>
    <w:p>
      <w:r>
        <w:t xml:space="preserve">                            ├── PDF</w:t>
      </w:r>
    </w:p>
    <w:p>
      <w:r>
        <w:t xml:space="preserve">                            ├── Question Papers</w:t>
      </w:r>
    </w:p>
    <w:p>
      <w:r>
        <w:t xml:space="preserve">                            ├── YouTube Resources</w:t>
      </w:r>
    </w:p>
    <w:p>
      <w:r>
        <w:t xml:space="preserve">                            ├── Knowledge Chunks</w:t>
      </w:r>
    </w:p>
    <w:p>
      <w:r>
        <w:t xml:space="preserve">                            ├── Embeddings</w:t>
      </w:r>
    </w:p>
    <w:p>
      <w:r>
        <w:t xml:space="preserve">                            ├── Academic Intelligence</w:t>
      </w:r>
    </w:p>
    <w:p>
      <w:r>
        <w:t xml:space="preserve">                            └── Recommendations</w:t>
      </w:r>
    </w:p>
    <w:p>
      <w:pPr>
        <w:pStyle w:val="Heading2"/>
      </w:pPr>
      <w:r>
        <w:t>Core prototype request flow</w:t>
      </w:r>
    </w:p>
    <w:p>
      <w:r>
        <w:t>Teacher Question → Tenant Context → Academic Context → Query Understanding → RAG Retrieval → Re-ranking/Filtering → Context Builder → AI Orchestrator → LLM → Validation → Grounded Response → Source/Resource References</w:t>
      </w:r>
    </w:p>
    <w:p>
      <w:pPr>
        <w:pStyle w:val="Heading2"/>
      </w:pPr>
      <w:r>
        <w:t>Academic intelligence flow</w:t>
      </w:r>
    </w:p>
    <w:p>
      <w:r>
        <w:t>Question Paper → Extraction → Question Segmentation → Topic Mapping → Difficulty/Bloom Analysis → Frequency + Marks Calculation → Topic Importance → Resource Recommendation → Teacher Insight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