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{Functional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Functional requirements are specific capabilities or functions that a system, software application, or product must have in order to meet the needs of its users. These requirements define what the system is supposed to do, how it should behave under certain conditions, and what outputs or results it should produce.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[Functional Requirements of educational institutes]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Admission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Educational institutions can streamline their admission processes and ensure efficient management of applications from submission to enrollment.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 Support Services: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Student support services encompass a variety of functions and systems aimed at enhancing the overall educational experience and well-being of students.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Teaching Methods: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Teaching methods serve as a guide for selecting and implementing appropriate educational technologies and LMS platforms to enhance the overall quality of teaching and learning experiences.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Assessment: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Educational institutions can establish robust assessment practices that support meaningful learning outcomes, inform instructional decision-making, and promote continuous improvement in teaching and curriculum design. These requirements serve as a framework for implementing effective assessment strategies that enhance the educational experience and support student success.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Facilities: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Describes the physical infrastructure needed, such as classrooms, laboratories, libraries, and recreational areas.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