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E010" w14:textId="77777777" w:rsidR="003670E8" w:rsidRPr="00677E16" w:rsidRDefault="003670E8" w:rsidP="003670E8">
      <w:pPr>
        <w:keepNext/>
        <w:keepLines/>
        <w:tabs>
          <w:tab w:val="left" w:pos="5184"/>
        </w:tabs>
        <w:spacing w:before="320" w:after="240" w:line="300" w:lineRule="exact"/>
        <w:ind w:left="567" w:right="1134"/>
        <w:rPr>
          <w:b/>
          <w:sz w:val="28"/>
        </w:rPr>
      </w:pPr>
      <w:bookmarkStart w:id="0" w:name="_Toc485284858"/>
      <w:bookmarkStart w:id="1" w:name="_Toc485284941"/>
      <w:r w:rsidRPr="00677E16">
        <w:rPr>
          <w:b/>
          <w:sz w:val="28"/>
        </w:rPr>
        <w:t>Draft decision -/CMA.6</w:t>
      </w:r>
    </w:p>
    <w:p w14:paraId="186090AB" w14:textId="77777777" w:rsidR="003670E8" w:rsidRPr="00677E16" w:rsidRDefault="003670E8" w:rsidP="003670E8">
      <w:pPr>
        <w:keepNext/>
        <w:keepLines/>
        <w:spacing w:before="360" w:after="240" w:line="300" w:lineRule="exact"/>
        <w:ind w:left="567" w:right="1134"/>
        <w:rPr>
          <w:b/>
          <w:sz w:val="28"/>
        </w:rPr>
      </w:pPr>
      <w:r w:rsidRPr="00677E16">
        <w:rPr>
          <w:b/>
          <w:sz w:val="28"/>
        </w:rPr>
        <w:t>Matters relating to cooperative approaches referred to in Article 6, paragraph 2, of the Paris Agreement</w:t>
      </w:r>
    </w:p>
    <w:p w14:paraId="4B9AB534" w14:textId="77777777" w:rsidR="003670E8" w:rsidRPr="00677E16" w:rsidRDefault="003670E8" w:rsidP="003670E8">
      <w:pPr>
        <w:spacing w:after="120"/>
        <w:ind w:left="1134" w:right="1133" w:firstLine="567"/>
        <w:jc w:val="both"/>
        <w:rPr>
          <w:i/>
        </w:rPr>
      </w:pPr>
      <w:r w:rsidRPr="00677E16">
        <w:rPr>
          <w:i/>
        </w:rPr>
        <w:t>The Conference of the Parties serving as the meeting of the Parties to the Paris Agreement</w:t>
      </w:r>
      <w:r w:rsidRPr="00677E16">
        <w:t>,</w:t>
      </w:r>
      <w:r w:rsidRPr="00677E16">
        <w:rPr>
          <w:i/>
        </w:rPr>
        <w:t xml:space="preserve"> </w:t>
      </w:r>
    </w:p>
    <w:p w14:paraId="092677DE" w14:textId="77777777" w:rsidR="003670E8" w:rsidRPr="00677E16" w:rsidRDefault="003670E8" w:rsidP="003670E8">
      <w:pPr>
        <w:spacing w:after="120"/>
        <w:ind w:left="1134" w:right="-1" w:firstLine="567"/>
        <w:jc w:val="both"/>
      </w:pPr>
      <w:r w:rsidRPr="00677E16">
        <w:rPr>
          <w:i/>
        </w:rPr>
        <w:t xml:space="preserve">Recalling </w:t>
      </w:r>
      <w:r w:rsidRPr="00677E16">
        <w:t>decision 2/CMA.3 and its annex,</w:t>
      </w:r>
    </w:p>
    <w:p w14:paraId="23D12950" w14:textId="77777777" w:rsidR="003670E8" w:rsidRPr="00677E16" w:rsidRDefault="003670E8" w:rsidP="003670E8">
      <w:pPr>
        <w:spacing w:after="120"/>
        <w:ind w:left="1134" w:right="-1" w:firstLine="567"/>
        <w:jc w:val="both"/>
      </w:pPr>
      <w:r w:rsidRPr="00677E16">
        <w:rPr>
          <w:i/>
        </w:rPr>
        <w:tab/>
        <w:t>Also recalling</w:t>
      </w:r>
      <w:r w:rsidRPr="00677E16">
        <w:t xml:space="preserve"> decision 6/CMA.4 and its annexes, </w:t>
      </w:r>
    </w:p>
    <w:p w14:paraId="2A2A953D" w14:textId="77777777" w:rsidR="003670E8" w:rsidRPr="00677E16" w:rsidRDefault="003670E8" w:rsidP="003670E8">
      <w:pPr>
        <w:keepNext/>
        <w:keepLines/>
        <w:numPr>
          <w:ilvl w:val="0"/>
          <w:numId w:val="1"/>
        </w:numPr>
        <w:tabs>
          <w:tab w:val="left" w:pos="1701"/>
        </w:tabs>
        <w:spacing w:before="360" w:after="240" w:line="300" w:lineRule="exact"/>
        <w:ind w:right="1134"/>
        <w:jc w:val="both"/>
        <w:rPr>
          <w:i/>
        </w:rPr>
      </w:pPr>
      <w:r w:rsidRPr="00677E16">
        <w:rPr>
          <w:b/>
          <w:sz w:val="28"/>
        </w:rPr>
        <w:t>Scope and definition of a cooperative approach</w:t>
      </w:r>
    </w:p>
    <w:p w14:paraId="3EAC2153" w14:textId="77777777" w:rsidR="003670E8" w:rsidRPr="00677E16" w:rsidRDefault="003670E8" w:rsidP="003670E8">
      <w:pPr>
        <w:tabs>
          <w:tab w:val="left" w:pos="1701"/>
        </w:tabs>
        <w:spacing w:after="120"/>
        <w:ind w:left="1135" w:right="1134"/>
        <w:jc w:val="both"/>
        <w:rPr>
          <w:b/>
          <w:bCs/>
        </w:rPr>
      </w:pPr>
      <w:r w:rsidRPr="00677E16">
        <w:rPr>
          <w:b/>
          <w:bCs/>
        </w:rPr>
        <w:t xml:space="preserve">Option </w:t>
      </w:r>
      <w:r>
        <w:rPr>
          <w:b/>
          <w:bCs/>
        </w:rPr>
        <w:t>1</w:t>
      </w:r>
    </w:p>
    <w:p w14:paraId="6C8730A9" w14:textId="1DB411A1" w:rsidR="003670E8" w:rsidRPr="000B23AA" w:rsidRDefault="003670E8" w:rsidP="003670E8">
      <w:pPr>
        <w:numPr>
          <w:ilvl w:val="5"/>
          <w:numId w:val="9"/>
        </w:numPr>
        <w:spacing w:after="120"/>
        <w:ind w:left="1134" w:right="1134"/>
        <w:jc w:val="both"/>
      </w:pPr>
      <w:r w:rsidRPr="00724DF4">
        <w:rPr>
          <w:i/>
          <w:iCs/>
        </w:rPr>
        <w:t>Decides</w:t>
      </w:r>
      <w:r w:rsidRPr="00677E16">
        <w:t xml:space="preserve"> that a cooperative approach is the voluntary participation of a Party and/or  Parties incorporated with respect to cooperation, as mutually agreed, in implementing their nationally determined contributions and allow for  </w:t>
      </w:r>
      <w:r w:rsidRPr="001056F6">
        <w:t>higher</w:t>
      </w:r>
      <w:r>
        <w:t xml:space="preserve"> </w:t>
      </w:r>
      <w:r w:rsidRPr="00677E16">
        <w:t xml:space="preserve">ambition in their mitigation and adaptation </w:t>
      </w:r>
      <w:r w:rsidRPr="001056F6">
        <w:t>actions</w:t>
      </w:r>
      <w:r w:rsidRPr="00677E16">
        <w:t xml:space="preserve"> and to </w:t>
      </w:r>
      <w:r w:rsidRPr="001056F6">
        <w:t>promote</w:t>
      </w:r>
      <w:r w:rsidRPr="00677E16">
        <w:t xml:space="preserve"> sustainable development and environmental integrity and to do the fairness transfer and use the internationally transferred mitigation outcomes that are consistent with requirements of relevance and a decision relating to the Article 6, paragraph 2;</w:t>
      </w:r>
    </w:p>
    <w:p w14:paraId="1962B67D" w14:textId="77777777" w:rsidR="003670E8" w:rsidRDefault="003670E8" w:rsidP="003670E8">
      <w:pPr>
        <w:spacing w:after="120"/>
        <w:ind w:left="567" w:right="1134" w:firstLine="567"/>
        <w:jc w:val="both"/>
        <w:rPr>
          <w:b/>
          <w:bCs/>
        </w:rPr>
      </w:pPr>
      <w:r>
        <w:rPr>
          <w:b/>
          <w:bCs/>
        </w:rPr>
        <w:t>Option 2</w:t>
      </w:r>
    </w:p>
    <w:p w14:paraId="7AFF8CE2" w14:textId="77777777" w:rsidR="003670E8" w:rsidRPr="003F5DC9" w:rsidRDefault="003670E8" w:rsidP="003670E8">
      <w:pPr>
        <w:numPr>
          <w:ilvl w:val="5"/>
          <w:numId w:val="9"/>
        </w:numPr>
        <w:tabs>
          <w:tab w:val="left" w:pos="1701"/>
        </w:tabs>
        <w:spacing w:after="120"/>
        <w:ind w:left="1134" w:right="1134"/>
        <w:jc w:val="both"/>
      </w:pPr>
      <w:r w:rsidRPr="00DF50E3">
        <w:rPr>
          <w:i/>
          <w:iCs/>
        </w:rPr>
        <w:t>Recall</w:t>
      </w:r>
      <w:r w:rsidRPr="003F5DC9">
        <w:rPr>
          <w:i/>
          <w:iCs/>
        </w:rPr>
        <w:t>s</w:t>
      </w:r>
      <w:r w:rsidRPr="003F5DC9">
        <w:t xml:space="preserve"> </w:t>
      </w:r>
      <w:r>
        <w:t xml:space="preserve">Article 6, </w:t>
      </w:r>
      <w:r w:rsidRPr="003F5DC9">
        <w:t>paragraph 1</w:t>
      </w:r>
      <w:r>
        <w:t>,</w:t>
      </w:r>
      <w:r w:rsidRPr="003F5DC9">
        <w:t xml:space="preserve"> of the Paris agreement and decision 2/CMA.3 annex</w:t>
      </w:r>
      <w:r>
        <w:t>,</w:t>
      </w:r>
      <w:r w:rsidRPr="003F5DC9">
        <w:t xml:space="preserve"> paragraph 1</w:t>
      </w:r>
      <w:r>
        <w:t xml:space="preserve"> that</w:t>
      </w:r>
      <w:r w:rsidRPr="003F5DC9">
        <w:t xml:space="preserve"> a cooperative approach is:</w:t>
      </w:r>
    </w:p>
    <w:p w14:paraId="38CCB223" w14:textId="77777777" w:rsidR="003670E8" w:rsidRPr="003F5DC9" w:rsidRDefault="003670E8" w:rsidP="003670E8">
      <w:pPr>
        <w:numPr>
          <w:ilvl w:val="6"/>
          <w:numId w:val="9"/>
        </w:numPr>
        <w:spacing w:after="120"/>
        <w:ind w:right="1134"/>
        <w:jc w:val="both"/>
      </w:pPr>
      <w:r w:rsidRPr="003F5DC9">
        <w:t>The voluntary participation of a Party or Parties in respect to an agreed scope, standards and procedures that involves the international transfer of mitigation outcomes authorized for use towards NDC or other international mitigation purposes</w:t>
      </w:r>
      <w:r>
        <w:t>;</w:t>
      </w:r>
    </w:p>
    <w:p w14:paraId="1FDAC242" w14:textId="77777777" w:rsidR="003670E8" w:rsidRPr="003F5DC9" w:rsidRDefault="003670E8" w:rsidP="003670E8">
      <w:pPr>
        <w:numPr>
          <w:ilvl w:val="6"/>
          <w:numId w:val="9"/>
        </w:numPr>
        <w:spacing w:after="120"/>
        <w:ind w:right="1134"/>
        <w:jc w:val="both"/>
      </w:pPr>
      <w:r w:rsidRPr="003F5DC9">
        <w:t xml:space="preserve">The relationship of the cooperative approach with any underlying mechanism(s) or framework(s) or approaches that are consistent with the relevant CMA decisions; </w:t>
      </w:r>
    </w:p>
    <w:p w14:paraId="265B13C7" w14:textId="785751AF" w:rsidR="003670E8" w:rsidRDefault="00504821" w:rsidP="003670E8">
      <w:pPr>
        <w:numPr>
          <w:ilvl w:val="5"/>
          <w:numId w:val="9"/>
        </w:numPr>
        <w:tabs>
          <w:tab w:val="left" w:pos="1701"/>
        </w:tabs>
        <w:spacing w:after="120"/>
        <w:ind w:left="1134" w:right="1134"/>
        <w:jc w:val="both"/>
      </w:pPr>
      <w:r>
        <w:rPr>
          <w:i/>
        </w:rPr>
        <w:t>[</w:t>
      </w:r>
      <w:r w:rsidR="003670E8">
        <w:rPr>
          <w:i/>
        </w:rPr>
        <w:t>[Decides][</w:t>
      </w:r>
      <w:r w:rsidR="003670E8" w:rsidRPr="00F01727">
        <w:rPr>
          <w:i/>
        </w:rPr>
        <w:t>Clarifies</w:t>
      </w:r>
      <w:r w:rsidR="003670E8">
        <w:rPr>
          <w:i/>
        </w:rPr>
        <w:t>]</w:t>
      </w:r>
      <w:r w:rsidR="003670E8" w:rsidRPr="003F5DC9">
        <w:t xml:space="preserve"> that a cooperative approach for use towards the achievement of an NDC shall involve at least two participating Parties and that a cooperative approach for use for other international mitigation purposes shall involve at least one participating Party</w:t>
      </w:r>
      <w:r w:rsidR="003670E8">
        <w:t>;</w:t>
      </w:r>
    </w:p>
    <w:p w14:paraId="0F127CCF" w14:textId="2A2B356C" w:rsidR="003670E8" w:rsidRPr="00F01727" w:rsidRDefault="003670E8" w:rsidP="003670E8">
      <w:pPr>
        <w:numPr>
          <w:ilvl w:val="5"/>
          <w:numId w:val="9"/>
        </w:numPr>
        <w:tabs>
          <w:tab w:val="left" w:pos="1701"/>
        </w:tabs>
        <w:spacing w:after="120"/>
        <w:ind w:left="1134" w:right="1134"/>
        <w:jc w:val="both"/>
      </w:pPr>
      <w:r w:rsidRPr="007D2393">
        <w:rPr>
          <w:i/>
        </w:rPr>
        <w:t>Decides</w:t>
      </w:r>
      <w:r w:rsidRPr="003F5DC9">
        <w:t xml:space="preserve"> that mitigation outcomes authorized for use towards the achievement of an NDC or other international mitigation purposes by a first transferring Party shall only be used or </w:t>
      </w:r>
      <w:r w:rsidRPr="009B0325">
        <w:t>cancelled</w:t>
      </w:r>
      <w:r w:rsidRPr="00DC26FE">
        <w:t xml:space="preserve"> by a participating Party or an entity authorized by the Party participating in the cooperative approach</w:t>
      </w:r>
      <w:r>
        <w:t>;</w:t>
      </w:r>
      <w:r w:rsidR="00504821">
        <w:t>]</w:t>
      </w:r>
    </w:p>
    <w:p w14:paraId="534AB790" w14:textId="77777777" w:rsidR="003670E8" w:rsidRPr="00677E16" w:rsidRDefault="003670E8" w:rsidP="003670E8">
      <w:pPr>
        <w:spacing w:after="120"/>
        <w:ind w:left="567" w:right="1134" w:firstLine="567"/>
        <w:jc w:val="both"/>
      </w:pPr>
      <w:r w:rsidRPr="00677E16">
        <w:rPr>
          <w:b/>
          <w:bCs/>
        </w:rPr>
        <w:t xml:space="preserve">Option </w:t>
      </w:r>
      <w:r>
        <w:rPr>
          <w:b/>
          <w:bCs/>
        </w:rPr>
        <w:t>3</w:t>
      </w:r>
      <w:r w:rsidRPr="00677E16">
        <w:rPr>
          <w:b/>
          <w:bCs/>
        </w:rPr>
        <w:t xml:space="preserve">: </w:t>
      </w:r>
      <w:r w:rsidRPr="00677E16">
        <w:t>{</w:t>
      </w:r>
      <w:r w:rsidRPr="00677E16">
        <w:rPr>
          <w:i/>
          <w:iCs/>
        </w:rPr>
        <w:t>No text required</w:t>
      </w:r>
      <w:r w:rsidRPr="00677E16">
        <w:t>}</w:t>
      </w:r>
    </w:p>
    <w:p w14:paraId="7470E926" w14:textId="77777777" w:rsidR="003670E8" w:rsidRPr="00C47D16" w:rsidRDefault="003670E8" w:rsidP="003670E8">
      <w:pPr>
        <w:keepNext/>
        <w:keepLines/>
        <w:numPr>
          <w:ilvl w:val="0"/>
          <w:numId w:val="1"/>
        </w:numPr>
        <w:tabs>
          <w:tab w:val="left" w:pos="1701"/>
        </w:tabs>
        <w:spacing w:before="360" w:after="240" w:line="300" w:lineRule="exact"/>
        <w:ind w:right="1134"/>
        <w:jc w:val="both"/>
        <w:rPr>
          <w:b/>
          <w:sz w:val="28"/>
        </w:rPr>
      </w:pPr>
      <w:r>
        <w:lastRenderedPageBreak/>
        <w:t>[</w:t>
      </w:r>
      <w:r w:rsidRPr="00C47D16">
        <w:rPr>
          <w:b/>
          <w:sz w:val="28"/>
        </w:rPr>
        <w:t>Further guidance on initial reports] [Additional upfront information on implementation of elements of the guidance]</w:t>
      </w:r>
    </w:p>
    <w:p w14:paraId="2AAD4ED7" w14:textId="77777777" w:rsidR="003670E8" w:rsidRPr="00FC52E9" w:rsidRDefault="003670E8" w:rsidP="003C28AB">
      <w:pPr>
        <w:keepNext/>
        <w:tabs>
          <w:tab w:val="left" w:pos="1701"/>
        </w:tabs>
        <w:spacing w:after="120"/>
        <w:ind w:left="1134" w:right="1134"/>
        <w:jc w:val="both"/>
        <w:rPr>
          <w:b/>
        </w:rPr>
      </w:pPr>
      <w:r w:rsidRPr="00FC52E9">
        <w:rPr>
          <w:b/>
        </w:rPr>
        <w:t>Option 1:</w:t>
      </w:r>
      <w:r>
        <w:rPr>
          <w:b/>
        </w:rPr>
        <w:t xml:space="preserve"> </w:t>
      </w:r>
      <w:r w:rsidRPr="00FC52E9">
        <w:rPr>
          <w:b/>
        </w:rPr>
        <w:t>{</w:t>
      </w:r>
      <w:r w:rsidRPr="001E749E">
        <w:rPr>
          <w:b/>
          <w:bCs/>
          <w:i/>
        </w:rPr>
        <w:t xml:space="preserve">Further guidance on initial </w:t>
      </w:r>
      <w:r w:rsidRPr="001E749E">
        <w:rPr>
          <w:b/>
          <w:bCs/>
          <w:i/>
          <w:iCs/>
        </w:rPr>
        <w:t>reports</w:t>
      </w:r>
      <w:r w:rsidRPr="00FC52E9">
        <w:rPr>
          <w:b/>
          <w:bCs/>
        </w:rPr>
        <w:t>}</w:t>
      </w:r>
    </w:p>
    <w:p w14:paraId="55B667A5" w14:textId="77777777" w:rsidR="003670E8" w:rsidRPr="009E57DC" w:rsidRDefault="003670E8" w:rsidP="003670E8">
      <w:pPr>
        <w:numPr>
          <w:ilvl w:val="5"/>
          <w:numId w:val="9"/>
        </w:numPr>
        <w:tabs>
          <w:tab w:val="left" w:pos="1701"/>
        </w:tabs>
        <w:spacing w:after="120"/>
        <w:ind w:left="1134" w:right="1134"/>
        <w:jc w:val="both"/>
        <w:rPr>
          <w:b/>
        </w:rPr>
      </w:pPr>
      <w:r w:rsidRPr="001E749E">
        <w:rPr>
          <w:bCs/>
        </w:rPr>
        <w:t>[</w:t>
      </w:r>
      <w:r w:rsidRPr="00B02079">
        <w:rPr>
          <w:bCs/>
          <w:i/>
          <w:iCs/>
        </w:rPr>
        <w:t>Decides</w:t>
      </w:r>
      <w:r w:rsidRPr="001E749E">
        <w:rPr>
          <w:bCs/>
        </w:rPr>
        <w:t>][</w:t>
      </w:r>
      <w:r w:rsidRPr="00B02079">
        <w:rPr>
          <w:bCs/>
          <w:i/>
          <w:iCs/>
        </w:rPr>
        <w:t>Requests</w:t>
      </w:r>
      <w:r w:rsidRPr="00B74C12">
        <w:rPr>
          <w:bCs/>
        </w:rPr>
        <w:t xml:space="preserve">] </w:t>
      </w:r>
      <w:r>
        <w:rPr>
          <w:bCs/>
        </w:rPr>
        <w:t>that participating Parties, in providing information in its initial report in respect of decision 2/CMA.3, annex, paragraph 18(a), [shall][should] include, if applicable, the [</w:t>
      </w:r>
      <w:r>
        <w:t>i</w:t>
      </w:r>
      <w:r w:rsidRPr="0011230C">
        <w:t xml:space="preserve">dentification of the authorizing Party’s Registry or </w:t>
      </w:r>
      <w:r w:rsidRPr="003204B2">
        <w:t>other registries involved in the cooperative approach for the purpose of tracking that recor</w:t>
      </w:r>
      <w:r w:rsidRPr="0011230C">
        <w:t>ds internationally transferred mitigation outcomes</w:t>
      </w:r>
      <w:r>
        <w:t xml:space="preserve"> </w:t>
      </w:r>
      <w:r w:rsidRPr="0011230C">
        <w:t>as per decision 2/CMA.3, annex, chapter VI</w:t>
      </w:r>
      <w:r>
        <w:t>]</w:t>
      </w:r>
      <w:r>
        <w:rPr>
          <w:bCs/>
        </w:rPr>
        <w:t>;</w:t>
      </w:r>
    </w:p>
    <w:p w14:paraId="51B3011A" w14:textId="77777777" w:rsidR="003670E8" w:rsidRDefault="003670E8" w:rsidP="003670E8">
      <w:pPr>
        <w:numPr>
          <w:ilvl w:val="5"/>
          <w:numId w:val="9"/>
        </w:numPr>
        <w:tabs>
          <w:tab w:val="left" w:pos="1701"/>
        </w:tabs>
        <w:spacing w:after="120"/>
        <w:ind w:left="1134" w:right="1134"/>
        <w:jc w:val="both"/>
        <w:rPr>
          <w:bCs/>
        </w:rPr>
      </w:pPr>
      <w:r w:rsidRPr="00B74C12">
        <w:rPr>
          <w:bCs/>
        </w:rPr>
        <w:t>[</w:t>
      </w:r>
      <w:r w:rsidRPr="00B02079">
        <w:rPr>
          <w:bCs/>
          <w:i/>
          <w:iCs/>
        </w:rPr>
        <w:t>Decides</w:t>
      </w:r>
      <w:r w:rsidRPr="00B74C12">
        <w:rPr>
          <w:bCs/>
        </w:rPr>
        <w:t>][</w:t>
      </w:r>
      <w:r w:rsidRPr="00B02079">
        <w:rPr>
          <w:bCs/>
          <w:i/>
          <w:iCs/>
        </w:rPr>
        <w:t>Requests</w:t>
      </w:r>
      <w:r w:rsidRPr="00B74C12">
        <w:rPr>
          <w:bCs/>
        </w:rPr>
        <w:t>]</w:t>
      </w:r>
      <w:r>
        <w:rPr>
          <w:bCs/>
        </w:rPr>
        <w:t xml:space="preserve"> that participating Parties, in providing information in its initial report in respect of decision 2/CMA.3, annex, paragraph 18(c), [shall][should] include, if applicable, the following: </w:t>
      </w:r>
    </w:p>
    <w:p w14:paraId="5B3E2C51" w14:textId="77777777" w:rsidR="003670E8" w:rsidRPr="0011230C" w:rsidRDefault="003670E8" w:rsidP="003C28AB">
      <w:pPr>
        <w:pStyle w:val="RegSingleTxtG2"/>
        <w:numPr>
          <w:ilvl w:val="6"/>
          <w:numId w:val="11"/>
        </w:numPr>
      </w:pPr>
      <w:r w:rsidRPr="0011230C">
        <w:t xml:space="preserve">Metrics and units </w:t>
      </w:r>
      <w:r>
        <w:t>and</w:t>
      </w:r>
      <w:r w:rsidRPr="0011230C">
        <w:t xml:space="preserve"> methods for its measurement or conversion and the greenhouse gases covered;</w:t>
      </w:r>
    </w:p>
    <w:p w14:paraId="7B371283" w14:textId="77777777" w:rsidR="003670E8" w:rsidRPr="0011230C" w:rsidRDefault="003670E8" w:rsidP="003C28AB">
      <w:pPr>
        <w:pStyle w:val="RegSingleTxtG2"/>
        <w:numPr>
          <w:ilvl w:val="6"/>
          <w:numId w:val="11"/>
        </w:numPr>
      </w:pPr>
      <w:r>
        <w:t>S</w:t>
      </w:r>
      <w:r w:rsidRPr="0011230C">
        <w:t>pecification of the indicators to which corresponding adjustments will be applied;</w:t>
      </w:r>
    </w:p>
    <w:p w14:paraId="0ACE2BCC" w14:textId="77777777" w:rsidR="003670E8" w:rsidRPr="0011230C" w:rsidRDefault="003670E8" w:rsidP="003C28AB">
      <w:pPr>
        <w:pStyle w:val="RegSingleTxtG2"/>
        <w:numPr>
          <w:ilvl w:val="6"/>
          <w:numId w:val="11"/>
        </w:numPr>
      </w:pPr>
      <w:r w:rsidRPr="0011230C">
        <w:t>The methods used for establishing the indicative trajectory, trajectories or budgets and the resulting trajectory, trajectories or budget for each relevant indicator, where applicable;</w:t>
      </w:r>
    </w:p>
    <w:p w14:paraId="2272DC7F" w14:textId="77777777" w:rsidR="003670E8" w:rsidRPr="00EA1A04" w:rsidRDefault="003670E8" w:rsidP="003C28AB">
      <w:pPr>
        <w:pStyle w:val="RegSingleTxtG2"/>
        <w:numPr>
          <w:ilvl w:val="6"/>
          <w:numId w:val="11"/>
        </w:numPr>
        <w:rPr>
          <w:b/>
        </w:rPr>
      </w:pPr>
      <w:r>
        <w:t xml:space="preserve">How </w:t>
      </w:r>
      <w:r w:rsidRPr="0011230C">
        <w:t>the method for applying corresponding adjustments ensures that the implementation of the cooperative approach(es) do(es) not lead to a net increase in emissions of participating Parties within and between NDC implementation periods and that corresponding adjustments are representative of and consistent with participating Parties’ NDC implementation and achievement;</w:t>
      </w:r>
    </w:p>
    <w:p w14:paraId="2B81AE22" w14:textId="77777777" w:rsidR="003670E8" w:rsidRPr="004B02D1" w:rsidRDefault="003670E8" w:rsidP="003670E8">
      <w:pPr>
        <w:numPr>
          <w:ilvl w:val="5"/>
          <w:numId w:val="9"/>
        </w:numPr>
        <w:tabs>
          <w:tab w:val="left" w:pos="1701"/>
        </w:tabs>
        <w:spacing w:after="120"/>
        <w:ind w:left="1134" w:right="1134"/>
        <w:jc w:val="both"/>
        <w:rPr>
          <w:b/>
        </w:rPr>
      </w:pPr>
      <w:r w:rsidRPr="00B74C12">
        <w:rPr>
          <w:bCs/>
        </w:rPr>
        <w:t>[</w:t>
      </w:r>
      <w:r w:rsidRPr="00B02079">
        <w:rPr>
          <w:bCs/>
          <w:i/>
          <w:iCs/>
        </w:rPr>
        <w:t>Decides</w:t>
      </w:r>
      <w:r w:rsidRPr="00B74C12">
        <w:rPr>
          <w:bCs/>
        </w:rPr>
        <w:t>][</w:t>
      </w:r>
      <w:r w:rsidRPr="00B02079">
        <w:rPr>
          <w:bCs/>
          <w:i/>
          <w:iCs/>
        </w:rPr>
        <w:t>Requests</w:t>
      </w:r>
      <w:r w:rsidRPr="00B74C12">
        <w:rPr>
          <w:bCs/>
        </w:rPr>
        <w:t>]</w:t>
      </w:r>
      <w:r>
        <w:rPr>
          <w:bCs/>
        </w:rPr>
        <w:t xml:space="preserve"> that participating Parties, in providing information in its initial report in respect of decision 2/CMA.3, annex, paragraph 18(d), [shall][should] include, if applicable,</w:t>
      </w:r>
      <w:r w:rsidRPr="001445F5">
        <w:t xml:space="preserve"> </w:t>
      </w:r>
      <w:r w:rsidRPr="0011230C">
        <w:t>which methodological approaches are used for quantifying the mitigation outcomes derived from the cooperative approach</w:t>
      </w:r>
      <w:r>
        <w:t>;</w:t>
      </w:r>
    </w:p>
    <w:p w14:paraId="29021875" w14:textId="20152289" w:rsidR="003670E8" w:rsidRDefault="003670E8" w:rsidP="003670E8">
      <w:pPr>
        <w:numPr>
          <w:ilvl w:val="5"/>
          <w:numId w:val="9"/>
        </w:numPr>
        <w:tabs>
          <w:tab w:val="left" w:pos="1701"/>
        </w:tabs>
        <w:spacing w:after="120"/>
        <w:ind w:left="1134" w:right="1134"/>
        <w:jc w:val="both"/>
        <w:rPr>
          <w:bCs/>
        </w:rPr>
      </w:pPr>
      <w:r w:rsidRPr="0090277B">
        <w:rPr>
          <w:bCs/>
        </w:rPr>
        <w:t>[</w:t>
      </w:r>
      <w:r w:rsidRPr="00B02079">
        <w:rPr>
          <w:bCs/>
          <w:i/>
          <w:iCs/>
        </w:rPr>
        <w:t>Decides</w:t>
      </w:r>
      <w:r w:rsidRPr="0090277B">
        <w:rPr>
          <w:bCs/>
        </w:rPr>
        <w:t>][</w:t>
      </w:r>
      <w:r w:rsidRPr="00B02079">
        <w:rPr>
          <w:bCs/>
          <w:i/>
          <w:iCs/>
        </w:rPr>
        <w:t>Requests</w:t>
      </w:r>
      <w:r w:rsidRPr="0090277B">
        <w:rPr>
          <w:bCs/>
        </w:rPr>
        <w:t>]</w:t>
      </w:r>
      <w:r>
        <w:rPr>
          <w:bCs/>
        </w:rPr>
        <w:t xml:space="preserve"> that participating Parties, in providing information in its initial report in respect of decision 2/CMA.3, annex, paragraph 18(h)(i), [shall][should] include, if applicable, the following:</w:t>
      </w:r>
    </w:p>
    <w:p w14:paraId="50710CA1" w14:textId="77777777" w:rsidR="003670E8" w:rsidRPr="0011230C" w:rsidRDefault="003670E8" w:rsidP="003C28AB">
      <w:pPr>
        <w:numPr>
          <w:ilvl w:val="6"/>
          <w:numId w:val="9"/>
        </w:numPr>
        <w:tabs>
          <w:tab w:val="clear" w:pos="1702"/>
          <w:tab w:val="left" w:pos="1701"/>
        </w:tabs>
        <w:spacing w:after="120"/>
        <w:ind w:right="1134"/>
        <w:jc w:val="both"/>
      </w:pPr>
      <w:r>
        <w:t>H</w:t>
      </w:r>
      <w:r w:rsidRPr="0011230C">
        <w:t xml:space="preserve">ow the cooperative approach facilitates the achievement of the long-term goals of the Paris </w:t>
      </w:r>
      <w:r w:rsidRPr="003670E8">
        <w:rPr>
          <w:bCs/>
        </w:rPr>
        <w:t>Agreement</w:t>
      </w:r>
      <w:r w:rsidRPr="0011230C">
        <w:t xml:space="preserve"> and avoids locking in emission levels, technologies or practices that are inconsistent with achieving those goals;</w:t>
      </w:r>
    </w:p>
    <w:p w14:paraId="1BFE6B4F" w14:textId="77777777" w:rsidR="003670E8" w:rsidRPr="0011230C" w:rsidRDefault="003670E8" w:rsidP="003670E8">
      <w:pPr>
        <w:numPr>
          <w:ilvl w:val="6"/>
          <w:numId w:val="9"/>
        </w:numPr>
        <w:tabs>
          <w:tab w:val="clear" w:pos="1702"/>
          <w:tab w:val="left" w:pos="1701"/>
        </w:tabs>
        <w:spacing w:after="120"/>
        <w:ind w:right="1134"/>
        <w:jc w:val="both"/>
      </w:pPr>
      <w:r>
        <w:t>H</w:t>
      </w:r>
      <w:r w:rsidRPr="0011230C">
        <w:t xml:space="preserve">ow the participation in each cooperative approach and all cooperative approaches in which </w:t>
      </w:r>
      <w:r w:rsidRPr="003670E8">
        <w:rPr>
          <w:bCs/>
        </w:rPr>
        <w:t>the</w:t>
      </w:r>
      <w:r w:rsidRPr="0011230C">
        <w:t xml:space="preserve"> Party participates combined contributes to the implementation of its NDC and long-term low-emission development strategy, if it has submitted one, and the long-term goals of the Paris Agreement;</w:t>
      </w:r>
    </w:p>
    <w:p w14:paraId="0A6781FB" w14:textId="7FDC7EA8" w:rsidR="003670E8" w:rsidRPr="00F31FC0" w:rsidRDefault="003670E8" w:rsidP="003670E8">
      <w:pPr>
        <w:numPr>
          <w:ilvl w:val="6"/>
          <w:numId w:val="9"/>
        </w:numPr>
        <w:tabs>
          <w:tab w:val="clear" w:pos="1702"/>
          <w:tab w:val="left" w:pos="1701"/>
        </w:tabs>
        <w:spacing w:after="120"/>
        <w:ind w:right="1134"/>
        <w:jc w:val="both"/>
        <w:rPr>
          <w:b/>
        </w:rPr>
      </w:pPr>
      <w:r>
        <w:t>H</w:t>
      </w:r>
      <w:r w:rsidRPr="0011230C">
        <w:t>ow the mitigation outcomes from each cooperative approach are shared between the participating Parties involved</w:t>
      </w:r>
      <w:r>
        <w:t>;</w:t>
      </w:r>
    </w:p>
    <w:p w14:paraId="3FF22A37" w14:textId="77777777" w:rsidR="003670E8" w:rsidRDefault="003670E8" w:rsidP="003670E8">
      <w:pPr>
        <w:numPr>
          <w:ilvl w:val="5"/>
          <w:numId w:val="9"/>
        </w:numPr>
        <w:tabs>
          <w:tab w:val="left" w:pos="1701"/>
        </w:tabs>
        <w:spacing w:after="120"/>
        <w:ind w:left="1134" w:right="1134"/>
        <w:jc w:val="both"/>
        <w:rPr>
          <w:bCs/>
        </w:rPr>
      </w:pPr>
      <w:r w:rsidRPr="0090277B">
        <w:rPr>
          <w:bCs/>
        </w:rPr>
        <w:t>[</w:t>
      </w:r>
      <w:r w:rsidRPr="00B02079">
        <w:rPr>
          <w:bCs/>
          <w:i/>
          <w:iCs/>
        </w:rPr>
        <w:t>Decides</w:t>
      </w:r>
      <w:r w:rsidRPr="0090277B">
        <w:rPr>
          <w:bCs/>
        </w:rPr>
        <w:t>][</w:t>
      </w:r>
      <w:r w:rsidRPr="00B02079">
        <w:rPr>
          <w:bCs/>
          <w:i/>
          <w:iCs/>
        </w:rPr>
        <w:t>Requests</w:t>
      </w:r>
      <w:r w:rsidRPr="0090277B">
        <w:rPr>
          <w:bCs/>
        </w:rPr>
        <w:t>]</w:t>
      </w:r>
      <w:r>
        <w:rPr>
          <w:bCs/>
        </w:rPr>
        <w:t xml:space="preserve"> that participating Parties, in providing information in its initial report in respect of decision 2/CMA.3, annex, paragraph 18(h)(ii), [shall][should] include, if applicable, the following: </w:t>
      </w:r>
    </w:p>
    <w:p w14:paraId="484A4404" w14:textId="77777777" w:rsidR="003670E8" w:rsidRPr="0011230C" w:rsidRDefault="003670E8" w:rsidP="003C28AB">
      <w:pPr>
        <w:pStyle w:val="RegSingleTxtG2"/>
        <w:numPr>
          <w:ilvl w:val="6"/>
          <w:numId w:val="18"/>
        </w:numPr>
      </w:pPr>
      <w:r>
        <w:t>H</w:t>
      </w:r>
      <w:r w:rsidRPr="0011230C">
        <w:t xml:space="preserve">ow uncertainties in the quantification are taken into account; </w:t>
      </w:r>
    </w:p>
    <w:p w14:paraId="64202498" w14:textId="77777777" w:rsidR="003670E8" w:rsidRPr="0011230C" w:rsidRDefault="003670E8" w:rsidP="003C28AB">
      <w:pPr>
        <w:pStyle w:val="RegSingleTxtG2"/>
        <w:numPr>
          <w:ilvl w:val="6"/>
          <w:numId w:val="18"/>
        </w:numPr>
      </w:pPr>
      <w:r>
        <w:t>H</w:t>
      </w:r>
      <w:r w:rsidRPr="0011230C">
        <w:t>ow any baseline or reference levels have been established, including how it is ensured that they are conservative and below ‘business as usual’ emission projections, and information on what assumptions have been made, taking into account uncertainty;</w:t>
      </w:r>
    </w:p>
    <w:p w14:paraId="4028BE93" w14:textId="77777777" w:rsidR="003670E8" w:rsidRPr="0038195E" w:rsidRDefault="003670E8" w:rsidP="003C28AB">
      <w:pPr>
        <w:pStyle w:val="RegSingleTxtG2"/>
        <w:numPr>
          <w:ilvl w:val="6"/>
          <w:numId w:val="18"/>
        </w:numPr>
        <w:rPr>
          <w:b/>
        </w:rPr>
      </w:pPr>
      <w:r>
        <w:t>H</w:t>
      </w:r>
      <w:r w:rsidRPr="0011230C">
        <w:t>ow policies such as relevant laws, regulations or targets have been taken into account in establishing baselines or references levels;</w:t>
      </w:r>
    </w:p>
    <w:p w14:paraId="7623E1B2" w14:textId="48F3FBED" w:rsidR="003670E8" w:rsidRDefault="003670E8" w:rsidP="003670E8">
      <w:pPr>
        <w:numPr>
          <w:ilvl w:val="5"/>
          <w:numId w:val="9"/>
        </w:numPr>
        <w:tabs>
          <w:tab w:val="left" w:pos="1701"/>
        </w:tabs>
        <w:spacing w:after="120"/>
        <w:ind w:left="1134" w:right="1134"/>
        <w:jc w:val="both"/>
        <w:rPr>
          <w:bCs/>
        </w:rPr>
      </w:pPr>
      <w:r w:rsidRPr="0090277B">
        <w:rPr>
          <w:bCs/>
        </w:rPr>
        <w:lastRenderedPageBreak/>
        <w:t>[</w:t>
      </w:r>
      <w:r w:rsidRPr="00B02079">
        <w:rPr>
          <w:bCs/>
          <w:i/>
          <w:iCs/>
        </w:rPr>
        <w:t>Decides</w:t>
      </w:r>
      <w:r w:rsidRPr="0090277B">
        <w:rPr>
          <w:bCs/>
        </w:rPr>
        <w:t>][</w:t>
      </w:r>
      <w:r w:rsidRPr="00B02079">
        <w:rPr>
          <w:bCs/>
          <w:i/>
          <w:iCs/>
        </w:rPr>
        <w:t>Requests</w:t>
      </w:r>
      <w:r w:rsidRPr="0090277B">
        <w:rPr>
          <w:bCs/>
        </w:rPr>
        <w:t>]</w:t>
      </w:r>
      <w:r>
        <w:rPr>
          <w:bCs/>
        </w:rPr>
        <w:t xml:space="preserve"> that participating Parties, in providing information in its initial report in respect of decision 2/CMA.3, annex, paragraph 18(h)(iii), [shall][should] include, if applicable, the following:</w:t>
      </w:r>
    </w:p>
    <w:p w14:paraId="599650C4" w14:textId="77777777" w:rsidR="003670E8" w:rsidRPr="0011230C" w:rsidRDefault="003670E8" w:rsidP="003C28AB">
      <w:pPr>
        <w:pStyle w:val="RegSingleTxtG2"/>
        <w:numPr>
          <w:ilvl w:val="6"/>
          <w:numId w:val="19"/>
        </w:numPr>
      </w:pPr>
      <w:r>
        <w:t>H</w:t>
      </w:r>
      <w:r w:rsidRPr="0011230C">
        <w:t xml:space="preserve">ow the risk of non-permanence is assessed under the cooperative approach and minimized across several NDC periods, including the frequency and timing of risk assessments, the methodological approaches used, and what types of risks are considered; </w:t>
      </w:r>
    </w:p>
    <w:p w14:paraId="76A546A4" w14:textId="77777777" w:rsidR="003670E8" w:rsidRPr="0011230C" w:rsidRDefault="003670E8" w:rsidP="003C28AB">
      <w:pPr>
        <w:pStyle w:val="RegSingleTxtG2"/>
        <w:numPr>
          <w:ilvl w:val="6"/>
          <w:numId w:val="19"/>
        </w:numPr>
      </w:pPr>
      <w:r>
        <w:t>H</w:t>
      </w:r>
      <w:r w:rsidRPr="0011230C">
        <w:t>ow the risks of non-permanence are minimized across several NDC periods, including what measures have been taken to minimize risks and what time horizons have been considered;</w:t>
      </w:r>
    </w:p>
    <w:p w14:paraId="3D9400CF" w14:textId="5314878A" w:rsidR="003670E8" w:rsidRPr="0011230C" w:rsidRDefault="003670E8" w:rsidP="003C28AB">
      <w:pPr>
        <w:pStyle w:val="RegSingleTxtG2"/>
        <w:numPr>
          <w:ilvl w:val="6"/>
          <w:numId w:val="19"/>
        </w:numPr>
      </w:pPr>
      <w:r>
        <w:t>H</w:t>
      </w:r>
      <w:r w:rsidRPr="0011230C">
        <w:t>ow reversals are monitored and quantified, including what methodological approaches are used, the duration and frequency of monitoring for reversals, and measures envisaged in case of failures in monitoring;</w:t>
      </w:r>
    </w:p>
    <w:p w14:paraId="71EFC928" w14:textId="77777777" w:rsidR="003670E8" w:rsidRPr="006B381C" w:rsidRDefault="003670E8" w:rsidP="003670E8">
      <w:pPr>
        <w:numPr>
          <w:ilvl w:val="5"/>
          <w:numId w:val="9"/>
        </w:numPr>
        <w:tabs>
          <w:tab w:val="left" w:pos="1701"/>
        </w:tabs>
        <w:spacing w:after="120"/>
        <w:ind w:left="1134" w:right="1134"/>
        <w:jc w:val="both"/>
        <w:rPr>
          <w:b/>
        </w:rPr>
      </w:pPr>
      <w:r w:rsidRPr="0090277B">
        <w:rPr>
          <w:bCs/>
        </w:rPr>
        <w:t>[</w:t>
      </w:r>
      <w:r w:rsidRPr="00B02079">
        <w:rPr>
          <w:bCs/>
          <w:i/>
          <w:iCs/>
        </w:rPr>
        <w:t>Decides</w:t>
      </w:r>
      <w:r w:rsidRPr="0090277B">
        <w:rPr>
          <w:bCs/>
        </w:rPr>
        <w:t>][</w:t>
      </w:r>
      <w:r w:rsidRPr="00B02079">
        <w:rPr>
          <w:bCs/>
          <w:i/>
          <w:iCs/>
        </w:rPr>
        <w:t>Requests</w:t>
      </w:r>
      <w:r w:rsidRPr="0090277B">
        <w:rPr>
          <w:bCs/>
        </w:rPr>
        <w:t>]</w:t>
      </w:r>
      <w:r>
        <w:rPr>
          <w:bCs/>
        </w:rPr>
        <w:t xml:space="preserve"> that participating Parties, in providing information in its initial </w:t>
      </w:r>
      <w:r w:rsidRPr="00DC26FE">
        <w:rPr>
          <w:i/>
        </w:rPr>
        <w:t>report</w:t>
      </w:r>
      <w:r>
        <w:rPr>
          <w:bCs/>
        </w:rPr>
        <w:t xml:space="preserve"> in respect of decision 2/CMA.3, annex, paragraph 18(i)(v), [shall][should] include, if applicable, information on the </w:t>
      </w:r>
      <w:r>
        <w:t>c</w:t>
      </w:r>
      <w:r w:rsidRPr="0011230C">
        <w:t xml:space="preserve">ontribution of resources for as per decision 2/CMA.3, annex, paragraph 22(j) and </w:t>
      </w:r>
      <w:r w:rsidRPr="00BF0FAC">
        <w:t>chapter VII</w:t>
      </w:r>
      <w:r>
        <w:t xml:space="preserve">, </w:t>
      </w:r>
      <w:r w:rsidRPr="0011230C">
        <w:t>paragraph 37;</w:t>
      </w:r>
    </w:p>
    <w:p w14:paraId="1704FA12" w14:textId="77777777" w:rsidR="003670E8" w:rsidRPr="00A50849" w:rsidRDefault="003670E8" w:rsidP="003670E8">
      <w:pPr>
        <w:numPr>
          <w:ilvl w:val="5"/>
          <w:numId w:val="9"/>
        </w:numPr>
        <w:tabs>
          <w:tab w:val="left" w:pos="1701"/>
        </w:tabs>
        <w:spacing w:after="120"/>
        <w:ind w:left="1134" w:right="1134"/>
        <w:jc w:val="both"/>
        <w:rPr>
          <w:b/>
        </w:rPr>
      </w:pPr>
      <w:r w:rsidRPr="0090277B">
        <w:rPr>
          <w:bCs/>
        </w:rPr>
        <w:t>[</w:t>
      </w:r>
      <w:r w:rsidRPr="00B02079">
        <w:rPr>
          <w:bCs/>
          <w:i/>
          <w:iCs/>
        </w:rPr>
        <w:t>Decides</w:t>
      </w:r>
      <w:r w:rsidRPr="0090277B">
        <w:rPr>
          <w:bCs/>
        </w:rPr>
        <w:t>][</w:t>
      </w:r>
      <w:r w:rsidRPr="00B02079">
        <w:rPr>
          <w:bCs/>
          <w:i/>
          <w:iCs/>
        </w:rPr>
        <w:t>Requests</w:t>
      </w:r>
      <w:r w:rsidRPr="0090277B">
        <w:rPr>
          <w:bCs/>
        </w:rPr>
        <w:t>]</w:t>
      </w:r>
      <w:r>
        <w:rPr>
          <w:bCs/>
        </w:rPr>
        <w:t xml:space="preserve"> that participating Parties, in providing information in its initial report in respect of decision 2/CMA.3, annex, paragraph 18(i)(vi), [shall][should] include, if applicable, information on [c</w:t>
      </w:r>
      <w:r w:rsidRPr="00DE600F">
        <w:rPr>
          <w:bCs/>
        </w:rPr>
        <w:t>ontribution to overall mitigation in global emissions as per decision 2/CMA.3, annex, paragraph 22(k) and chapter VII</w:t>
      </w:r>
      <w:r>
        <w:rPr>
          <w:bCs/>
        </w:rPr>
        <w:t xml:space="preserve">, </w:t>
      </w:r>
      <w:r w:rsidRPr="00DE600F">
        <w:rPr>
          <w:bCs/>
        </w:rPr>
        <w:t>paragraph 39;</w:t>
      </w:r>
    </w:p>
    <w:p w14:paraId="34FA45CD" w14:textId="77777777" w:rsidR="003670E8" w:rsidRPr="00AE1C44" w:rsidRDefault="003670E8" w:rsidP="003670E8">
      <w:pPr>
        <w:tabs>
          <w:tab w:val="left" w:pos="1701"/>
        </w:tabs>
        <w:spacing w:after="120"/>
        <w:ind w:left="1135" w:right="1134"/>
        <w:jc w:val="both"/>
        <w:rPr>
          <w:b/>
          <w:bCs/>
        </w:rPr>
      </w:pPr>
      <w:r>
        <w:rPr>
          <w:b/>
          <w:bCs/>
        </w:rPr>
        <w:t xml:space="preserve">Option 2: </w:t>
      </w:r>
      <w:r w:rsidRPr="00AE1C44">
        <w:rPr>
          <w:b/>
          <w:bCs/>
        </w:rPr>
        <w:t>{</w:t>
      </w:r>
      <w:bookmarkStart w:id="2" w:name="_Hlk182418556"/>
      <w:r w:rsidRPr="00AE1C44">
        <w:rPr>
          <w:b/>
          <w:bCs/>
          <w:i/>
        </w:rPr>
        <w:t>Additional upfront information on implementation of elements of the guidance</w:t>
      </w:r>
      <w:r w:rsidRPr="00AE1C44">
        <w:rPr>
          <w:b/>
          <w:bCs/>
        </w:rPr>
        <w:t>}</w:t>
      </w:r>
      <w:bookmarkEnd w:id="2"/>
    </w:p>
    <w:p w14:paraId="0054AB55" w14:textId="77777777" w:rsidR="003670E8" w:rsidRPr="001D7BDC" w:rsidRDefault="003670E8" w:rsidP="003670E8">
      <w:pPr>
        <w:numPr>
          <w:ilvl w:val="5"/>
          <w:numId w:val="9"/>
        </w:numPr>
        <w:tabs>
          <w:tab w:val="left" w:pos="1701"/>
        </w:tabs>
        <w:spacing w:after="120"/>
        <w:ind w:left="1134" w:right="1134"/>
        <w:jc w:val="both"/>
        <w:rPr>
          <w:iCs/>
        </w:rPr>
      </w:pPr>
      <w:r w:rsidRPr="001D7BDC">
        <w:rPr>
          <w:i/>
        </w:rPr>
        <w:t xml:space="preserve">Decides </w:t>
      </w:r>
      <w:r w:rsidRPr="001D7BDC">
        <w:rPr>
          <w:iCs/>
        </w:rPr>
        <w:t>that each participating Party shall provide</w:t>
      </w:r>
      <w:r>
        <w:rPr>
          <w:iCs/>
        </w:rPr>
        <w:t xml:space="preserve"> [</w:t>
      </w:r>
      <w:r w:rsidRPr="001D7BDC">
        <w:rPr>
          <w:iCs/>
        </w:rPr>
        <w:t>cross-referencing to the</w:t>
      </w:r>
      <w:r>
        <w:rPr>
          <w:iCs/>
        </w:rPr>
        <w:t>]</w:t>
      </w:r>
      <w:r w:rsidRPr="001D7BDC">
        <w:rPr>
          <w:iCs/>
        </w:rPr>
        <w:t xml:space="preserve"> underlying standards and procedures used to implement the guidance on cooperative approaches</w:t>
      </w:r>
      <w:r w:rsidRPr="001D7BDC" w:rsidDel="00500A67">
        <w:rPr>
          <w:iCs/>
        </w:rPr>
        <w:t>,</w:t>
      </w:r>
      <w:r w:rsidRPr="001D7BDC">
        <w:rPr>
          <w:iCs/>
        </w:rPr>
        <w:t xml:space="preserve"> together with the copy of the authorization or with information provided in the initial report, and that this information shall be available to the Article 6 technical expert review team in charge of the review of the initial report</w:t>
      </w:r>
      <w:r>
        <w:rPr>
          <w:iCs/>
        </w:rPr>
        <w:t>;</w:t>
      </w:r>
    </w:p>
    <w:p w14:paraId="4B3D97E5" w14:textId="77777777" w:rsidR="003670E8" w:rsidRPr="00395102" w:rsidRDefault="003670E8" w:rsidP="003670E8">
      <w:pPr>
        <w:numPr>
          <w:ilvl w:val="5"/>
          <w:numId w:val="9"/>
        </w:numPr>
        <w:tabs>
          <w:tab w:val="left" w:pos="1701"/>
        </w:tabs>
        <w:spacing w:after="120"/>
        <w:ind w:left="1134" w:right="1134"/>
        <w:jc w:val="both"/>
      </w:pPr>
      <w:r w:rsidRPr="001D7BDC">
        <w:rPr>
          <w:i/>
        </w:rPr>
        <w:t xml:space="preserve">Decides </w:t>
      </w:r>
      <w:r w:rsidRPr="001D7BDC">
        <w:rPr>
          <w:iCs/>
        </w:rPr>
        <w:t xml:space="preserve">that each participating Party shall </w:t>
      </w:r>
      <w:r w:rsidRPr="001D7BDC" w:rsidDel="00923CA0">
        <w:rPr>
          <w:iCs/>
        </w:rPr>
        <w:t xml:space="preserve">provide </w:t>
      </w:r>
      <w:r w:rsidRPr="001D7BDC">
        <w:rPr>
          <w:iCs/>
        </w:rPr>
        <w:t xml:space="preserve">the following information with respect to the elements referred to in decision 2/CMA.3, annex, paragraphs 18(h) and (i), together with the copy of the authorization or with information provided in the initial report, </w:t>
      </w:r>
      <w:r w:rsidRPr="001D7BDC" w:rsidDel="00923CA0">
        <w:rPr>
          <w:iCs/>
        </w:rPr>
        <w:t xml:space="preserve">and </w:t>
      </w:r>
      <w:r w:rsidRPr="001D7BDC">
        <w:rPr>
          <w:iCs/>
        </w:rPr>
        <w:t>make it available to the Article 6 technical expert review team in charge of the review of this information:</w:t>
      </w:r>
    </w:p>
    <w:p w14:paraId="14F918FE" w14:textId="77777777" w:rsidR="003670E8" w:rsidRPr="001D7BDC" w:rsidRDefault="003670E8" w:rsidP="003C28AB">
      <w:pPr>
        <w:pStyle w:val="RegSingleTxtG2"/>
        <w:numPr>
          <w:ilvl w:val="6"/>
          <w:numId w:val="20"/>
        </w:numPr>
      </w:pPr>
      <w:r w:rsidRPr="001D7BDC">
        <w:t>A description of the expected impact of the cooperative approach on the achievement by the Party of its NDC, its LT-LEDS if it has submitted one, and the long-term goals of the Paris Agreement</w:t>
      </w:r>
      <w:r>
        <w:t>;</w:t>
      </w:r>
    </w:p>
    <w:p w14:paraId="3340803F" w14:textId="77777777" w:rsidR="003670E8" w:rsidRPr="001D7BDC" w:rsidRDefault="003670E8" w:rsidP="003C28AB">
      <w:pPr>
        <w:pStyle w:val="RegSingleTxtG2"/>
        <w:numPr>
          <w:ilvl w:val="6"/>
          <w:numId w:val="20"/>
        </w:numPr>
      </w:pPr>
      <w:r w:rsidRPr="001D7BDC">
        <w:t>A description of how the cooperative approach will promote practices, technologies or decarbonization pathways that are consistent with the Paris Agreement temperature goals</w:t>
      </w:r>
      <w:r>
        <w:t>;</w:t>
      </w:r>
    </w:p>
    <w:p w14:paraId="4C84BEA9" w14:textId="77777777" w:rsidR="003670E8" w:rsidRPr="001D7BDC" w:rsidRDefault="003670E8" w:rsidP="003C28AB">
      <w:pPr>
        <w:pStyle w:val="RegSingleTxtG2"/>
        <w:numPr>
          <w:ilvl w:val="6"/>
          <w:numId w:val="20"/>
        </w:numPr>
      </w:pPr>
      <w:r w:rsidRPr="001D7BDC">
        <w:t>A description of whether the cooperative approach involves a baseline-and-credit approach or a cap-and-trade system and, in the case of a cap-and-trade system, a description of the methodology for determining the mitigation outcomes resulting from the underlying cap-and-trade system; (EU internal note: I move this up here, as for baseline-and-credit we have all the quantification in the upfront information and not only in the authorization)</w:t>
      </w:r>
      <w:r>
        <w:t>;</w:t>
      </w:r>
    </w:p>
    <w:p w14:paraId="1B934811" w14:textId="77777777" w:rsidR="003670E8" w:rsidRPr="001D7BDC" w:rsidRDefault="003670E8" w:rsidP="003C28AB">
      <w:pPr>
        <w:pStyle w:val="RegSingleTxtG2"/>
        <w:numPr>
          <w:ilvl w:val="6"/>
          <w:numId w:val="20"/>
        </w:numPr>
      </w:pPr>
      <w:r w:rsidRPr="001D7BDC">
        <w:t>A description of how “business as usual” emissions projections are defined and calculated in the standards applicable to the cooperative approach, taking into account the host Party’s NDC and its LT-LEDS if it has submitted one;</w:t>
      </w:r>
    </w:p>
    <w:p w14:paraId="7C407283" w14:textId="77777777" w:rsidR="003670E8" w:rsidRPr="001D7BDC" w:rsidRDefault="003670E8" w:rsidP="003C28AB">
      <w:pPr>
        <w:pStyle w:val="RegSingleTxtG2"/>
        <w:numPr>
          <w:ilvl w:val="6"/>
          <w:numId w:val="20"/>
        </w:numPr>
      </w:pPr>
      <w:r w:rsidRPr="001D7BDC">
        <w:t>A description of how baselines are set and how it is ensured that they are conservative and below “business as usual” emissions projections, including how the host Party’s NDC and LT-LEDS and climate policies, laws and regulations are taken into account, and any adjustment to crediting levels made to address this element of the guidance;</w:t>
      </w:r>
    </w:p>
    <w:p w14:paraId="4F761096" w14:textId="77777777" w:rsidR="003670E8" w:rsidRPr="001D7BDC" w:rsidRDefault="003670E8" w:rsidP="003C28AB">
      <w:pPr>
        <w:pStyle w:val="RegSingleTxtG2"/>
        <w:numPr>
          <w:ilvl w:val="6"/>
          <w:numId w:val="20"/>
        </w:numPr>
      </w:pPr>
      <w:r w:rsidRPr="001D7BDC">
        <w:lastRenderedPageBreak/>
        <w:t xml:space="preserve">A description of how the uncertainties related to the quantification of the emission reductions and </w:t>
      </w:r>
      <w:r>
        <w:t>[</w:t>
      </w:r>
      <w:r w:rsidRPr="001D7BDC">
        <w:t>enhanced</w:t>
      </w:r>
      <w:r>
        <w:t>]</w:t>
      </w:r>
      <w:r w:rsidRPr="001D7BDC">
        <w:t xml:space="preserve"> removals are assessed and how such uncertainties are addressed in a conservative manner;</w:t>
      </w:r>
    </w:p>
    <w:p w14:paraId="7F673436" w14:textId="77777777" w:rsidR="003670E8" w:rsidRPr="001D7BDC" w:rsidRDefault="003670E8" w:rsidP="003C28AB">
      <w:pPr>
        <w:pStyle w:val="RegSingleTxtG2"/>
        <w:numPr>
          <w:ilvl w:val="6"/>
          <w:numId w:val="20"/>
        </w:numPr>
      </w:pPr>
      <w:r w:rsidRPr="001D7BDC">
        <w:t xml:space="preserve">A description of how the risk of leakage is assessed, how it is prevented or minimized, and how any remaining leakage will be quantified and deducted in the calculation of emission reductions or </w:t>
      </w:r>
      <w:r>
        <w:t>[</w:t>
      </w:r>
      <w:r w:rsidRPr="001D7BDC">
        <w:t>enhanced</w:t>
      </w:r>
      <w:r>
        <w:t>]</w:t>
      </w:r>
      <w:r w:rsidRPr="001D7BDC">
        <w:t xml:space="preserve"> removals;</w:t>
      </w:r>
    </w:p>
    <w:p w14:paraId="354B0722" w14:textId="77777777" w:rsidR="003670E8" w:rsidRPr="001D7BDC" w:rsidRDefault="003670E8" w:rsidP="003C28AB">
      <w:pPr>
        <w:pStyle w:val="RegSingleTxtG2"/>
        <w:numPr>
          <w:ilvl w:val="6"/>
          <w:numId w:val="20"/>
        </w:numPr>
      </w:pPr>
      <w:r w:rsidRPr="001D7BDC">
        <w:t xml:space="preserve">Where mitigation outcomes are generated through nature-based emission reductions or enhanced removals, a description of how it is ensured that the calculated mitigation outcomes are caused by, and attributable to, </w:t>
      </w:r>
      <w:r>
        <w:t>[</w:t>
      </w:r>
      <w:r w:rsidRPr="001D7BDC">
        <w:t>anthropogenic</w:t>
      </w:r>
      <w:r>
        <w:t xml:space="preserve"> activities] [national policies and measures]</w:t>
      </w:r>
      <w:r w:rsidRPr="001D7BDC">
        <w:t>;</w:t>
      </w:r>
    </w:p>
    <w:p w14:paraId="1A5D8596" w14:textId="77777777" w:rsidR="003670E8" w:rsidRPr="001D7BDC" w:rsidRDefault="003670E8" w:rsidP="003C28AB">
      <w:pPr>
        <w:pStyle w:val="RegSingleTxtG2"/>
        <w:numPr>
          <w:ilvl w:val="6"/>
          <w:numId w:val="20"/>
        </w:numPr>
      </w:pPr>
      <w:r w:rsidRPr="001D7BDC">
        <w:t>A description of how reversal risks with respect to mitigation activities covered by the cooperative approach are assessed, and the results of this assessment, including the types of risks identified, their likelihood, scale and potential impacts;</w:t>
      </w:r>
    </w:p>
    <w:p w14:paraId="10DA83FE" w14:textId="77777777" w:rsidR="003670E8" w:rsidRPr="001D7BDC" w:rsidRDefault="003670E8" w:rsidP="003C28AB">
      <w:pPr>
        <w:pStyle w:val="RegSingleTxtG2"/>
        <w:numPr>
          <w:ilvl w:val="6"/>
          <w:numId w:val="20"/>
        </w:numPr>
      </w:pPr>
      <w:r>
        <w:t>[</w:t>
      </w:r>
      <w:r w:rsidRPr="001D7BDC">
        <w:t xml:space="preserve">In the case where the envisaged emission reductions or </w:t>
      </w:r>
      <w:r>
        <w:t>[</w:t>
      </w:r>
      <w:r w:rsidRPr="001D7BDC">
        <w:t>enhanced</w:t>
      </w:r>
      <w:r>
        <w:t>]</w:t>
      </w:r>
      <w:r w:rsidRPr="001D7BDC">
        <w:t xml:space="preserve"> removals are subject to a non-negligible risk of reversals, a description of:</w:t>
      </w:r>
    </w:p>
    <w:p w14:paraId="2A06591A" w14:textId="77777777" w:rsidR="003670E8" w:rsidRPr="001D7BDC" w:rsidRDefault="003670E8" w:rsidP="003C28AB">
      <w:pPr>
        <w:pStyle w:val="RegSingleTxtG2"/>
        <w:numPr>
          <w:ilvl w:val="7"/>
          <w:numId w:val="20"/>
        </w:numPr>
      </w:pPr>
      <w:r>
        <w:t>T</w:t>
      </w:r>
      <w:r w:rsidRPr="001D7BDC">
        <w:t>he measures applied to prevent or minimize reversal risks;</w:t>
      </w:r>
    </w:p>
    <w:p w14:paraId="50950C44" w14:textId="77777777" w:rsidR="003670E8" w:rsidRPr="001D7BDC" w:rsidRDefault="003670E8" w:rsidP="003C28AB">
      <w:pPr>
        <w:pStyle w:val="RegSingleTxtG2"/>
        <w:numPr>
          <w:ilvl w:val="7"/>
          <w:numId w:val="20"/>
        </w:numPr>
      </w:pPr>
      <w:r>
        <w:t>H</w:t>
      </w:r>
      <w:r w:rsidRPr="001D7BDC">
        <w:t>ow the risk of reversal with respect to the mitigation activities covered by the cooperative approach may impact the host country’s capacity to achieve its NDC and LT-LEDS;</w:t>
      </w:r>
    </w:p>
    <w:p w14:paraId="01047409" w14:textId="77777777" w:rsidR="003670E8" w:rsidRPr="001D7BDC" w:rsidRDefault="003670E8" w:rsidP="003C28AB">
      <w:pPr>
        <w:pStyle w:val="RegSingleTxtG2"/>
        <w:numPr>
          <w:ilvl w:val="7"/>
          <w:numId w:val="20"/>
        </w:numPr>
      </w:pPr>
      <w:r>
        <w:t>H</w:t>
      </w:r>
      <w:r w:rsidRPr="001D7BDC">
        <w:t>ow reversals will be monitored, including the time horizon of the monitoring and the measures envisaged in case of a failure in monitoring;</w:t>
      </w:r>
    </w:p>
    <w:p w14:paraId="22E41CE4" w14:textId="77777777" w:rsidR="003670E8" w:rsidRPr="001D7BDC" w:rsidRDefault="003670E8" w:rsidP="003C28AB">
      <w:pPr>
        <w:pStyle w:val="RegSingleTxtG2"/>
        <w:numPr>
          <w:ilvl w:val="7"/>
          <w:numId w:val="20"/>
        </w:numPr>
      </w:pPr>
      <w:r>
        <w:t>H</w:t>
      </w:r>
      <w:r w:rsidRPr="001D7BDC">
        <w:t>ow any reversals will be fully addressed, including which Party or entity takes responsibility to compensate any reversals;</w:t>
      </w:r>
    </w:p>
    <w:p w14:paraId="24352355" w14:textId="77777777" w:rsidR="003670E8" w:rsidRPr="001D7BDC" w:rsidRDefault="003670E8" w:rsidP="003C28AB">
      <w:pPr>
        <w:pStyle w:val="RegSingleTxtG2"/>
        <w:numPr>
          <w:ilvl w:val="7"/>
          <w:numId w:val="20"/>
        </w:numPr>
      </w:pPr>
      <w:r>
        <w:t>W</w:t>
      </w:r>
      <w:r w:rsidRPr="001D7BDC">
        <w:t>here a buffer reserve is used to address reversals, the method used to determine the amount of mitigation outcomes placed into the reserve, and how it is ensured that the reserve will be resilient enough to fully compensate potential reversals</w:t>
      </w:r>
      <w:r>
        <w:t>];</w:t>
      </w:r>
    </w:p>
    <w:p w14:paraId="25994451" w14:textId="77777777" w:rsidR="003670E8" w:rsidRPr="00CB10A1" w:rsidRDefault="003670E8" w:rsidP="003C28AB">
      <w:pPr>
        <w:pStyle w:val="RegSingleTxtG2"/>
        <w:numPr>
          <w:ilvl w:val="6"/>
          <w:numId w:val="20"/>
        </w:numPr>
      </w:pPr>
      <w:r>
        <w:t>[</w:t>
      </w:r>
      <w:r w:rsidRPr="00CB10A1">
        <w:t>A description of how the cooperative approach falling under the scope of Article 5, paragraph 2, of the Paris Agreement includes all the elements required of the host Party as per decision 1/CP.16, paragraph 71, noting the application of the approaches described in (</w:t>
      </w:r>
      <w:r>
        <w:t>i</w:t>
      </w:r>
      <w:r w:rsidRPr="00CB10A1">
        <w:t>) and (</w:t>
      </w:r>
      <w:r>
        <w:t>ii</w:t>
      </w:r>
      <w:r w:rsidRPr="00CB10A1">
        <w:t>) below:</w:t>
      </w:r>
    </w:p>
    <w:p w14:paraId="03DE9DC0" w14:textId="77777777" w:rsidR="003670E8" w:rsidRPr="00CB10A1" w:rsidRDefault="003670E8" w:rsidP="003C28AB">
      <w:pPr>
        <w:pStyle w:val="RegSingleTxtG2"/>
        <w:numPr>
          <w:ilvl w:val="7"/>
          <w:numId w:val="20"/>
        </w:numPr>
      </w:pPr>
      <w:r w:rsidRPr="00CB10A1">
        <w:t>Application of higher-level elements: applying a standardized baseline at a higher level of aggregation (or equivalent) that is regularly updated and any associated higher-level monitoring information and/or system;</w:t>
      </w:r>
    </w:p>
    <w:p w14:paraId="0E568111" w14:textId="77777777" w:rsidR="003670E8" w:rsidRDefault="003670E8" w:rsidP="003C28AB">
      <w:pPr>
        <w:pStyle w:val="RegSingleTxtG2"/>
        <w:numPr>
          <w:ilvl w:val="7"/>
          <w:numId w:val="20"/>
        </w:numPr>
      </w:pPr>
      <w:r w:rsidRPr="00CB10A1">
        <w:t>Upscaling implementation: implementing activities at a higher level (e.g. sectoral or national)</w:t>
      </w:r>
      <w:r>
        <w:t>];</w:t>
      </w:r>
    </w:p>
    <w:p w14:paraId="27A22EC0" w14:textId="77777777" w:rsidR="003670E8" w:rsidRPr="001D7BDC" w:rsidRDefault="003670E8" w:rsidP="003C28AB">
      <w:pPr>
        <w:pStyle w:val="RegSingleTxtG2"/>
        <w:numPr>
          <w:ilvl w:val="6"/>
          <w:numId w:val="20"/>
        </w:numPr>
      </w:pPr>
      <w:r w:rsidRPr="001D7BDC">
        <w:t>A description of how it is ensured that decision-making processes are transparent and inclusive, and whether they include opportunities for public participation and scrutiny;</w:t>
      </w:r>
    </w:p>
    <w:p w14:paraId="13E8351C" w14:textId="77777777" w:rsidR="003670E8" w:rsidRPr="001D7BDC" w:rsidRDefault="003670E8" w:rsidP="003C28AB">
      <w:pPr>
        <w:pStyle w:val="RegSingleTxtG2"/>
        <w:numPr>
          <w:ilvl w:val="6"/>
          <w:numId w:val="20"/>
        </w:numPr>
      </w:pPr>
      <w:r w:rsidRPr="001D7BDC">
        <w:t>A description of standards and procedures for conducting stakeholders consultations, including civil society organizations, indigenous communities and local governments, and an indication of the results of the stakeholders consultations where available;</w:t>
      </w:r>
    </w:p>
    <w:p w14:paraId="4E4A3B97" w14:textId="77777777" w:rsidR="003670E8" w:rsidRPr="001D7BDC" w:rsidRDefault="003670E8" w:rsidP="003C28AB">
      <w:pPr>
        <w:pStyle w:val="RegSingleTxtG2"/>
        <w:numPr>
          <w:ilvl w:val="6"/>
          <w:numId w:val="20"/>
        </w:numPr>
      </w:pPr>
      <w:r w:rsidRPr="001D7BDC">
        <w:t>A description of measures taken to ensure standards and procedures reflect best practice, for example the standards and procedures of the Article</w:t>
      </w:r>
      <w:r>
        <w:t>[s</w:t>
      </w:r>
      <w:r w:rsidRPr="001D7BDC">
        <w:t xml:space="preserve"> </w:t>
      </w:r>
      <w:r>
        <w:t>5.2 and]</w:t>
      </w:r>
      <w:r w:rsidRPr="001D7BDC">
        <w:t xml:space="preserve"> 6.4 mechanism.</w:t>
      </w:r>
    </w:p>
    <w:p w14:paraId="10DCEBD5" w14:textId="77777777" w:rsidR="003670E8" w:rsidRPr="001D7BDC" w:rsidRDefault="003670E8" w:rsidP="003670E8">
      <w:pPr>
        <w:numPr>
          <w:ilvl w:val="5"/>
          <w:numId w:val="9"/>
        </w:numPr>
        <w:tabs>
          <w:tab w:val="left" w:pos="1701"/>
        </w:tabs>
        <w:spacing w:after="120"/>
        <w:ind w:left="1134" w:right="1134"/>
        <w:jc w:val="both"/>
        <w:rPr>
          <w:rFonts w:ascii="Calibri" w:eastAsia="Calibri Light" w:hAnsi="Calibri" w:cs="Calibri"/>
          <w:iCs/>
          <w:sz w:val="22"/>
          <w:szCs w:val="22"/>
          <w:lang w:val="en-US"/>
        </w:rPr>
      </w:pPr>
      <w:r w:rsidRPr="001D7BDC">
        <w:rPr>
          <w:i/>
        </w:rPr>
        <w:t xml:space="preserve">Decides </w:t>
      </w:r>
      <w:r w:rsidRPr="001D7BDC">
        <w:rPr>
          <w:iCs/>
        </w:rPr>
        <w:t xml:space="preserve">that any participating Party that submitted an initial report or updated initial report </w:t>
      </w:r>
      <w:r w:rsidRPr="00344E17">
        <w:rPr>
          <w:iCs/>
        </w:rPr>
        <w:t xml:space="preserve">prior </w:t>
      </w:r>
      <w:r w:rsidRPr="001D7BDC">
        <w:rPr>
          <w:iCs/>
        </w:rPr>
        <w:t xml:space="preserve">to adoption of this decision by the CMA is to update the information provided in such report(s) where necessary for consistency with the guidance in </w:t>
      </w:r>
      <w:r w:rsidRPr="00DC26FE">
        <w:t xml:space="preserve">paragraphs </w:t>
      </w:r>
      <w:r w:rsidRPr="006A36ED">
        <w:t>13 and 14 above</w:t>
      </w:r>
      <w:r w:rsidRPr="001D7BDC">
        <w:rPr>
          <w:iCs/>
        </w:rPr>
        <w:t xml:space="preserve"> and resubmit the report prior to the next submission of information as per decision 2/CMA.3, annex, chapter IV (Reporting</w:t>
      </w:r>
      <w:r w:rsidRPr="006A36ED">
        <w:rPr>
          <w:iCs/>
        </w:rPr>
        <w:t>)</w:t>
      </w:r>
      <w:r>
        <w:rPr>
          <w:iCs/>
        </w:rPr>
        <w:t>;</w:t>
      </w:r>
    </w:p>
    <w:p w14:paraId="06500F9E" w14:textId="77777777" w:rsidR="003670E8" w:rsidRPr="00677E16" w:rsidRDefault="003670E8" w:rsidP="003670E8">
      <w:pPr>
        <w:keepNext/>
        <w:keepLines/>
        <w:numPr>
          <w:ilvl w:val="0"/>
          <w:numId w:val="1"/>
        </w:numPr>
        <w:tabs>
          <w:tab w:val="left" w:pos="1701"/>
        </w:tabs>
        <w:spacing w:before="360" w:after="240" w:line="300" w:lineRule="exact"/>
        <w:ind w:right="1134"/>
        <w:jc w:val="both"/>
      </w:pPr>
      <w:r w:rsidRPr="00677E16">
        <w:rPr>
          <w:b/>
          <w:sz w:val="28"/>
        </w:rPr>
        <w:lastRenderedPageBreak/>
        <w:t>Authorization</w:t>
      </w:r>
    </w:p>
    <w:p w14:paraId="4873CD94" w14:textId="77777777" w:rsidR="003670E8" w:rsidRPr="00677E16" w:rsidRDefault="003670E8" w:rsidP="003670E8">
      <w:pPr>
        <w:pStyle w:val="RegH1G"/>
        <w:numPr>
          <w:ilvl w:val="1"/>
          <w:numId w:val="8"/>
        </w:numPr>
      </w:pPr>
      <w:r w:rsidRPr="00677E16">
        <w:t>Process and timing of authorization</w:t>
      </w:r>
    </w:p>
    <w:p w14:paraId="1DA294EA" w14:textId="77777777" w:rsidR="003670E8" w:rsidRDefault="003670E8" w:rsidP="003670E8">
      <w:pPr>
        <w:pStyle w:val="ListParagraph"/>
        <w:numPr>
          <w:ilvl w:val="5"/>
          <w:numId w:val="9"/>
        </w:numPr>
        <w:ind w:left="1134"/>
      </w:pPr>
      <w:r w:rsidRPr="00DC26FE">
        <w:rPr>
          <w:i/>
        </w:rPr>
        <w:t>Reaffirms</w:t>
      </w:r>
      <w:r w:rsidRPr="00687767">
        <w:t xml:space="preserve"> that the authorization is a national prerogative of the first transferring Party;</w:t>
      </w:r>
    </w:p>
    <w:p w14:paraId="4A8D0DF1" w14:textId="43D2376C" w:rsidR="003670E8" w:rsidRPr="00677E16" w:rsidRDefault="003670E8" w:rsidP="003C28AB">
      <w:pPr>
        <w:tabs>
          <w:tab w:val="left" w:pos="1701"/>
        </w:tabs>
        <w:spacing w:before="240" w:after="120"/>
        <w:ind w:left="1135" w:right="1134"/>
        <w:jc w:val="both"/>
        <w:rPr>
          <w:i/>
        </w:rPr>
      </w:pPr>
      <w:r w:rsidRPr="00677E16">
        <w:rPr>
          <w:b/>
          <w:bCs/>
        </w:rPr>
        <w:t>Option 1</w:t>
      </w:r>
    </w:p>
    <w:p w14:paraId="205CBD95"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Notes </w:t>
      </w:r>
      <w:r w:rsidRPr="00677E16">
        <w:t xml:space="preserve">that the participating Party arrangements for authorizing the use of </w:t>
      </w:r>
      <w:r w:rsidRPr="00DC26FE">
        <w:rPr>
          <w:rStyle w:val="normaltextrun"/>
        </w:rPr>
        <w:t>internationally</w:t>
      </w:r>
      <w:r w:rsidRPr="00677E16">
        <w:t xml:space="preserve"> transferred mitigation outcomes referred to in decision 2/CMA.3, annex, paragraph 4(c), [may] [shall] involve a single process [and/or result in [a consolidated] [an] authorization] that addresses, [inter alia and as appropriate, the information in paragraphs </w:t>
      </w:r>
      <w:r w:rsidRPr="006A36ED">
        <w:t>24 and 28 below</w:t>
      </w:r>
      <w:r w:rsidRPr="00677E16">
        <w:t>] [all elements referred to in decision 2/CMA.3, annex, paragraph 18];</w:t>
      </w:r>
    </w:p>
    <w:p w14:paraId="20E1B2B4" w14:textId="77777777" w:rsidR="003670E8" w:rsidRPr="00677E16" w:rsidRDefault="003670E8" w:rsidP="003670E8">
      <w:pPr>
        <w:numPr>
          <w:ilvl w:val="5"/>
          <w:numId w:val="9"/>
        </w:numPr>
        <w:tabs>
          <w:tab w:val="left" w:pos="1701"/>
        </w:tabs>
        <w:spacing w:after="120"/>
        <w:ind w:left="1134" w:right="1134"/>
        <w:jc w:val="both"/>
      </w:pPr>
      <w:r w:rsidRPr="00677E16">
        <w:rPr>
          <w:i/>
          <w:iCs/>
        </w:rPr>
        <w:t>[Also] notes</w:t>
      </w:r>
      <w:r w:rsidRPr="00677E16">
        <w:t xml:space="preserve"> that the</w:t>
      </w:r>
      <w:r w:rsidRPr="00677E16" w:rsidDel="009A7EAB">
        <w:t xml:space="preserve"> participating Party arrangements for authorizing the use of </w:t>
      </w:r>
      <w:r w:rsidRPr="00DC26FE">
        <w:rPr>
          <w:rStyle w:val="normaltextrun"/>
        </w:rPr>
        <w:t>internationally</w:t>
      </w:r>
      <w:r w:rsidRPr="00677E16">
        <w:t xml:space="preserve"> transferred mitigation outcomes referred to in decision 2/CMA.3, annex, paragraph 4(c), may involve a sequential process and[/or] result in separate authorizations that collectively address, [inter alia and as appropriate, the information in paragraphs </w:t>
      </w:r>
      <w:r w:rsidRPr="006A36ED">
        <w:t>24 and 28 below</w:t>
      </w:r>
      <w:r w:rsidRPr="00677E16">
        <w:t>] [all elements referred to in decision 2/CMA.3, annex, paragraph 18];</w:t>
      </w:r>
    </w:p>
    <w:p w14:paraId="0D91785D" w14:textId="77777777" w:rsidR="003670E8" w:rsidRPr="001D7BDC" w:rsidRDefault="003670E8" w:rsidP="003670E8">
      <w:pPr>
        <w:tabs>
          <w:tab w:val="left" w:pos="1701"/>
        </w:tabs>
        <w:spacing w:after="120"/>
        <w:ind w:left="1135" w:right="1134"/>
        <w:jc w:val="both"/>
        <w:rPr>
          <w:b/>
          <w:bCs/>
        </w:rPr>
      </w:pPr>
      <w:r w:rsidRPr="001D7BDC">
        <w:rPr>
          <w:b/>
          <w:bCs/>
        </w:rPr>
        <w:t xml:space="preserve">Option </w:t>
      </w:r>
      <w:r>
        <w:rPr>
          <w:b/>
          <w:bCs/>
        </w:rPr>
        <w:t>2</w:t>
      </w:r>
    </w:p>
    <w:p w14:paraId="20C33A84" w14:textId="77777777" w:rsidR="003670E8" w:rsidRPr="000F042F" w:rsidRDefault="003670E8" w:rsidP="003670E8">
      <w:pPr>
        <w:numPr>
          <w:ilvl w:val="5"/>
          <w:numId w:val="9"/>
        </w:numPr>
        <w:tabs>
          <w:tab w:val="left" w:pos="1701"/>
        </w:tabs>
        <w:spacing w:after="120"/>
        <w:ind w:left="1134" w:right="1134"/>
        <w:jc w:val="both"/>
        <w:rPr>
          <w:i/>
        </w:rPr>
      </w:pPr>
      <w:r w:rsidRPr="000F042F">
        <w:rPr>
          <w:i/>
        </w:rPr>
        <w:t xml:space="preserve">Notes </w:t>
      </w:r>
      <w:r w:rsidRPr="000F042F">
        <w:t xml:space="preserve">that pursuant to decision 2/CMA.3, annex, paragraph 18 there are three different types </w:t>
      </w:r>
      <w:r w:rsidRPr="00DC26FE">
        <w:rPr>
          <w:rStyle w:val="normaltextrun"/>
        </w:rPr>
        <w:t>of</w:t>
      </w:r>
      <w:r w:rsidRPr="000F042F">
        <w:t xml:space="preserve"> authorization; authorization of the cooperative approach, authorization of internationally transferred mitigation outcomes and authorization of entities</w:t>
      </w:r>
      <w:r w:rsidRPr="000F042F">
        <w:rPr>
          <w:i/>
        </w:rPr>
        <w:t>;</w:t>
      </w:r>
    </w:p>
    <w:p w14:paraId="7CA88C4D" w14:textId="77777777" w:rsidR="003670E8" w:rsidRPr="000F042F" w:rsidRDefault="003670E8" w:rsidP="003670E8">
      <w:pPr>
        <w:numPr>
          <w:ilvl w:val="5"/>
          <w:numId w:val="9"/>
        </w:numPr>
        <w:tabs>
          <w:tab w:val="left" w:pos="1701"/>
        </w:tabs>
        <w:spacing w:after="120"/>
        <w:ind w:left="1134" w:right="1134"/>
        <w:jc w:val="both"/>
        <w:rPr>
          <w:i/>
        </w:rPr>
      </w:pPr>
      <w:r w:rsidRPr="000F042F">
        <w:rPr>
          <w:i/>
        </w:rPr>
        <w:t xml:space="preserve">Also notes </w:t>
      </w:r>
      <w:r w:rsidRPr="000F042F">
        <w:t xml:space="preserve">that the participating Party arrangements for authorizing the use of </w:t>
      </w:r>
      <w:r w:rsidRPr="00DC26FE">
        <w:rPr>
          <w:rStyle w:val="normaltextrun"/>
        </w:rPr>
        <w:t>mitigation</w:t>
      </w:r>
      <w:r w:rsidRPr="000F042F">
        <w:t xml:space="preserve"> outcomes referred to in decision 2/CMA.3, annex, paragraph 4(c), may involve a single consolidated authorization process or separate authorizations that entirely and collectively address(es), inter alia and as appropriate, the information in </w:t>
      </w:r>
      <w:r w:rsidRPr="00703178">
        <w:t>paragraphs 24 and 28 below</w:t>
      </w:r>
      <w:r w:rsidRPr="000F042F">
        <w:t xml:space="preserve"> and all elements referred to in decision 2/CMA.3, annex, paragraph 18;</w:t>
      </w:r>
    </w:p>
    <w:p w14:paraId="691B6892" w14:textId="77777777" w:rsidR="003670E8" w:rsidRPr="00DC26FE" w:rsidRDefault="003670E8" w:rsidP="003670E8">
      <w:pPr>
        <w:numPr>
          <w:ilvl w:val="5"/>
          <w:numId w:val="9"/>
        </w:numPr>
        <w:tabs>
          <w:tab w:val="left" w:pos="1701"/>
        </w:tabs>
        <w:spacing w:after="120"/>
        <w:ind w:left="1134" w:right="1134"/>
        <w:jc w:val="both"/>
      </w:pPr>
      <w:r w:rsidRPr="00DC26FE">
        <w:rPr>
          <w:i/>
          <w:iCs/>
        </w:rPr>
        <w:t>Clarifies</w:t>
      </w:r>
      <w:r w:rsidRPr="00DC26FE">
        <w:t xml:space="preserve"> that internationally transferred mitigation outcomes can only be first transferred once they have been authorized in accordance with the arrangements described in paragraphs </w:t>
      </w:r>
      <w:r w:rsidRPr="00703178">
        <w:t>19 and 20 above</w:t>
      </w:r>
      <w:r w:rsidRPr="00DC26FE">
        <w:t xml:space="preserve"> under an authorized cooperative approach</w:t>
      </w:r>
      <w:r>
        <w:t>;</w:t>
      </w:r>
    </w:p>
    <w:p w14:paraId="5B8799F4" w14:textId="77777777" w:rsidR="003670E8" w:rsidRPr="001D7BDC" w:rsidRDefault="003670E8" w:rsidP="003670E8">
      <w:pPr>
        <w:tabs>
          <w:tab w:val="left" w:pos="1701"/>
        </w:tabs>
        <w:spacing w:after="120"/>
        <w:ind w:left="1135" w:right="1134"/>
        <w:jc w:val="both"/>
        <w:rPr>
          <w:b/>
          <w:bCs/>
        </w:rPr>
      </w:pPr>
      <w:r>
        <w:rPr>
          <w:b/>
          <w:bCs/>
        </w:rPr>
        <w:t>Option 3:</w:t>
      </w:r>
    </w:p>
    <w:p w14:paraId="7C2A1B93" w14:textId="77777777" w:rsidR="003670E8" w:rsidRPr="00677E16" w:rsidRDefault="003670E8" w:rsidP="003670E8">
      <w:pPr>
        <w:numPr>
          <w:ilvl w:val="5"/>
          <w:numId w:val="9"/>
        </w:numPr>
        <w:tabs>
          <w:tab w:val="left" w:pos="1701"/>
        </w:tabs>
        <w:spacing w:after="120"/>
        <w:ind w:left="1134" w:right="1134"/>
        <w:jc w:val="both"/>
      </w:pPr>
      <w:r>
        <w:rPr>
          <w:i/>
          <w:iCs/>
        </w:rPr>
        <w:t>Notes</w:t>
      </w:r>
      <w:r w:rsidRPr="00C604A4">
        <w:t xml:space="preserve"> that authorisation by Parties of the use of ITMOs from a cooperative approach entails distinct elements, that may be determined sequentially and includes minimum information to be covered in the copy of the authorisation referred to in decision 2/CMA.3, annex, paragraph 18(g), with respect to the authorisation of use, entities, and amounts</w:t>
      </w:r>
      <w:r>
        <w:t>;</w:t>
      </w:r>
    </w:p>
    <w:p w14:paraId="7670D2DB" w14:textId="77777777" w:rsidR="003670E8" w:rsidRPr="00F315BD" w:rsidRDefault="003670E8" w:rsidP="003670E8">
      <w:pPr>
        <w:tabs>
          <w:tab w:val="left" w:pos="1701"/>
        </w:tabs>
        <w:spacing w:after="120"/>
        <w:ind w:left="1135" w:right="1134"/>
        <w:jc w:val="both"/>
        <w:rPr>
          <w:b/>
          <w:iCs/>
          <w:color w:val="000000" w:themeColor="text1"/>
          <w:lang w:val="en-US"/>
        </w:rPr>
      </w:pPr>
      <w:r w:rsidRPr="00F315BD">
        <w:rPr>
          <w:b/>
          <w:iCs/>
          <w:color w:val="000000" w:themeColor="text1"/>
          <w:lang w:val="en-US"/>
        </w:rPr>
        <w:t xml:space="preserve">Option </w:t>
      </w:r>
      <w:r>
        <w:rPr>
          <w:b/>
          <w:iCs/>
          <w:color w:val="000000" w:themeColor="text1"/>
          <w:lang w:val="en-US"/>
        </w:rPr>
        <w:t>4</w:t>
      </w:r>
      <w:r w:rsidRPr="00F315BD">
        <w:rPr>
          <w:b/>
          <w:iCs/>
          <w:color w:val="000000" w:themeColor="text1"/>
          <w:lang w:val="en-US"/>
        </w:rPr>
        <w:t>:</w:t>
      </w:r>
    </w:p>
    <w:p w14:paraId="61561085" w14:textId="77777777" w:rsidR="003670E8" w:rsidRDefault="003670E8" w:rsidP="003670E8">
      <w:pPr>
        <w:numPr>
          <w:ilvl w:val="5"/>
          <w:numId w:val="9"/>
        </w:numPr>
        <w:tabs>
          <w:tab w:val="left" w:pos="1701"/>
        </w:tabs>
        <w:spacing w:after="120"/>
        <w:ind w:left="1134" w:right="1134"/>
        <w:jc w:val="both"/>
      </w:pPr>
      <w:r w:rsidRPr="00F315BD">
        <w:rPr>
          <w:i/>
          <w:iCs/>
        </w:rPr>
        <w:t>Notes</w:t>
      </w:r>
      <w:r w:rsidRPr="00B26A83">
        <w:rPr>
          <w:bCs/>
          <w:color w:val="000000" w:themeColor="text1"/>
          <w:lang w:val="en-US"/>
        </w:rPr>
        <w:t xml:space="preserve"> that the participating Party arrangements for authorizing the use of </w:t>
      </w:r>
      <w:r w:rsidRPr="00DC26FE">
        <w:t>internationally</w:t>
      </w:r>
      <w:r w:rsidRPr="00B26A83">
        <w:rPr>
          <w:bCs/>
          <w:color w:val="000000" w:themeColor="text1"/>
          <w:lang w:val="en-US"/>
        </w:rPr>
        <w:t xml:space="preserve"> transferred mitigation outcomes referred to in decision 2/CMA.3, annex, paragraph 4(c) shall identify the amount of mitigation outcomes authorized and the purposes of their use as well as address the elements referred to in decision 2/CMA.3, annex, paragraph 18(g) through a single, sequential or separate processes a discretion of a Party</w:t>
      </w:r>
      <w:r>
        <w:rPr>
          <w:bCs/>
          <w:color w:val="000000" w:themeColor="text1"/>
          <w:lang w:val="en-US"/>
        </w:rPr>
        <w:t>;</w:t>
      </w:r>
    </w:p>
    <w:p w14:paraId="3DC4ACFC" w14:textId="77777777" w:rsidR="003670E8" w:rsidRDefault="003670E8" w:rsidP="003670E8">
      <w:pPr>
        <w:pStyle w:val="RegH1G"/>
        <w:numPr>
          <w:ilvl w:val="1"/>
          <w:numId w:val="8"/>
        </w:numPr>
      </w:pPr>
      <w:r w:rsidRPr="00677E16">
        <w:t>Content of the authorization</w:t>
      </w:r>
    </w:p>
    <w:p w14:paraId="3D2D2440" w14:textId="77777777" w:rsidR="003670E8" w:rsidRPr="00406B8B" w:rsidRDefault="003670E8" w:rsidP="003C28AB">
      <w:pPr>
        <w:pStyle w:val="RegH23G"/>
        <w:numPr>
          <w:ilvl w:val="0"/>
          <w:numId w:val="0"/>
        </w:numPr>
        <w:ind w:left="1135"/>
      </w:pPr>
      <w:r>
        <w:t>Option 1:</w:t>
      </w:r>
      <w:r w:rsidRPr="00102323">
        <w:rPr>
          <w:bCs/>
        </w:rPr>
        <w:t xml:space="preserve"> </w:t>
      </w:r>
      <w:r w:rsidRPr="00BF4A2F">
        <w:rPr>
          <w:bCs/>
        </w:rPr>
        <w:t>{</w:t>
      </w:r>
      <w:r>
        <w:rPr>
          <w:bCs/>
          <w:i/>
          <w:iCs/>
        </w:rPr>
        <w:t>mandatory</w:t>
      </w:r>
      <w:r w:rsidRPr="00BF4A2F">
        <w:rPr>
          <w:bCs/>
          <w:i/>
          <w:iCs/>
        </w:rPr>
        <w:t xml:space="preserve"> elements</w:t>
      </w:r>
      <w:r w:rsidRPr="00BF4A2F">
        <w:rPr>
          <w:b w:val="0"/>
          <w:bCs/>
        </w:rPr>
        <w:t>}</w:t>
      </w:r>
    </w:p>
    <w:p w14:paraId="07D489E3" w14:textId="77777777" w:rsidR="003670E8" w:rsidRPr="00677E16" w:rsidRDefault="003670E8" w:rsidP="003670E8">
      <w:pPr>
        <w:numPr>
          <w:ilvl w:val="5"/>
          <w:numId w:val="9"/>
        </w:numPr>
        <w:tabs>
          <w:tab w:val="left" w:pos="1701"/>
        </w:tabs>
        <w:spacing w:after="120"/>
        <w:ind w:left="1134" w:right="1134"/>
        <w:jc w:val="both"/>
      </w:pPr>
      <w:r w:rsidRPr="00677E16">
        <w:rPr>
          <w:i/>
        </w:rPr>
        <w:t>Decides</w:t>
      </w:r>
      <w:r w:rsidRPr="00677E16">
        <w:t xml:space="preserve"> that [each] participating Parties [Party] shall include in the authorizations [of the use of ITMOs from each cooperative approach] the following elements:</w:t>
      </w:r>
    </w:p>
    <w:p w14:paraId="7FBA8CBF" w14:textId="77777777" w:rsidR="003670E8" w:rsidRPr="00677E16" w:rsidRDefault="003670E8" w:rsidP="003C28AB">
      <w:pPr>
        <w:pStyle w:val="RegSingleTxtG2"/>
        <w:numPr>
          <w:ilvl w:val="6"/>
          <w:numId w:val="21"/>
        </w:numPr>
      </w:pPr>
      <w:r>
        <w:t>[</w:t>
      </w:r>
      <w:r w:rsidRPr="00677E16">
        <w:t>Unique identifier of the cooperative approach, as obtained from the centralized accounting and reporting platform[, where available</w:t>
      </w:r>
      <w:r>
        <w:t>]]</w:t>
      </w:r>
      <w:r w:rsidRPr="00677E16">
        <w:t xml:space="preserve">; </w:t>
      </w:r>
    </w:p>
    <w:p w14:paraId="32B67FF0" w14:textId="77777777" w:rsidR="003670E8" w:rsidRPr="00677E16" w:rsidRDefault="003670E8" w:rsidP="003C28AB">
      <w:pPr>
        <w:pStyle w:val="RegSingleTxtG2"/>
        <w:numPr>
          <w:ilvl w:val="6"/>
          <w:numId w:val="21"/>
        </w:numPr>
      </w:pPr>
      <w:r>
        <w:t>[</w:t>
      </w:r>
      <w:r w:rsidRPr="00677E16">
        <w:t>Name(s) of the first-transferring] Participating Party [or Parties] [and/or entities] [as per decision 2/CMA.3, annex, paragraph 20(b)</w:t>
      </w:r>
      <w:r>
        <w:t>]</w:t>
      </w:r>
      <w:r w:rsidRPr="00677E16">
        <w:t>;</w:t>
      </w:r>
    </w:p>
    <w:p w14:paraId="1E56DA1B" w14:textId="77777777" w:rsidR="003670E8" w:rsidRPr="00677E16" w:rsidRDefault="003670E8" w:rsidP="003C28AB">
      <w:pPr>
        <w:pStyle w:val="RegSingleTxtG2"/>
        <w:numPr>
          <w:ilvl w:val="6"/>
          <w:numId w:val="21"/>
        </w:numPr>
      </w:pPr>
      <w:r w:rsidRPr="00677E16">
        <w:lastRenderedPageBreak/>
        <w:t xml:space="preserve">Date </w:t>
      </w:r>
      <w:r>
        <w:t xml:space="preserve">[and duration] </w:t>
      </w:r>
      <w:r w:rsidRPr="00677E16">
        <w:t xml:space="preserve">of </w:t>
      </w:r>
      <w:r>
        <w:t xml:space="preserve">the </w:t>
      </w:r>
      <w:r w:rsidRPr="00677E16">
        <w:t>authorization</w:t>
      </w:r>
      <w:r w:rsidRPr="00677E16">
        <w:rPr>
          <w:rFonts w:asciiTheme="majorBidi" w:hAnsiTheme="majorBidi" w:cstheme="majorBidi"/>
        </w:rPr>
        <w:t>;</w:t>
      </w:r>
    </w:p>
    <w:p w14:paraId="04F9EEF7" w14:textId="77777777" w:rsidR="003670E8" w:rsidRPr="004D1B4A" w:rsidRDefault="003670E8" w:rsidP="003C28AB">
      <w:pPr>
        <w:pStyle w:val="RegSingleTxtG2"/>
        <w:numPr>
          <w:ilvl w:val="6"/>
          <w:numId w:val="21"/>
        </w:numPr>
      </w:pPr>
      <w:r w:rsidRPr="00677E16">
        <w:t>[Definition of] [For the cooperative approach and if applicable, how the participating Party specifies] ‘first transfer’ [by the authorizing Party for the cooperative approach] [as (1) the authorization, (2) the issuance or (3) the use or cancellation of the mitigation outcome</w:t>
      </w:r>
      <w:r>
        <w:t xml:space="preserve"> [as specified by participating Parties]</w:t>
      </w:r>
      <w:r w:rsidRPr="00677E16">
        <w:t>, as per decision 2/CMA.3, annex, paragraph 2</w:t>
      </w:r>
      <w:r w:rsidRPr="00677E16">
        <w:rPr>
          <w:rFonts w:asciiTheme="majorBidi" w:hAnsiTheme="majorBidi" w:cstheme="majorBidi"/>
        </w:rPr>
        <w:t>];</w:t>
      </w:r>
    </w:p>
    <w:p w14:paraId="03513334" w14:textId="77777777" w:rsidR="003670E8" w:rsidRPr="00677E16" w:rsidRDefault="003670E8" w:rsidP="003C28AB">
      <w:pPr>
        <w:pStyle w:val="RegSingleTxtG2"/>
        <w:numPr>
          <w:ilvl w:val="6"/>
          <w:numId w:val="21"/>
        </w:numPr>
      </w:pPr>
      <w:r>
        <w:t xml:space="preserve">[Purpose(s) of authorization </w:t>
      </w:r>
      <w:r w:rsidRPr="00DC26FE">
        <w:t>consistent with 2/CMA.3, annex, paragraph 1(d) and (f)</w:t>
      </w:r>
      <w:r>
        <w:t>];</w:t>
      </w:r>
    </w:p>
    <w:p w14:paraId="5D261194" w14:textId="77777777" w:rsidR="003670E8" w:rsidRPr="00677E16" w:rsidRDefault="003670E8" w:rsidP="003C28AB">
      <w:pPr>
        <w:pStyle w:val="RegSingleTxtG2"/>
        <w:numPr>
          <w:ilvl w:val="6"/>
          <w:numId w:val="21"/>
        </w:numPr>
      </w:pPr>
      <w:r>
        <w:t>[Quantity of ITMOs, if applicable];</w:t>
      </w:r>
    </w:p>
    <w:p w14:paraId="187D43BF" w14:textId="77777777" w:rsidR="003670E8" w:rsidRPr="00677E16" w:rsidRDefault="003670E8" w:rsidP="003C28AB">
      <w:pPr>
        <w:pStyle w:val="RegSingleTxtG2"/>
        <w:numPr>
          <w:ilvl w:val="6"/>
          <w:numId w:val="21"/>
        </w:numPr>
      </w:pPr>
      <w:r>
        <w:t>[</w:t>
      </w:r>
      <w:r w:rsidRPr="00677E16">
        <w:t>Arrangements for authorizing [using</w:t>
      </w:r>
      <w:r>
        <w:t>]</w:t>
      </w:r>
      <w:r w:rsidRPr="00677E16">
        <w:t xml:space="preserve"> participating Parties </w:t>
      </w:r>
      <w:r>
        <w:t>and/</w:t>
      </w:r>
      <w:r w:rsidRPr="00677E16">
        <w:t xml:space="preserve">or] </w:t>
      </w:r>
      <w:r>
        <w:t xml:space="preserve">authorized </w:t>
      </w:r>
      <w:r w:rsidRPr="00677E16">
        <w:t>entities, [as applicable];</w:t>
      </w:r>
    </w:p>
    <w:p w14:paraId="189CACDD" w14:textId="77777777" w:rsidR="003670E8" w:rsidRDefault="003670E8" w:rsidP="003C28AB">
      <w:pPr>
        <w:pStyle w:val="RegSingleTxtG2"/>
        <w:numPr>
          <w:ilvl w:val="6"/>
          <w:numId w:val="21"/>
        </w:numPr>
      </w:pPr>
      <w:r w:rsidRPr="00677E16">
        <w:t>[Any applicable terms and conditions</w:t>
      </w:r>
      <w:r>
        <w:t xml:space="preserve"> and arrangements</w:t>
      </w:r>
      <w:r w:rsidRPr="00677E16">
        <w:t xml:space="preserve"> pertaining to changes </w:t>
      </w:r>
      <w:r>
        <w:t xml:space="preserve">and/or revocation </w:t>
      </w:r>
      <w:r w:rsidRPr="00677E16">
        <w:t>to the authorization, as well as a description of the process for effecting and transparently communicating any changes];</w:t>
      </w:r>
    </w:p>
    <w:p w14:paraId="4DA04FC9" w14:textId="77777777" w:rsidR="003670E8" w:rsidRPr="00B001D7" w:rsidRDefault="003670E8" w:rsidP="003C28AB">
      <w:pPr>
        <w:pStyle w:val="ListParagraph"/>
        <w:numPr>
          <w:ilvl w:val="6"/>
          <w:numId w:val="21"/>
        </w:numPr>
      </w:pPr>
      <w:r w:rsidRPr="00B001D7">
        <w:t>Name and [parameters] [description] of the cooperative approach [as per decision 2/CMA.3, annex, paragraphs 18(g) and 20(b)];</w:t>
      </w:r>
    </w:p>
    <w:p w14:paraId="1A21A006" w14:textId="77777777" w:rsidR="003670E8" w:rsidRPr="00677E16" w:rsidRDefault="003670E8" w:rsidP="003C28AB">
      <w:pPr>
        <w:pStyle w:val="RegSingleTxtG2"/>
        <w:numPr>
          <w:ilvl w:val="6"/>
          <w:numId w:val="21"/>
        </w:numPr>
      </w:pPr>
      <w:r w:rsidRPr="00677E16">
        <w:t>Duration of the cooperative approach [as per decision 2/CMA.3, annex, paragraph 18(g)];</w:t>
      </w:r>
    </w:p>
    <w:p w14:paraId="1704BD08" w14:textId="77777777" w:rsidR="003670E8" w:rsidRPr="00677E16" w:rsidRDefault="003670E8" w:rsidP="003C28AB">
      <w:pPr>
        <w:pStyle w:val="RegSingleTxtG2"/>
        <w:numPr>
          <w:ilvl w:val="6"/>
          <w:numId w:val="21"/>
        </w:numPr>
      </w:pPr>
      <w:r w:rsidRPr="00677E16">
        <w:t>Sector(s) [as per decision 2/CMA.3, annex, paragraph 20(b)];</w:t>
      </w:r>
    </w:p>
    <w:p w14:paraId="2BD48DE3" w14:textId="77777777" w:rsidR="003670E8" w:rsidRPr="00677E16" w:rsidRDefault="003670E8" w:rsidP="003C28AB">
      <w:pPr>
        <w:pStyle w:val="RegSingleTxtG2"/>
        <w:numPr>
          <w:ilvl w:val="6"/>
          <w:numId w:val="21"/>
        </w:numPr>
      </w:pPr>
      <w:r w:rsidRPr="00677E16">
        <w:t>Vintage(s) [of the underlying mitigation outcome] [as per decisions 2/CMA.3, annex, paragraphs 20(b) and 23(j), and decision 6/CMA.4, annex I, paragraph 5(e)];</w:t>
      </w:r>
    </w:p>
    <w:p w14:paraId="1453F6DD" w14:textId="77777777" w:rsidR="003670E8" w:rsidRPr="00677E16" w:rsidRDefault="003670E8" w:rsidP="003C28AB">
      <w:pPr>
        <w:pStyle w:val="RegSingleTxtG2"/>
        <w:numPr>
          <w:ilvl w:val="6"/>
          <w:numId w:val="21"/>
        </w:numPr>
      </w:pPr>
      <w:r w:rsidRPr="00677E16">
        <w:t>[Activity(ies) and/or]Activity type(s) [as per decision 2/CMA.3, annex, paragraph 20(b)];</w:t>
      </w:r>
    </w:p>
    <w:p w14:paraId="74323501" w14:textId="77777777" w:rsidR="003670E8" w:rsidRPr="00677E16" w:rsidRDefault="003670E8" w:rsidP="003C28AB">
      <w:pPr>
        <w:pStyle w:val="RegSingleTxtG2"/>
        <w:numPr>
          <w:ilvl w:val="6"/>
          <w:numId w:val="21"/>
        </w:numPr>
      </w:pPr>
      <w:r w:rsidRPr="00677E16">
        <w:t>[Regulatory framework,] procedures[,] and [certification] standards [and/or methodology(ies)] [applied in] [underpinning]  the [implementation of the] cooperative approach];</w:t>
      </w:r>
    </w:p>
    <w:p w14:paraId="45285475" w14:textId="77777777" w:rsidR="003670E8" w:rsidRPr="00677E16" w:rsidRDefault="003670E8" w:rsidP="003C28AB">
      <w:pPr>
        <w:pStyle w:val="RegSingleTxtG2"/>
        <w:numPr>
          <w:ilvl w:val="6"/>
          <w:numId w:val="21"/>
        </w:numPr>
      </w:pPr>
      <w:r w:rsidRPr="00677E16">
        <w:t>Metrics and [units of] [methods for its] measurement [or conversion and the greenhouse gases covered] [as per decision 2/CMA.3, annex, paragraph 22(c−d)];</w:t>
      </w:r>
    </w:p>
    <w:p w14:paraId="373CF854" w14:textId="77777777" w:rsidR="003670E8" w:rsidRPr="00677E16" w:rsidRDefault="003670E8" w:rsidP="003C28AB">
      <w:pPr>
        <w:pStyle w:val="RegSingleTxtG2"/>
        <w:numPr>
          <w:ilvl w:val="0"/>
          <w:numId w:val="0"/>
        </w:numPr>
        <w:ind w:left="1701"/>
        <w:rPr>
          <w:b/>
          <w:bCs/>
          <w:i/>
          <w:iCs/>
          <w:u w:val="single"/>
        </w:rPr>
      </w:pPr>
      <w:r w:rsidRPr="00677E16">
        <w:rPr>
          <w:b/>
          <w:bCs/>
          <w:u w:val="single"/>
        </w:rPr>
        <w:t>{</w:t>
      </w:r>
      <w:r w:rsidRPr="00677E16">
        <w:rPr>
          <w:b/>
          <w:bCs/>
          <w:i/>
          <w:iCs/>
          <w:u w:val="single"/>
        </w:rPr>
        <w:t>Tracking arrangements</w:t>
      </w:r>
      <w:r w:rsidRPr="00677E16">
        <w:rPr>
          <w:b/>
          <w:bCs/>
          <w:u w:val="single"/>
        </w:rPr>
        <w:t>}</w:t>
      </w:r>
    </w:p>
    <w:p w14:paraId="390F709A" w14:textId="77777777" w:rsidR="003670E8" w:rsidRPr="00677E16" w:rsidRDefault="003670E8" w:rsidP="003C28AB">
      <w:pPr>
        <w:pStyle w:val="RegSingleTxtG2"/>
        <w:numPr>
          <w:ilvl w:val="6"/>
          <w:numId w:val="21"/>
        </w:numPr>
      </w:pPr>
      <w:r w:rsidRPr="00677E16">
        <w:t>[Identification of the authorizing Party’s] Registry [</w:t>
      </w:r>
      <w:r>
        <w:t>and/</w:t>
      </w:r>
      <w:r w:rsidRPr="00677E16">
        <w:t xml:space="preserve">or </w:t>
      </w:r>
      <w:r>
        <w:t xml:space="preserve">other </w:t>
      </w:r>
      <w:r w:rsidRPr="00677E16">
        <w:t>registries involved in] [for the purpose of] tracking [that records internationally transferred mitigation outcomes] [internationally transferred mitigation outcomes] [as per decision 2/CMA.3, annex, chapter VI,] from the cooperative approach;</w:t>
      </w:r>
    </w:p>
    <w:p w14:paraId="205FA5BB" w14:textId="77777777" w:rsidR="003670E8" w:rsidRPr="0002143C" w:rsidRDefault="003670E8" w:rsidP="003C28AB">
      <w:pPr>
        <w:pStyle w:val="RegSingleTxtG2"/>
        <w:numPr>
          <w:ilvl w:val="0"/>
          <w:numId w:val="0"/>
        </w:numPr>
        <w:ind w:left="1701"/>
        <w:rPr>
          <w:b/>
        </w:rPr>
      </w:pPr>
      <w:r>
        <w:rPr>
          <w:b/>
          <w:u w:val="single"/>
        </w:rPr>
        <w:t>{</w:t>
      </w:r>
      <w:r w:rsidRPr="00B525B5">
        <w:rPr>
          <w:b/>
          <w:i/>
          <w:iCs/>
          <w:u w:val="single"/>
        </w:rPr>
        <w:t>Scope and parameters of authorization</w:t>
      </w:r>
      <w:r>
        <w:rPr>
          <w:b/>
          <w:u w:val="single"/>
        </w:rPr>
        <w:t>}</w:t>
      </w:r>
    </w:p>
    <w:p w14:paraId="1065ABFC" w14:textId="77777777" w:rsidR="003670E8" w:rsidRPr="00677E16" w:rsidRDefault="003670E8" w:rsidP="003C28AB">
      <w:pPr>
        <w:pStyle w:val="RegSingleTxtG2"/>
        <w:numPr>
          <w:ilvl w:val="6"/>
          <w:numId w:val="21"/>
        </w:numPr>
      </w:pPr>
      <w:r w:rsidRPr="00677E16">
        <w:t>[For the cooperative approach, the use(s) authorized by the participating Party towards achievement of nationally determined contributions and/or for other international mitigation purposes consistent with decision 2/CMA.3, annex, paragraph 1(d) and (f)]</w:t>
      </w:r>
      <w:r>
        <w:t>;</w:t>
      </w:r>
    </w:p>
    <w:p w14:paraId="2783AD1A" w14:textId="77777777" w:rsidR="003670E8" w:rsidRPr="00677E16" w:rsidRDefault="003670E8" w:rsidP="003C28AB">
      <w:pPr>
        <w:pStyle w:val="RegSingleTxtG2"/>
        <w:numPr>
          <w:ilvl w:val="6"/>
          <w:numId w:val="21"/>
        </w:numPr>
      </w:pPr>
      <w:r w:rsidRPr="00677E16">
        <w:t xml:space="preserve">Other information relevant to the authorization and[/or] cooperative approach, [as per </w:t>
      </w:r>
      <w:r w:rsidRPr="00677E16" w:rsidDel="00230493">
        <w:t>decision 2/CMA.3</w:t>
      </w:r>
      <w:r w:rsidRPr="00677E16">
        <w:t>] [as per decision 3/CMA.3, annex, paragraph 42]</w:t>
      </w:r>
      <w:r w:rsidRPr="00677E16" w:rsidDel="00230493">
        <w:t>;</w:t>
      </w:r>
    </w:p>
    <w:p w14:paraId="01948E06" w14:textId="77777777" w:rsidR="003670E8" w:rsidRPr="00677E16" w:rsidRDefault="003670E8" w:rsidP="003C28AB">
      <w:pPr>
        <w:pStyle w:val="RegSingleTxtG2"/>
        <w:numPr>
          <w:ilvl w:val="6"/>
          <w:numId w:val="21"/>
        </w:numPr>
      </w:pPr>
      <w:r w:rsidRPr="00677E16">
        <w:t>[Specification of the indicators to which corresponding adjustments will be applied];</w:t>
      </w:r>
    </w:p>
    <w:p w14:paraId="3B192BE9" w14:textId="77777777" w:rsidR="003670E8" w:rsidRDefault="003670E8" w:rsidP="003C28AB">
      <w:pPr>
        <w:pStyle w:val="RegSingleTxtG2"/>
        <w:numPr>
          <w:ilvl w:val="6"/>
          <w:numId w:val="21"/>
        </w:numPr>
      </w:pPr>
      <w:r>
        <w:t>[</w:t>
      </w:r>
      <w:r w:rsidRPr="0002143C">
        <w:t>Information about the ITMO</w:t>
      </w:r>
      <w:r>
        <w:t>s];</w:t>
      </w:r>
    </w:p>
    <w:p w14:paraId="4FB6582B" w14:textId="77777777" w:rsidR="003670E8" w:rsidRDefault="003670E8" w:rsidP="003C28AB">
      <w:pPr>
        <w:pStyle w:val="RegSingleTxtG2"/>
        <w:numPr>
          <w:ilvl w:val="6"/>
          <w:numId w:val="21"/>
        </w:numPr>
      </w:pPr>
      <w:r>
        <w:t>[Procedures for the implementation of the Tracking arrangements];</w:t>
      </w:r>
    </w:p>
    <w:p w14:paraId="21615CB7" w14:textId="77777777" w:rsidR="003670E8" w:rsidRDefault="003670E8" w:rsidP="003C28AB">
      <w:pPr>
        <w:pStyle w:val="RegSingleTxtG2"/>
        <w:numPr>
          <w:ilvl w:val="6"/>
          <w:numId w:val="21"/>
        </w:numPr>
      </w:pPr>
      <w:r>
        <w:t>[Procedures for the implementation of the environmental integrity criteria];</w:t>
      </w:r>
    </w:p>
    <w:p w14:paraId="2F2E8BF5" w14:textId="77777777" w:rsidR="003670E8" w:rsidRPr="0002143C" w:rsidRDefault="003670E8" w:rsidP="003C28AB">
      <w:pPr>
        <w:pStyle w:val="RegSingleTxtG2"/>
        <w:numPr>
          <w:ilvl w:val="6"/>
          <w:numId w:val="21"/>
        </w:numPr>
      </w:pPr>
      <w:r>
        <w:t>[Contributions for adaptation and overall mitigation in global emissions];</w:t>
      </w:r>
    </w:p>
    <w:p w14:paraId="27BC07AD" w14:textId="77777777" w:rsidR="003670E8" w:rsidRPr="0002143C" w:rsidRDefault="003670E8" w:rsidP="003C28AB">
      <w:pPr>
        <w:pStyle w:val="RegSingleTxtG2"/>
        <w:numPr>
          <w:ilvl w:val="6"/>
          <w:numId w:val="21"/>
        </w:numPr>
      </w:pPr>
      <w:r>
        <w:t>[Name and definition of the cooperative approach as per decision 2/CMA.3, annex, paragraph 18(g) and 20(b)];</w:t>
      </w:r>
    </w:p>
    <w:p w14:paraId="737F513C" w14:textId="77777777" w:rsidR="003670E8" w:rsidRDefault="003670E8" w:rsidP="003670E8">
      <w:pPr>
        <w:keepNext/>
        <w:tabs>
          <w:tab w:val="left" w:pos="1701"/>
        </w:tabs>
        <w:spacing w:after="120"/>
        <w:ind w:left="1134" w:right="1134"/>
        <w:jc w:val="both"/>
        <w:rPr>
          <w:b/>
          <w:bCs/>
        </w:rPr>
      </w:pPr>
      <w:r>
        <w:rPr>
          <w:b/>
          <w:bCs/>
        </w:rPr>
        <w:lastRenderedPageBreak/>
        <w:t>Option 2:</w:t>
      </w:r>
    </w:p>
    <w:p w14:paraId="765C5F62" w14:textId="77777777" w:rsidR="003670E8" w:rsidRPr="001D7BDC" w:rsidRDefault="003670E8" w:rsidP="003670E8">
      <w:pPr>
        <w:numPr>
          <w:ilvl w:val="5"/>
          <w:numId w:val="9"/>
        </w:numPr>
        <w:tabs>
          <w:tab w:val="left" w:pos="1701"/>
        </w:tabs>
        <w:spacing w:after="120"/>
        <w:ind w:left="1134" w:right="1134"/>
        <w:jc w:val="both"/>
        <w:rPr>
          <w:i/>
        </w:rPr>
      </w:pPr>
      <w:r w:rsidRPr="001D7BDC">
        <w:rPr>
          <w:i/>
        </w:rPr>
        <w:t xml:space="preserve">Decides </w:t>
      </w:r>
      <w:r w:rsidRPr="001D7BDC">
        <w:rPr>
          <w:iCs/>
        </w:rPr>
        <w:t>that the copy of the authorisation referred to in decision 2/CMA.3, annex, paragraph 18(g), shall at least include or refer to information on the following elements of authorisation:</w:t>
      </w:r>
      <w:r w:rsidRPr="001D7BDC">
        <w:rPr>
          <w:i/>
        </w:rPr>
        <w:t xml:space="preserve"> </w:t>
      </w:r>
    </w:p>
    <w:p w14:paraId="50C424B7" w14:textId="77777777" w:rsidR="003670E8" w:rsidRPr="001D7BDC" w:rsidRDefault="003670E8" w:rsidP="003C28AB">
      <w:pPr>
        <w:pStyle w:val="RegSingleTxtG2"/>
        <w:numPr>
          <w:ilvl w:val="6"/>
          <w:numId w:val="22"/>
        </w:numPr>
        <w:rPr>
          <w:iCs/>
        </w:rPr>
      </w:pPr>
      <w:r w:rsidRPr="001D7BDC">
        <w:rPr>
          <w:iCs/>
        </w:rPr>
        <w:t>The date of the authorization;</w:t>
      </w:r>
    </w:p>
    <w:p w14:paraId="0FC172E6" w14:textId="77777777" w:rsidR="003670E8" w:rsidRPr="001D7BDC" w:rsidRDefault="003670E8" w:rsidP="003C28AB">
      <w:pPr>
        <w:pStyle w:val="RegSingleTxtG2"/>
        <w:numPr>
          <w:ilvl w:val="6"/>
          <w:numId w:val="22"/>
        </w:numPr>
        <w:rPr>
          <w:iCs/>
        </w:rPr>
      </w:pPr>
      <w:r w:rsidRPr="001D7BDC">
        <w:rPr>
          <w:iCs/>
        </w:rPr>
        <w:t>The authorising Party, including details of the Party authority providing the authorisation;</w:t>
      </w:r>
    </w:p>
    <w:p w14:paraId="0B61A30C" w14:textId="77777777" w:rsidR="003670E8" w:rsidRPr="001D7BDC" w:rsidRDefault="003670E8" w:rsidP="003C28AB">
      <w:pPr>
        <w:pStyle w:val="RegSingleTxtG2"/>
        <w:numPr>
          <w:ilvl w:val="6"/>
          <w:numId w:val="22"/>
        </w:numPr>
        <w:rPr>
          <w:iCs/>
        </w:rPr>
      </w:pPr>
      <w:r w:rsidRPr="001D7BDC">
        <w:rPr>
          <w:iCs/>
        </w:rPr>
        <w:t>A specification of the scope of authorisation, including a reference to the cooperative approach authorised; the sector(s) and activity type(s) covered by the authorisation; whether the authorisation includes emission reductions and/or removal enhancements; and, where applicable, which underlying programme(s) and/or registry(ies) are covered by the authorisation;</w:t>
      </w:r>
    </w:p>
    <w:p w14:paraId="3BB8AD65" w14:textId="77777777" w:rsidR="003670E8" w:rsidRPr="001D7BDC" w:rsidRDefault="003670E8" w:rsidP="003C28AB">
      <w:pPr>
        <w:pStyle w:val="RegSingleTxtG2"/>
        <w:numPr>
          <w:ilvl w:val="6"/>
          <w:numId w:val="22"/>
        </w:numPr>
        <w:rPr>
          <w:iCs/>
        </w:rPr>
      </w:pPr>
      <w:r w:rsidRPr="001D7BDC">
        <w:rPr>
          <w:iCs/>
        </w:rPr>
        <w:t>A specification of the conditions for changes or revocations to the authorisation or to elements of the authorisation and, if such changes or revocations are made after the first transfer of mitigation outcomes, a description of the arrangements and responsibilities to ensure that double counting or a net increase in emissions are avoided;</w:t>
      </w:r>
    </w:p>
    <w:p w14:paraId="36E0D1B6" w14:textId="77777777" w:rsidR="003670E8" w:rsidRPr="001D7BDC" w:rsidRDefault="003670E8" w:rsidP="003C28AB">
      <w:pPr>
        <w:pStyle w:val="RegSingleTxtG2"/>
        <w:numPr>
          <w:ilvl w:val="6"/>
          <w:numId w:val="22"/>
        </w:numPr>
        <w:rPr>
          <w:iCs/>
        </w:rPr>
      </w:pPr>
      <w:r w:rsidRPr="001D7BDC">
        <w:rPr>
          <w:iCs/>
        </w:rPr>
        <w:t>Arrangements for authorising the participation of entities in the approach, as applicable;</w:t>
      </w:r>
    </w:p>
    <w:p w14:paraId="69D9FAAC" w14:textId="77777777" w:rsidR="003670E8" w:rsidRPr="001D7BDC" w:rsidRDefault="003670E8" w:rsidP="003C28AB">
      <w:pPr>
        <w:pStyle w:val="RegSingleTxtG2"/>
        <w:numPr>
          <w:ilvl w:val="6"/>
          <w:numId w:val="22"/>
        </w:numPr>
        <w:rPr>
          <w:iCs/>
        </w:rPr>
      </w:pPr>
      <w:r w:rsidRPr="001D7BDC">
        <w:rPr>
          <w:iCs/>
        </w:rPr>
        <w:t>A specification of the definition of ‘first transfer’ to be applied in respect of the cooperative approach, pursuant to decision 2/CMA.3, annex, paragraph 2(b);</w:t>
      </w:r>
    </w:p>
    <w:p w14:paraId="6A72843B" w14:textId="77777777" w:rsidR="003670E8" w:rsidRDefault="003670E8" w:rsidP="003C28AB">
      <w:pPr>
        <w:pStyle w:val="RegSingleTxtG2"/>
        <w:numPr>
          <w:ilvl w:val="6"/>
          <w:numId w:val="22"/>
        </w:numPr>
        <w:rPr>
          <w:iCs/>
        </w:rPr>
      </w:pPr>
      <w:r w:rsidRPr="001D7BDC">
        <w:rPr>
          <w:iCs/>
        </w:rPr>
        <w:t>A specification of the registries that the Parties participating in the cooperative approach will use, including any use of the international registry and/or underlying third-party registries, a specification of how relevant actions with respect to ITMOs will be tracked and recorded within or between these registries, and a specification of how authorised mitigation outcomes are identified in any underlying third-party registry, as applicable;</w:t>
      </w:r>
    </w:p>
    <w:p w14:paraId="4647ACEA" w14:textId="77777777" w:rsidR="003670E8" w:rsidRPr="001D7BDC" w:rsidRDefault="003670E8" w:rsidP="003C28AB">
      <w:pPr>
        <w:pStyle w:val="RegSingleTxtG2"/>
        <w:numPr>
          <w:ilvl w:val="6"/>
          <w:numId w:val="22"/>
        </w:numPr>
        <w:rPr>
          <w:iCs/>
        </w:rPr>
      </w:pPr>
      <w:r w:rsidRPr="001D7BDC">
        <w:rPr>
          <w:iCs/>
        </w:rPr>
        <w:t xml:space="preserve">The quantity of ITMOs; </w:t>
      </w:r>
    </w:p>
    <w:p w14:paraId="46C172E9" w14:textId="77777777" w:rsidR="003670E8" w:rsidRPr="001D7BDC" w:rsidRDefault="003670E8" w:rsidP="003C28AB">
      <w:pPr>
        <w:pStyle w:val="RegSingleTxtG2"/>
        <w:numPr>
          <w:ilvl w:val="6"/>
          <w:numId w:val="22"/>
        </w:numPr>
        <w:rPr>
          <w:iCs/>
        </w:rPr>
      </w:pPr>
      <w:r w:rsidRPr="001D7BDC">
        <w:rPr>
          <w:iCs/>
        </w:rPr>
        <w:t>The unique identifier of the relevant cooperative approach</w:t>
      </w:r>
      <w:r>
        <w:rPr>
          <w:iCs/>
        </w:rPr>
        <w:t xml:space="preserve"> as per the common nomenclature of the cooperative approaches</w:t>
      </w:r>
      <w:r w:rsidRPr="001D7BDC">
        <w:rPr>
          <w:iCs/>
        </w:rPr>
        <w:t>;</w:t>
      </w:r>
    </w:p>
    <w:p w14:paraId="06622FB0" w14:textId="77777777" w:rsidR="003670E8" w:rsidRPr="001D7BDC" w:rsidRDefault="003670E8" w:rsidP="003C28AB">
      <w:pPr>
        <w:pStyle w:val="RegSingleTxtG2"/>
        <w:numPr>
          <w:ilvl w:val="6"/>
          <w:numId w:val="22"/>
        </w:numPr>
        <w:rPr>
          <w:iCs/>
        </w:rPr>
      </w:pPr>
      <w:r w:rsidRPr="001D7BDC">
        <w:rPr>
          <w:iCs/>
        </w:rPr>
        <w:t xml:space="preserve">The </w:t>
      </w:r>
      <w:r>
        <w:rPr>
          <w:iCs/>
        </w:rPr>
        <w:t xml:space="preserve">authorized use of ITMOs including the indication of the specific purposes identifier </w:t>
      </w:r>
      <w:r w:rsidRPr="001D7BDC">
        <w:rPr>
          <w:iCs/>
        </w:rPr>
        <w:t xml:space="preserve">in the case </w:t>
      </w:r>
      <w:r>
        <w:rPr>
          <w:iCs/>
        </w:rPr>
        <w:t xml:space="preserve">the ITMOs are authorized for </w:t>
      </w:r>
      <w:r w:rsidRPr="001D7BDC">
        <w:rPr>
          <w:iCs/>
        </w:rPr>
        <w:t xml:space="preserve">use towards OIMP; </w:t>
      </w:r>
    </w:p>
    <w:p w14:paraId="7FCC1AA5" w14:textId="77777777" w:rsidR="003670E8" w:rsidRPr="00A242F4" w:rsidRDefault="003670E8" w:rsidP="003670E8">
      <w:pPr>
        <w:numPr>
          <w:ilvl w:val="5"/>
          <w:numId w:val="9"/>
        </w:numPr>
        <w:tabs>
          <w:tab w:val="left" w:pos="1701"/>
        </w:tabs>
        <w:spacing w:after="120"/>
        <w:ind w:left="1134" w:right="1134"/>
        <w:jc w:val="both"/>
        <w:rPr>
          <w:i/>
        </w:rPr>
      </w:pPr>
      <w:r>
        <w:rPr>
          <w:i/>
        </w:rPr>
        <w:t>Notes</w:t>
      </w:r>
      <w:r w:rsidRPr="001D7BDC">
        <w:rPr>
          <w:i/>
        </w:rPr>
        <w:t xml:space="preserve"> </w:t>
      </w:r>
      <w:r w:rsidRPr="001D7BDC">
        <w:rPr>
          <w:iCs/>
        </w:rPr>
        <w:t>that the authorisation of an entity may be provided with the copy of the authorisation referred to in decision 2/CMA.3, annex, paragraph 18(g) or</w:t>
      </w:r>
      <w:r>
        <w:rPr>
          <w:iCs/>
        </w:rPr>
        <w:t xml:space="preserve"> as part </w:t>
      </w:r>
      <w:r w:rsidRPr="001D7BDC">
        <w:rPr>
          <w:iCs/>
        </w:rPr>
        <w:t xml:space="preserve">of the </w:t>
      </w:r>
      <w:r>
        <w:rPr>
          <w:iCs/>
        </w:rPr>
        <w:t>annual information;</w:t>
      </w:r>
    </w:p>
    <w:p w14:paraId="5427367C" w14:textId="77777777" w:rsidR="003670E8" w:rsidRPr="001D7BDC" w:rsidRDefault="003670E8" w:rsidP="003670E8">
      <w:pPr>
        <w:numPr>
          <w:ilvl w:val="5"/>
          <w:numId w:val="9"/>
        </w:numPr>
        <w:tabs>
          <w:tab w:val="left" w:pos="1701"/>
        </w:tabs>
        <w:spacing w:after="120"/>
        <w:ind w:left="1134" w:right="1134"/>
        <w:jc w:val="both"/>
        <w:rPr>
          <w:i/>
        </w:rPr>
      </w:pPr>
      <w:r>
        <w:rPr>
          <w:iCs/>
        </w:rPr>
        <w:t xml:space="preserve">Decides when authorizing entities the authorizing Party shall specify the unique identifier of the </w:t>
      </w:r>
      <w:r w:rsidRPr="00A86A63">
        <w:rPr>
          <w:iCs/>
        </w:rPr>
        <w:t>registry</w:t>
      </w:r>
      <w:r>
        <w:rPr>
          <w:iCs/>
        </w:rPr>
        <w:t>/ies I which the entity is authorized to hold an account as per the common nomenclature of registries;</w:t>
      </w:r>
    </w:p>
    <w:p w14:paraId="7F620756" w14:textId="77777777" w:rsidR="003670E8" w:rsidRPr="0059657C" w:rsidRDefault="003670E8" w:rsidP="003670E8">
      <w:pPr>
        <w:keepNext/>
        <w:tabs>
          <w:tab w:val="left" w:pos="1701"/>
        </w:tabs>
        <w:spacing w:after="120"/>
        <w:ind w:left="1134" w:right="1134"/>
        <w:jc w:val="both"/>
      </w:pPr>
      <w:r w:rsidRPr="0059657C">
        <w:t>{</w:t>
      </w:r>
      <w:r w:rsidRPr="0059657C">
        <w:rPr>
          <w:i/>
          <w:iCs/>
        </w:rPr>
        <w:t>End of options</w:t>
      </w:r>
      <w:r w:rsidRPr="0059657C">
        <w:t>}</w:t>
      </w:r>
    </w:p>
    <w:p w14:paraId="6EC07BB4" w14:textId="77777777" w:rsidR="003670E8" w:rsidRPr="00677E16" w:rsidRDefault="003670E8" w:rsidP="003670E8">
      <w:pPr>
        <w:keepNext/>
        <w:tabs>
          <w:tab w:val="left" w:pos="1701"/>
        </w:tabs>
        <w:spacing w:after="120"/>
        <w:ind w:left="1134" w:right="1134"/>
        <w:jc w:val="both"/>
      </w:pPr>
      <w:r w:rsidRPr="00677E16">
        <w:rPr>
          <w:b/>
          <w:bCs/>
        </w:rPr>
        <w:t xml:space="preserve">Option </w:t>
      </w:r>
      <w:r>
        <w:rPr>
          <w:b/>
          <w:bCs/>
        </w:rPr>
        <w:t>1:</w:t>
      </w:r>
      <w:r w:rsidRPr="00677E16">
        <w:t xml:space="preserve"> </w:t>
      </w:r>
      <w:r w:rsidRPr="00BF4A2F">
        <w:rPr>
          <w:b/>
          <w:bCs/>
        </w:rPr>
        <w:t>{</w:t>
      </w:r>
      <w:r>
        <w:rPr>
          <w:b/>
          <w:bCs/>
          <w:i/>
          <w:iCs/>
        </w:rPr>
        <w:t>v</w:t>
      </w:r>
      <w:r w:rsidRPr="00BF4A2F">
        <w:rPr>
          <w:b/>
          <w:bCs/>
          <w:i/>
          <w:iCs/>
        </w:rPr>
        <w:t>oluntary elements</w:t>
      </w:r>
      <w:r w:rsidRPr="00BF4A2F">
        <w:rPr>
          <w:b/>
          <w:bCs/>
        </w:rPr>
        <w:t>}</w:t>
      </w:r>
    </w:p>
    <w:p w14:paraId="6956A631" w14:textId="77777777" w:rsidR="003670E8" w:rsidRPr="00677E16" w:rsidRDefault="003670E8" w:rsidP="003670E8">
      <w:pPr>
        <w:numPr>
          <w:ilvl w:val="5"/>
          <w:numId w:val="9"/>
        </w:numPr>
        <w:tabs>
          <w:tab w:val="left" w:pos="1701"/>
        </w:tabs>
        <w:spacing w:after="120"/>
        <w:ind w:left="1134" w:right="1134"/>
        <w:jc w:val="both"/>
      </w:pPr>
      <w:r w:rsidRPr="00677E16">
        <w:rPr>
          <w:i/>
          <w:iCs/>
        </w:rPr>
        <w:t>Encourages</w:t>
      </w:r>
      <w:r w:rsidRPr="00677E16">
        <w:t xml:space="preserve"> each participating Party to include, [at its discretion,] the following [elements] [information] in the authorization(s)[, as appropriate,] for each cooperative approach, as per decision 2/CMA.3, annex, paragraph 18(g–i):</w:t>
      </w:r>
    </w:p>
    <w:p w14:paraId="3C32A51B" w14:textId="77777777" w:rsidR="003670E8" w:rsidRPr="00677E16" w:rsidRDefault="003670E8" w:rsidP="003C28AB">
      <w:pPr>
        <w:pStyle w:val="RegSingleTxtG2"/>
        <w:numPr>
          <w:ilvl w:val="0"/>
          <w:numId w:val="0"/>
        </w:numPr>
        <w:ind w:left="1701"/>
      </w:pPr>
      <w:r w:rsidRPr="00677E16">
        <w:rPr>
          <w:u w:val="single"/>
        </w:rPr>
        <w:t>{</w:t>
      </w:r>
      <w:r w:rsidRPr="00677E16">
        <w:rPr>
          <w:b/>
          <w:bCs/>
          <w:i/>
          <w:iCs/>
          <w:u w:val="single"/>
        </w:rPr>
        <w:t>Information about the cooperative approach</w:t>
      </w:r>
      <w:r w:rsidRPr="00677E16">
        <w:rPr>
          <w:u w:val="single"/>
        </w:rPr>
        <w:t>}</w:t>
      </w:r>
    </w:p>
    <w:p w14:paraId="7DF4C795" w14:textId="77777777" w:rsidR="003670E8" w:rsidRPr="00677E16" w:rsidRDefault="003670E8" w:rsidP="003C28AB">
      <w:pPr>
        <w:pStyle w:val="RegSingleTxtG2"/>
        <w:numPr>
          <w:ilvl w:val="6"/>
          <w:numId w:val="23"/>
        </w:numPr>
      </w:pPr>
      <w:r w:rsidRPr="00677E16">
        <w:t>Type of carbon market instrument that will be used;</w:t>
      </w:r>
    </w:p>
    <w:p w14:paraId="3299A9F9" w14:textId="77777777" w:rsidR="003670E8" w:rsidRPr="00677E16" w:rsidRDefault="003670E8" w:rsidP="003C28AB">
      <w:pPr>
        <w:pStyle w:val="RegSingleTxtG2"/>
        <w:numPr>
          <w:ilvl w:val="0"/>
          <w:numId w:val="0"/>
        </w:numPr>
        <w:ind w:left="1701"/>
        <w:rPr>
          <w:b/>
          <w:bCs/>
          <w:i/>
          <w:iCs/>
          <w:sz w:val="22"/>
          <w:szCs w:val="22"/>
          <w:u w:val="single"/>
        </w:rPr>
      </w:pPr>
      <w:r w:rsidRPr="00677E16">
        <w:rPr>
          <w:b/>
          <w:bCs/>
          <w:u w:val="single"/>
        </w:rPr>
        <w:t>{</w:t>
      </w:r>
      <w:r w:rsidRPr="00677E16">
        <w:rPr>
          <w:b/>
          <w:bCs/>
          <w:i/>
          <w:iCs/>
          <w:u w:val="single"/>
        </w:rPr>
        <w:t>Contributions for adaptation and overall mitigation in global emissions</w:t>
      </w:r>
      <w:r w:rsidRPr="00677E16">
        <w:rPr>
          <w:b/>
          <w:bCs/>
          <w:sz w:val="22"/>
          <w:szCs w:val="22"/>
          <w:u w:val="single"/>
        </w:rPr>
        <w:t>}</w:t>
      </w:r>
    </w:p>
    <w:p w14:paraId="4C1A7F43" w14:textId="77777777" w:rsidR="003670E8" w:rsidRPr="00677E16" w:rsidRDefault="003670E8" w:rsidP="003C28AB">
      <w:pPr>
        <w:pStyle w:val="RegSingleTxtG2"/>
        <w:numPr>
          <w:ilvl w:val="6"/>
          <w:numId w:val="23"/>
        </w:numPr>
      </w:pPr>
      <w:r w:rsidRPr="00677E16">
        <w:t>[Contribution of resources for adaptation [referred to in decision 2/CMA.3, annex, chapter VII] [as per decision 2/CMA.3, annex, [paragraph 22(j) and chapter VII] [paragraph 37]];</w:t>
      </w:r>
    </w:p>
    <w:p w14:paraId="2F9103F5" w14:textId="77777777" w:rsidR="003670E8" w:rsidRPr="00677E16" w:rsidRDefault="003670E8" w:rsidP="003C28AB">
      <w:pPr>
        <w:pStyle w:val="RegSingleTxtG2"/>
        <w:numPr>
          <w:ilvl w:val="6"/>
          <w:numId w:val="23"/>
        </w:numPr>
      </w:pPr>
      <w:r w:rsidRPr="00677E16">
        <w:lastRenderedPageBreak/>
        <w:t>[Contribution to overall mitigation in global emissions [referred to in decision 2/CMA.3, annex, chapter VII] as per decision 2/CMA.3, annex, [paragraph 22(k) and chapter VII] [paragraph 39]];</w:t>
      </w:r>
    </w:p>
    <w:p w14:paraId="6951A6F1" w14:textId="77777777" w:rsidR="003670E8" w:rsidRPr="00677E16" w:rsidDel="0042691B" w:rsidRDefault="003670E8" w:rsidP="003C28AB">
      <w:pPr>
        <w:pStyle w:val="RegSingleTxtG2"/>
        <w:numPr>
          <w:ilvl w:val="0"/>
          <w:numId w:val="0"/>
        </w:numPr>
        <w:ind w:left="1701"/>
        <w:rPr>
          <w:b/>
          <w:bCs/>
          <w:i/>
          <w:iCs/>
          <w:u w:val="single"/>
        </w:rPr>
      </w:pPr>
      <w:r w:rsidRPr="00677E16">
        <w:rPr>
          <w:b/>
          <w:bCs/>
          <w:u w:val="single"/>
        </w:rPr>
        <w:t>{</w:t>
      </w:r>
      <w:r w:rsidRPr="00677E16">
        <w:rPr>
          <w:b/>
          <w:bCs/>
          <w:i/>
          <w:iCs/>
          <w:u w:val="single"/>
        </w:rPr>
        <w:t>Other information</w:t>
      </w:r>
      <w:r w:rsidRPr="00677E16">
        <w:rPr>
          <w:b/>
          <w:bCs/>
          <w:sz w:val="22"/>
          <w:szCs w:val="22"/>
          <w:u w:val="single"/>
        </w:rPr>
        <w:t>}</w:t>
      </w:r>
    </w:p>
    <w:p w14:paraId="7C7E5CB0" w14:textId="77777777" w:rsidR="003670E8" w:rsidRPr="00677E16" w:rsidRDefault="003670E8" w:rsidP="003C28AB">
      <w:pPr>
        <w:pStyle w:val="RegSingleTxtG2"/>
        <w:numPr>
          <w:ilvl w:val="6"/>
          <w:numId w:val="23"/>
        </w:numPr>
      </w:pPr>
      <w:r w:rsidRPr="00677E16">
        <w:t>[Information on how participation in each cooperative approach and all cooperative approaches in which the Party participates combined contributes to the implementation of its NDC and long-term low-emission development strategy, if it has submitted one, and the long-term goals of the Paris Agreement];</w:t>
      </w:r>
    </w:p>
    <w:p w14:paraId="16B6D6C8" w14:textId="77777777" w:rsidR="003670E8" w:rsidRPr="00677E16" w:rsidRDefault="003670E8" w:rsidP="003C28AB">
      <w:pPr>
        <w:pStyle w:val="RegSingleTxtG2"/>
        <w:numPr>
          <w:ilvl w:val="6"/>
          <w:numId w:val="23"/>
        </w:numPr>
      </w:pPr>
      <w:r w:rsidRPr="00677E16">
        <w:t>[Information on how the mitigation outcomes from each cooperative approach are shared between the participating Parties involved];</w:t>
      </w:r>
    </w:p>
    <w:p w14:paraId="7F5A8075" w14:textId="77777777" w:rsidR="003670E8" w:rsidRPr="00677E16" w:rsidRDefault="003670E8" w:rsidP="003C28AB">
      <w:pPr>
        <w:pStyle w:val="RegSingleTxtG2"/>
        <w:numPr>
          <w:ilvl w:val="0"/>
          <w:numId w:val="0"/>
        </w:numPr>
        <w:ind w:left="1701"/>
        <w:rPr>
          <w:b/>
          <w:bCs/>
          <w:i/>
          <w:iCs/>
          <w:u w:val="single"/>
        </w:rPr>
      </w:pPr>
      <w:r w:rsidRPr="00677E16">
        <w:rPr>
          <w:b/>
          <w:bCs/>
          <w:u w:val="single"/>
        </w:rPr>
        <w:t>{</w:t>
      </w:r>
      <w:r w:rsidRPr="00677E16">
        <w:rPr>
          <w:b/>
          <w:bCs/>
          <w:i/>
          <w:iCs/>
          <w:u w:val="single"/>
        </w:rPr>
        <w:t>Elements of the initial report related to corresponding adjustments</w:t>
      </w:r>
      <w:r w:rsidRPr="00677E16">
        <w:rPr>
          <w:b/>
          <w:bCs/>
          <w:sz w:val="22"/>
          <w:szCs w:val="22"/>
          <w:u w:val="single"/>
        </w:rPr>
        <w:t>}</w:t>
      </w:r>
    </w:p>
    <w:p w14:paraId="4DFF057C" w14:textId="77777777" w:rsidR="003670E8" w:rsidRPr="00677E16" w:rsidRDefault="003670E8" w:rsidP="003C28AB">
      <w:pPr>
        <w:pStyle w:val="RegSingleTxtG2"/>
        <w:numPr>
          <w:ilvl w:val="6"/>
          <w:numId w:val="23"/>
        </w:numPr>
      </w:pPr>
      <w:r w:rsidRPr="00677E16">
        <w:t>[The methods used for establishing the indicative trajectory, trajectories or budgets and the resulting trajectory, trajectories or budget for each relevant indicator, where applicable];</w:t>
      </w:r>
    </w:p>
    <w:p w14:paraId="4B823EFD" w14:textId="77777777" w:rsidR="003670E8" w:rsidRPr="00677E16" w:rsidRDefault="003670E8" w:rsidP="003C28AB">
      <w:pPr>
        <w:pStyle w:val="RegSingleTxtG2"/>
        <w:numPr>
          <w:ilvl w:val="6"/>
          <w:numId w:val="23"/>
        </w:numPr>
      </w:pPr>
      <w:r w:rsidRPr="00677E16">
        <w:t>[Information on how the method for applying corresponding adjustments ensures that the implementation of the cooperative approach(es) do(es) not lead to a net increase in emissions of participating Parties within and between NDC implementation periods and that corresponding adjustments are representative of and consistent with participating Parties’ NDC implementation and achievement];</w:t>
      </w:r>
    </w:p>
    <w:p w14:paraId="5EB73AB0" w14:textId="77777777" w:rsidR="003670E8" w:rsidRPr="00677E16" w:rsidRDefault="003670E8" w:rsidP="003C28AB">
      <w:pPr>
        <w:pStyle w:val="RegSingleTxtG2"/>
        <w:numPr>
          <w:ilvl w:val="0"/>
          <w:numId w:val="0"/>
        </w:numPr>
        <w:ind w:left="1701"/>
        <w:rPr>
          <w:b/>
          <w:bCs/>
          <w:i/>
          <w:iCs/>
          <w:u w:val="single"/>
        </w:rPr>
      </w:pPr>
      <w:r w:rsidRPr="00677E16">
        <w:rPr>
          <w:b/>
          <w:bCs/>
          <w:u w:val="single"/>
        </w:rPr>
        <w:t>{</w:t>
      </w:r>
      <w:r w:rsidRPr="00677E16">
        <w:rPr>
          <w:b/>
          <w:bCs/>
          <w:i/>
          <w:iCs/>
          <w:u w:val="single"/>
        </w:rPr>
        <w:t>Elements of the initial report related to environmental integrity</w:t>
      </w:r>
      <w:r w:rsidRPr="00677E16">
        <w:rPr>
          <w:b/>
          <w:bCs/>
          <w:sz w:val="22"/>
          <w:szCs w:val="22"/>
          <w:u w:val="single"/>
        </w:rPr>
        <w:t>}</w:t>
      </w:r>
    </w:p>
    <w:p w14:paraId="3653566B" w14:textId="77777777" w:rsidR="003670E8" w:rsidRPr="00677E16" w:rsidRDefault="003670E8" w:rsidP="003C28AB">
      <w:pPr>
        <w:pStyle w:val="RegSingleTxtG2"/>
        <w:numPr>
          <w:ilvl w:val="6"/>
          <w:numId w:val="23"/>
        </w:numPr>
      </w:pPr>
      <w:r w:rsidRPr="00677E16">
        <w:t xml:space="preserve">[Information on </w:t>
      </w:r>
      <w:r>
        <w:t>-the</w:t>
      </w:r>
      <w:r w:rsidRPr="00677E16">
        <w:t xml:space="preserve"> methodological approaches used for quantifying the mitigation outcomes derived from the cooperative approach</w:t>
      </w:r>
      <w:r>
        <w:t xml:space="preserve"> including the information </w:t>
      </w:r>
      <w:r w:rsidRPr="00677E16">
        <w:t>on how uncertainties in the quantification of mitigation outcomes are taken into account];</w:t>
      </w:r>
    </w:p>
    <w:p w14:paraId="3627109A" w14:textId="77777777" w:rsidR="003670E8" w:rsidRPr="00677E16" w:rsidRDefault="003670E8" w:rsidP="003C28AB">
      <w:pPr>
        <w:pStyle w:val="RegSingleTxtG2"/>
        <w:numPr>
          <w:ilvl w:val="6"/>
          <w:numId w:val="23"/>
        </w:numPr>
      </w:pPr>
      <w:r w:rsidRPr="00677E16">
        <w:t>[Information on how any baseline or reference levels have been established, including how it is ensured that the baseline or reference levels are conservative and below ‘business as usual’ emission projections, and information on what assumptions have been made, taking into account uncertainty];</w:t>
      </w:r>
    </w:p>
    <w:p w14:paraId="13B4B399" w14:textId="77777777" w:rsidR="003670E8" w:rsidRPr="00677E16" w:rsidRDefault="003670E8" w:rsidP="003C28AB">
      <w:pPr>
        <w:pStyle w:val="RegSingleTxtG2"/>
        <w:numPr>
          <w:ilvl w:val="6"/>
          <w:numId w:val="23"/>
        </w:numPr>
      </w:pPr>
      <w:r w:rsidRPr="00677E16">
        <w:t xml:space="preserve">[Information on how policies such as relevant laws, regulations or targets have been taken into account in establishing baselines or references levels]; </w:t>
      </w:r>
    </w:p>
    <w:p w14:paraId="165AAB48" w14:textId="77777777" w:rsidR="003670E8" w:rsidRPr="00677E16" w:rsidRDefault="003670E8" w:rsidP="003C28AB">
      <w:pPr>
        <w:pStyle w:val="RegSingleTxtG2"/>
        <w:numPr>
          <w:ilvl w:val="6"/>
          <w:numId w:val="23"/>
        </w:numPr>
      </w:pPr>
      <w:r w:rsidRPr="00677E16">
        <w:t>[Information on how the cooperative approach facilitates the achievement of the long-term goals of the Paris Agreement and avoids locking in emission levels, technologies or practices that are inconsistent with achieving those goals];</w:t>
      </w:r>
    </w:p>
    <w:p w14:paraId="2F69B390" w14:textId="77777777" w:rsidR="003670E8" w:rsidRPr="00677E16" w:rsidRDefault="003670E8" w:rsidP="003C28AB">
      <w:pPr>
        <w:pStyle w:val="RegSingleTxtG2"/>
        <w:numPr>
          <w:ilvl w:val="6"/>
          <w:numId w:val="23"/>
        </w:numPr>
      </w:pPr>
      <w:r w:rsidRPr="00677E16">
        <w:t xml:space="preserve">[Information on how the risk of non-permanence is assessed under the cooperative approach and minimized across more than one NDC period, including the frequency and timing of risk assessments, the methodological approaches used, </w:t>
      </w:r>
      <w:r>
        <w:t>the</w:t>
      </w:r>
      <w:r w:rsidRPr="00677E16">
        <w:t xml:space="preserve"> types of risks considered</w:t>
      </w:r>
      <w:r>
        <w:t>,</w:t>
      </w:r>
      <w:r w:rsidRPr="00EC5471">
        <w:t xml:space="preserve"> </w:t>
      </w:r>
      <w:r w:rsidRPr="00677E16">
        <w:t xml:space="preserve">measures taken to minimize risks and time horizons considered]; </w:t>
      </w:r>
    </w:p>
    <w:p w14:paraId="051A5CF4" w14:textId="77777777" w:rsidR="003670E8" w:rsidRPr="00677E16" w:rsidRDefault="003670E8" w:rsidP="003C28AB">
      <w:pPr>
        <w:pStyle w:val="RegSingleTxtG2"/>
        <w:numPr>
          <w:ilvl w:val="6"/>
          <w:numId w:val="23"/>
        </w:numPr>
      </w:pPr>
      <w:r w:rsidRPr="00677E16">
        <w:t>[Information on how reversals [and leakage] are monitored and quantified, and when they occur, how they are addressed in full, including what methodological approaches are used to address reversals [and leakage] and how the responsibility for addressing reversals [and leakage] is assigned, the duration and frequency of monitoring for reversals [and leakage], and measures envisaged in case of failures in monitoring];</w:t>
      </w:r>
    </w:p>
    <w:p w14:paraId="5F6CB49C" w14:textId="77777777" w:rsidR="003670E8" w:rsidRPr="00677E16" w:rsidRDefault="003670E8" w:rsidP="003C28AB">
      <w:pPr>
        <w:pStyle w:val="RegSingleTxtG2"/>
        <w:numPr>
          <w:ilvl w:val="6"/>
          <w:numId w:val="23"/>
        </w:numPr>
      </w:pPr>
      <w:r>
        <w:t>Procedures under each cooperative approach for ensuring the implementation of elements established as per decision 2/CMA.3, annex, paragraph 18(h);</w:t>
      </w:r>
    </w:p>
    <w:p w14:paraId="6859B8CF" w14:textId="77777777" w:rsidR="003670E8" w:rsidRDefault="003670E8" w:rsidP="003C28AB">
      <w:pPr>
        <w:pStyle w:val="RegSingleTxtG2"/>
        <w:numPr>
          <w:ilvl w:val="0"/>
          <w:numId w:val="0"/>
        </w:numPr>
        <w:ind w:left="1134"/>
        <w:rPr>
          <w:b/>
          <w:bCs/>
        </w:rPr>
      </w:pPr>
      <w:r>
        <w:rPr>
          <w:b/>
          <w:bCs/>
        </w:rPr>
        <w:t>Option 2:</w:t>
      </w:r>
      <w:r w:rsidRPr="00A91A7B">
        <w:rPr>
          <w:b/>
          <w:bCs/>
        </w:rPr>
        <w:t xml:space="preserve"> </w:t>
      </w:r>
      <w:r>
        <w:rPr>
          <w:b/>
          <w:bCs/>
        </w:rPr>
        <w:t>{</w:t>
      </w:r>
      <w:r>
        <w:rPr>
          <w:b/>
          <w:bCs/>
          <w:i/>
        </w:rPr>
        <w:t>v</w:t>
      </w:r>
      <w:r w:rsidRPr="004E1C49">
        <w:rPr>
          <w:b/>
          <w:bCs/>
          <w:i/>
        </w:rPr>
        <w:t>oluntary inclusion of elements of the initial report</w:t>
      </w:r>
      <w:r>
        <w:rPr>
          <w:b/>
          <w:bCs/>
        </w:rPr>
        <w:t>}</w:t>
      </w:r>
    </w:p>
    <w:p w14:paraId="5513CBDE" w14:textId="77777777" w:rsidR="003670E8" w:rsidRPr="00823B17" w:rsidRDefault="003670E8" w:rsidP="003670E8">
      <w:pPr>
        <w:numPr>
          <w:ilvl w:val="5"/>
          <w:numId w:val="9"/>
        </w:numPr>
        <w:tabs>
          <w:tab w:val="left" w:pos="1701"/>
        </w:tabs>
        <w:spacing w:after="120"/>
        <w:ind w:left="1134" w:right="1134"/>
        <w:jc w:val="both"/>
      </w:pPr>
      <w:r w:rsidRPr="00EA7A26">
        <w:rPr>
          <w:i/>
        </w:rPr>
        <w:t xml:space="preserve">Encourages </w:t>
      </w:r>
      <w:r w:rsidRPr="001D7BDC">
        <w:rPr>
          <w:iCs/>
        </w:rPr>
        <w:t xml:space="preserve">each participating Party </w:t>
      </w:r>
      <w:r>
        <w:rPr>
          <w:iCs/>
        </w:rPr>
        <w:t xml:space="preserve">to provide </w:t>
      </w:r>
      <w:r w:rsidRPr="00823B17">
        <w:t xml:space="preserve">elements of the initial report in their authorization, to ensure that all </w:t>
      </w:r>
      <w:r>
        <w:rPr>
          <w:iCs/>
        </w:rPr>
        <w:t>reporting elements</w:t>
      </w:r>
      <w:r w:rsidRPr="00823B17">
        <w:t xml:space="preserve"> are covered either in the authorization or the initial report</w:t>
      </w:r>
      <w:r>
        <w:rPr>
          <w:iCs/>
        </w:rPr>
        <w:t>;</w:t>
      </w:r>
      <w:r w:rsidRPr="001D7BDC">
        <w:rPr>
          <w:iCs/>
        </w:rPr>
        <w:t xml:space="preserve"> </w:t>
      </w:r>
    </w:p>
    <w:p w14:paraId="7380E859" w14:textId="77777777" w:rsidR="003670E8" w:rsidRPr="00677E16" w:rsidRDefault="003670E8" w:rsidP="003C28AB">
      <w:pPr>
        <w:pStyle w:val="RegSingleTxtG2"/>
        <w:numPr>
          <w:ilvl w:val="0"/>
          <w:numId w:val="0"/>
        </w:numPr>
        <w:ind w:left="1134"/>
      </w:pPr>
      <w:r w:rsidRPr="00823B17">
        <w:rPr>
          <w:b/>
          <w:bCs/>
        </w:rPr>
        <w:t xml:space="preserve">Option </w:t>
      </w:r>
      <w:r>
        <w:rPr>
          <w:b/>
          <w:bCs/>
        </w:rPr>
        <w:t>3</w:t>
      </w:r>
      <w:r w:rsidRPr="00823B17">
        <w:rPr>
          <w:b/>
          <w:bCs/>
        </w:rPr>
        <w:t>:</w:t>
      </w:r>
      <w:r>
        <w:rPr>
          <w:b/>
          <w:bCs/>
        </w:rPr>
        <w:t xml:space="preserve"> </w:t>
      </w:r>
      <w:r w:rsidRPr="00823B17">
        <w:rPr>
          <w:b/>
        </w:rPr>
        <w:t>{</w:t>
      </w:r>
      <w:r w:rsidRPr="004E1C49">
        <w:rPr>
          <w:b/>
          <w:i/>
          <w:iCs/>
        </w:rPr>
        <w:t>No text required</w:t>
      </w:r>
      <w:r w:rsidRPr="004E1C49">
        <w:rPr>
          <w:b/>
        </w:rPr>
        <w:t>}</w:t>
      </w:r>
    </w:p>
    <w:p w14:paraId="335EA355" w14:textId="77777777" w:rsidR="003670E8" w:rsidRPr="00677E16" w:rsidRDefault="003670E8" w:rsidP="003670E8">
      <w:pPr>
        <w:pStyle w:val="RegH1G"/>
        <w:keepLines w:val="0"/>
        <w:numPr>
          <w:ilvl w:val="1"/>
          <w:numId w:val="8"/>
        </w:numPr>
      </w:pPr>
      <w:r w:rsidRPr="00677E16">
        <w:lastRenderedPageBreak/>
        <w:t>Format of the authorization</w:t>
      </w:r>
    </w:p>
    <w:p w14:paraId="50ACB73D" w14:textId="77777777" w:rsidR="003670E8" w:rsidRPr="00677E16" w:rsidRDefault="003670E8" w:rsidP="003670E8">
      <w:pPr>
        <w:keepNext/>
        <w:tabs>
          <w:tab w:val="left" w:pos="1701"/>
        </w:tabs>
        <w:spacing w:after="120"/>
        <w:ind w:left="1136" w:right="1134"/>
        <w:jc w:val="both"/>
        <w:rPr>
          <w:b/>
          <w:bCs/>
        </w:rPr>
      </w:pPr>
      <w:r w:rsidRPr="00677E16">
        <w:rPr>
          <w:b/>
          <w:bCs/>
        </w:rPr>
        <w:t>Option 1 {</w:t>
      </w:r>
      <w:r w:rsidRPr="00677E16">
        <w:rPr>
          <w:b/>
          <w:bCs/>
          <w:i/>
          <w:iCs/>
        </w:rPr>
        <w:t xml:space="preserve">standardized </w:t>
      </w:r>
      <w:r>
        <w:rPr>
          <w:b/>
          <w:bCs/>
          <w:i/>
          <w:iCs/>
        </w:rPr>
        <w:t>template</w:t>
      </w:r>
      <w:r w:rsidRPr="00677E16">
        <w:rPr>
          <w:b/>
          <w:bCs/>
        </w:rPr>
        <w:t>}</w:t>
      </w:r>
    </w:p>
    <w:p w14:paraId="0CFE8451" w14:textId="77777777" w:rsidR="003670E8" w:rsidRPr="00677E16" w:rsidRDefault="003670E8" w:rsidP="003670E8">
      <w:pPr>
        <w:numPr>
          <w:ilvl w:val="5"/>
          <w:numId w:val="9"/>
        </w:numPr>
        <w:tabs>
          <w:tab w:val="left" w:pos="1701"/>
        </w:tabs>
        <w:spacing w:after="120"/>
        <w:ind w:left="1134" w:right="1134"/>
        <w:jc w:val="both"/>
      </w:pPr>
      <w:bookmarkStart w:id="3" w:name="_Ref182407719"/>
      <w:r w:rsidRPr="00677E16">
        <w:rPr>
          <w:i/>
          <w:iCs/>
        </w:rPr>
        <w:t>Requests</w:t>
      </w:r>
      <w:r w:rsidRPr="00677E16">
        <w:t xml:space="preserve"> the secretariat, as the administrator of the centralized accounting and </w:t>
      </w:r>
      <w:r w:rsidRPr="002C0275">
        <w:t>reporting platform, to develop and publish [one or more] [a] [voluntary] [mandatory] standardized and user-friendly template, as necessary, for the information outlined in</w:t>
      </w:r>
      <w:r w:rsidRPr="002C0275" w:rsidDel="00B32952">
        <w:t xml:space="preserve"> </w:t>
      </w:r>
      <w:r w:rsidRPr="002C0275">
        <w:t xml:space="preserve">[paragraph[s] </w:t>
      </w:r>
      <w:r>
        <w:t>24</w:t>
      </w:r>
      <w:r w:rsidRPr="002C0275">
        <w:t xml:space="preserve"> [and </w:t>
      </w:r>
      <w:r>
        <w:t>28</w:t>
      </w:r>
      <w:r w:rsidRPr="002C0275">
        <w:t xml:space="preserve"> above]], [that] a participating</w:t>
      </w:r>
      <w:r w:rsidRPr="00677E16">
        <w:t xml:space="preserve"> Part</w:t>
      </w:r>
      <w:r>
        <w:t>ies</w:t>
      </w:r>
      <w:r w:rsidRPr="00677E16">
        <w:t xml:space="preserve"> </w:t>
      </w:r>
      <w:r>
        <w:t>[</w:t>
      </w:r>
      <w:r w:rsidRPr="00677E16">
        <w:t>shall</w:t>
      </w:r>
      <w:r>
        <w:t>][may]</w:t>
      </w:r>
      <w:r w:rsidRPr="00677E16">
        <w:t xml:space="preserve"> use to provide the information [requested in] [required by] decision 2/CMA.3, annex,</w:t>
      </w:r>
      <w:r w:rsidRPr="00677E16" w:rsidDel="00C72A45">
        <w:t xml:space="preserve"> paragraph </w:t>
      </w:r>
      <w:r w:rsidRPr="00677E16">
        <w:t>18 [to support the consistency and transparency of information provided]];</w:t>
      </w:r>
      <w:bookmarkEnd w:id="3"/>
    </w:p>
    <w:p w14:paraId="1B26D325" w14:textId="77777777" w:rsidR="003670E8" w:rsidRPr="00167702" w:rsidRDefault="003670E8" w:rsidP="003C28AB">
      <w:pPr>
        <w:pStyle w:val="RegH1G"/>
        <w:numPr>
          <w:ilvl w:val="0"/>
          <w:numId w:val="0"/>
        </w:numPr>
        <w:ind w:left="1135"/>
        <w:rPr>
          <w:bCs/>
          <w:sz w:val="20"/>
        </w:rPr>
      </w:pPr>
      <w:r w:rsidRPr="00167702">
        <w:rPr>
          <w:bCs/>
          <w:sz w:val="20"/>
        </w:rPr>
        <w:t>Option 2:{</w:t>
      </w:r>
      <w:r>
        <w:rPr>
          <w:bCs/>
          <w:i/>
          <w:iCs/>
          <w:sz w:val="20"/>
        </w:rPr>
        <w:t>n</w:t>
      </w:r>
      <w:r w:rsidRPr="00167702">
        <w:rPr>
          <w:bCs/>
          <w:i/>
          <w:iCs/>
          <w:sz w:val="20"/>
        </w:rPr>
        <w:t>o text required</w:t>
      </w:r>
      <w:r w:rsidRPr="00167702">
        <w:rPr>
          <w:bCs/>
          <w:sz w:val="20"/>
        </w:rPr>
        <w:t>}</w:t>
      </w:r>
    </w:p>
    <w:p w14:paraId="3B7F035D" w14:textId="77777777" w:rsidR="003670E8" w:rsidRPr="00677E16" w:rsidRDefault="003670E8" w:rsidP="003670E8">
      <w:pPr>
        <w:pStyle w:val="RegH1G"/>
        <w:numPr>
          <w:ilvl w:val="1"/>
          <w:numId w:val="8"/>
        </w:numPr>
      </w:pPr>
      <w:r w:rsidRPr="00677E16">
        <w:t>Change to authorization</w:t>
      </w:r>
    </w:p>
    <w:p w14:paraId="12B0E739" w14:textId="77777777" w:rsidR="003670E8" w:rsidRPr="00677E16" w:rsidRDefault="003670E8" w:rsidP="003670E8">
      <w:pPr>
        <w:tabs>
          <w:tab w:val="left" w:pos="1701"/>
        </w:tabs>
        <w:spacing w:after="120"/>
        <w:ind w:left="1136" w:right="1134"/>
        <w:jc w:val="both"/>
        <w:rPr>
          <w:b/>
          <w:bCs/>
        </w:rPr>
      </w:pPr>
      <w:r w:rsidRPr="00677E16">
        <w:rPr>
          <w:b/>
          <w:bCs/>
        </w:rPr>
        <w:t xml:space="preserve">Option </w:t>
      </w:r>
      <w:r>
        <w:rPr>
          <w:b/>
          <w:bCs/>
        </w:rPr>
        <w:t>1</w:t>
      </w:r>
      <w:r w:rsidRPr="00677E16">
        <w:rPr>
          <w:b/>
          <w:bCs/>
        </w:rPr>
        <w:t>: {</w:t>
      </w:r>
      <w:r w:rsidRPr="00677E16">
        <w:rPr>
          <w:b/>
          <w:bCs/>
          <w:i/>
          <w:iCs/>
        </w:rPr>
        <w:t>no changes to authorization after first transfer</w:t>
      </w:r>
      <w:r w:rsidRPr="00677E16">
        <w:rPr>
          <w:b/>
          <w:bCs/>
        </w:rPr>
        <w:t>}</w:t>
      </w:r>
    </w:p>
    <w:p w14:paraId="27A3206B" w14:textId="77777777" w:rsidR="003670E8" w:rsidRPr="00677E16" w:rsidRDefault="003670E8" w:rsidP="003670E8">
      <w:pPr>
        <w:numPr>
          <w:ilvl w:val="5"/>
          <w:numId w:val="9"/>
        </w:numPr>
        <w:tabs>
          <w:tab w:val="left" w:pos="1701"/>
        </w:tabs>
        <w:spacing w:after="120"/>
        <w:ind w:left="1134" w:right="1134"/>
        <w:jc w:val="both"/>
        <w:rPr>
          <w:b/>
          <w:bCs/>
          <w:i/>
          <w:iCs/>
          <w:sz w:val="18"/>
          <w:szCs w:val="18"/>
        </w:rPr>
      </w:pPr>
      <w:r w:rsidRPr="00677E16">
        <w:rPr>
          <w:i/>
          <w:iCs/>
        </w:rPr>
        <w:t>Decides</w:t>
      </w:r>
      <w:r w:rsidRPr="00677E16">
        <w:t xml:space="preserve"> that any changes [and/or revocations] to an authorization [of a cooperative approach] [of the use of ITMOs] shall not apply to or affect internationally transferred mitigation outcomes that have already been first transferred;</w:t>
      </w:r>
    </w:p>
    <w:p w14:paraId="381F70E1" w14:textId="77777777" w:rsidR="003670E8" w:rsidRPr="00677E16" w:rsidRDefault="003670E8" w:rsidP="003670E8">
      <w:pPr>
        <w:tabs>
          <w:tab w:val="left" w:pos="1701"/>
        </w:tabs>
        <w:spacing w:after="120"/>
        <w:ind w:left="1136" w:right="1134"/>
        <w:jc w:val="both"/>
        <w:rPr>
          <w:b/>
          <w:bCs/>
        </w:rPr>
      </w:pPr>
      <w:r w:rsidRPr="00677E16">
        <w:rPr>
          <w:b/>
          <w:bCs/>
        </w:rPr>
        <w:t xml:space="preserve">Option </w:t>
      </w:r>
      <w:r>
        <w:rPr>
          <w:b/>
          <w:bCs/>
        </w:rPr>
        <w:t>2</w:t>
      </w:r>
      <w:r w:rsidRPr="00677E16">
        <w:rPr>
          <w:b/>
          <w:bCs/>
        </w:rPr>
        <w:t>: {</w:t>
      </w:r>
      <w:r w:rsidRPr="00677E16">
        <w:rPr>
          <w:b/>
          <w:bCs/>
          <w:i/>
          <w:iCs/>
        </w:rPr>
        <w:t>no changes to authorization after first transfer, unless mutually</w:t>
      </w:r>
      <w:r w:rsidRPr="00677E16">
        <w:rPr>
          <w:b/>
          <w:bCs/>
        </w:rPr>
        <w:t xml:space="preserve"> </w:t>
      </w:r>
      <w:r w:rsidRPr="00677E16">
        <w:rPr>
          <w:b/>
          <w:bCs/>
          <w:i/>
          <w:iCs/>
        </w:rPr>
        <w:t>agreed</w:t>
      </w:r>
      <w:r w:rsidRPr="00677E16">
        <w:rPr>
          <w:b/>
          <w:bCs/>
        </w:rPr>
        <w:t>}</w:t>
      </w:r>
    </w:p>
    <w:p w14:paraId="293A3092" w14:textId="77777777" w:rsidR="003670E8" w:rsidRPr="00DE3030" w:rsidRDefault="003670E8" w:rsidP="003670E8">
      <w:pPr>
        <w:numPr>
          <w:ilvl w:val="5"/>
          <w:numId w:val="9"/>
        </w:numPr>
        <w:tabs>
          <w:tab w:val="left" w:pos="1701"/>
        </w:tabs>
        <w:spacing w:after="120"/>
        <w:ind w:left="1134" w:right="1134"/>
        <w:jc w:val="both"/>
        <w:rPr>
          <w:b/>
          <w:bCs/>
          <w:i/>
          <w:iCs/>
          <w:sz w:val="18"/>
          <w:szCs w:val="18"/>
        </w:rPr>
      </w:pPr>
      <w:bookmarkStart w:id="4" w:name="_Ref182405293"/>
      <w:r w:rsidRPr="00677E16">
        <w:rPr>
          <w:i/>
          <w:iCs/>
        </w:rPr>
        <w:t>Decides</w:t>
      </w:r>
      <w:r w:rsidRPr="00677E16">
        <w:t xml:space="preserve"> that any changes</w:t>
      </w:r>
      <w:r>
        <w:t xml:space="preserve"> [in relation to the withdrawal</w:t>
      </w:r>
      <w:r w:rsidRPr="00677E16">
        <w:t xml:space="preserve"> </w:t>
      </w:r>
      <w:r>
        <w:t xml:space="preserve">of an authorization of </w:t>
      </w:r>
      <w:r w:rsidRPr="00DF50E3">
        <w:rPr>
          <w:iCs/>
        </w:rPr>
        <w:t>internationally</w:t>
      </w:r>
      <w:r>
        <w:t xml:space="preserve"> transferred mitigation outcomes from a cooperative approach] </w:t>
      </w:r>
      <w:r w:rsidRPr="00677E16">
        <w:t xml:space="preserve">and/or revocations </w:t>
      </w:r>
      <w:r>
        <w:t>[</w:t>
      </w:r>
      <w:r w:rsidRPr="00677E16">
        <w:t>to an authorization</w:t>
      </w:r>
      <w:r>
        <w:t>]</w:t>
      </w:r>
      <w:r w:rsidRPr="00677E16">
        <w:t xml:space="preserve"> shall not apply to or affect internationally transferred mitigation outcomes that have already been first transferred, unless </w:t>
      </w:r>
      <w:r>
        <w:t>[</w:t>
      </w:r>
      <w:r w:rsidRPr="00677E16">
        <w:t>otherwise agreed and made publicly available by the participating Parties in a cooperative approach</w:t>
      </w:r>
      <w:r>
        <w:t>] [</w:t>
      </w:r>
      <w:r w:rsidRPr="0007530A">
        <w:rPr>
          <w:lang w:val="en-US"/>
        </w:rPr>
        <w:t xml:space="preserve">the Parties </w:t>
      </w:r>
      <w:r>
        <w:rPr>
          <w:lang w:val="en-US"/>
        </w:rPr>
        <w:t xml:space="preserve">participating </w:t>
      </w:r>
      <w:r w:rsidRPr="0007530A">
        <w:rPr>
          <w:lang w:val="en-US"/>
        </w:rPr>
        <w:t xml:space="preserve">in the cooperative approach have agreed and specified </w:t>
      </w:r>
      <w:r>
        <w:rPr>
          <w:lang w:val="en-US"/>
        </w:rPr>
        <w:t xml:space="preserve">in the initial report </w:t>
      </w:r>
      <w:r w:rsidRPr="0007530A">
        <w:rPr>
          <w:lang w:val="en-US"/>
        </w:rPr>
        <w:t xml:space="preserve">any </w:t>
      </w:r>
      <w:r>
        <w:rPr>
          <w:lang w:val="en-US"/>
        </w:rPr>
        <w:t>[</w:t>
      </w:r>
      <w:r w:rsidRPr="0007530A">
        <w:rPr>
          <w:lang w:val="en-US"/>
        </w:rPr>
        <w:t>extreme</w:t>
      </w:r>
      <w:r>
        <w:rPr>
          <w:lang w:val="en-US"/>
        </w:rPr>
        <w:t>]</w:t>
      </w:r>
      <w:r w:rsidRPr="0007530A">
        <w:rPr>
          <w:lang w:val="en-US"/>
        </w:rPr>
        <w:t xml:space="preserve"> circumstances </w:t>
      </w:r>
      <w:r>
        <w:rPr>
          <w:lang w:val="en-US"/>
        </w:rPr>
        <w:t xml:space="preserve">[such as </w:t>
      </w:r>
      <w:r w:rsidRPr="009E2D09">
        <w:rPr>
          <w:lang w:val="en-US"/>
        </w:rPr>
        <w:t>breaches of domestic or international law associated with the internationally transferred mitigation outcome</w:t>
      </w:r>
      <w:r>
        <w:rPr>
          <w:lang w:val="en-US"/>
        </w:rPr>
        <w:t>s]</w:t>
      </w:r>
      <w:r w:rsidRPr="0007530A">
        <w:rPr>
          <w:lang w:val="en-US"/>
        </w:rPr>
        <w:t xml:space="preserve"> </w:t>
      </w:r>
      <w:r w:rsidRPr="0081099D">
        <w:rPr>
          <w:lang w:val="en-US"/>
        </w:rPr>
        <w:t>in which this does not apply</w:t>
      </w:r>
      <w:r>
        <w:rPr>
          <w:lang w:val="en-US"/>
        </w:rPr>
        <w:t xml:space="preserve">, </w:t>
      </w:r>
      <w:r w:rsidRPr="0081099D">
        <w:rPr>
          <w:lang w:val="en-US"/>
        </w:rPr>
        <w:t>and these extreme circums</w:t>
      </w:r>
      <w:r>
        <w:rPr>
          <w:lang w:val="en-US"/>
        </w:rPr>
        <w:t>t</w:t>
      </w:r>
      <w:r w:rsidRPr="0081099D">
        <w:rPr>
          <w:lang w:val="en-US"/>
        </w:rPr>
        <w:t>ances have arisen</w:t>
      </w:r>
      <w:bookmarkEnd w:id="4"/>
      <w:r>
        <w:rPr>
          <w:lang w:val="en-US"/>
        </w:rPr>
        <w:t>];</w:t>
      </w:r>
      <w:r w:rsidRPr="00C106C5">
        <w:rPr>
          <w:lang w:val="en-US"/>
        </w:rPr>
        <w:t xml:space="preserve"> </w:t>
      </w:r>
      <w:r w:rsidRPr="0007530A">
        <w:rPr>
          <w:lang w:val="en-US"/>
        </w:rPr>
        <w:t xml:space="preserve"> </w:t>
      </w:r>
    </w:p>
    <w:p w14:paraId="386619CC" w14:textId="4DAB8810" w:rsidR="003670E8" w:rsidRPr="00677E16" w:rsidRDefault="003670E8" w:rsidP="003670E8">
      <w:pPr>
        <w:numPr>
          <w:ilvl w:val="5"/>
          <w:numId w:val="9"/>
        </w:numPr>
        <w:tabs>
          <w:tab w:val="left" w:pos="1701"/>
        </w:tabs>
        <w:spacing w:after="120"/>
        <w:ind w:left="1134" w:right="1134"/>
        <w:jc w:val="both"/>
        <w:rPr>
          <w:b/>
          <w:bCs/>
          <w:i/>
          <w:iCs/>
          <w:sz w:val="18"/>
          <w:szCs w:val="18"/>
        </w:rPr>
      </w:pPr>
      <w:r w:rsidRPr="00DE3030">
        <w:rPr>
          <w:i/>
          <w:iCs/>
          <w:lang w:val="en-US"/>
        </w:rPr>
        <w:t>Decides</w:t>
      </w:r>
      <w:r>
        <w:rPr>
          <w:lang w:val="en-US"/>
        </w:rPr>
        <w:t xml:space="preserve"> that participating Parties shall make</w:t>
      </w:r>
      <w:r w:rsidRPr="0007530A">
        <w:rPr>
          <w:lang w:val="en-US"/>
        </w:rPr>
        <w:t xml:space="preserve"> th</w:t>
      </w:r>
      <w:r>
        <w:rPr>
          <w:lang w:val="en-US"/>
        </w:rPr>
        <w:t xml:space="preserve">e information on the specific cases where [extreme] circumstances mentioned </w:t>
      </w:r>
      <w:r w:rsidR="00E1455B">
        <w:rPr>
          <w:lang w:val="en-US"/>
        </w:rPr>
        <w:t xml:space="preserve">in </w:t>
      </w:r>
      <w:r w:rsidR="00E1455B" w:rsidRPr="00E1455B">
        <w:rPr>
          <w:lang w:val="en-US"/>
        </w:rPr>
        <w:t>paragraph 32 above</w:t>
      </w:r>
      <w:r>
        <w:rPr>
          <w:lang w:val="en-US"/>
        </w:rPr>
        <w:t xml:space="preserve"> </w:t>
      </w:r>
      <w:r w:rsidRPr="0007530A">
        <w:rPr>
          <w:lang w:val="en-US"/>
        </w:rPr>
        <w:t>publicly</w:t>
      </w:r>
      <w:r>
        <w:rPr>
          <w:lang w:val="en-US"/>
        </w:rPr>
        <w:t xml:space="preserve"> </w:t>
      </w:r>
      <w:r w:rsidRPr="0007530A">
        <w:rPr>
          <w:lang w:val="en-US"/>
        </w:rPr>
        <w:t>available</w:t>
      </w:r>
      <w:r>
        <w:rPr>
          <w:lang w:val="en-US"/>
        </w:rPr>
        <w:t xml:space="preserve"> [in the next updated initial report] </w:t>
      </w:r>
      <w:r w:rsidRPr="0007530A">
        <w:rPr>
          <w:lang w:val="en-US"/>
        </w:rPr>
        <w:t xml:space="preserve">and </w:t>
      </w:r>
      <w:r>
        <w:rPr>
          <w:lang w:val="en-US"/>
        </w:rPr>
        <w:t>shall ensure that resulting</w:t>
      </w:r>
      <w:r w:rsidRPr="0007530A">
        <w:rPr>
          <w:lang w:val="en-US"/>
        </w:rPr>
        <w:t xml:space="preserve"> changes </w:t>
      </w:r>
      <w:r>
        <w:rPr>
          <w:lang w:val="en-US"/>
        </w:rPr>
        <w:t>and revocations</w:t>
      </w:r>
      <w:r w:rsidRPr="0007530A">
        <w:rPr>
          <w:lang w:val="en-US"/>
        </w:rPr>
        <w:t xml:space="preserve"> are also consistent with decision 2.CMA/3, annex, paragraph 21</w:t>
      </w:r>
      <w:r>
        <w:rPr>
          <w:lang w:val="en-US"/>
        </w:rPr>
        <w:t>(e)]]</w:t>
      </w:r>
      <w:r w:rsidRPr="00677E16">
        <w:t>;</w:t>
      </w:r>
    </w:p>
    <w:p w14:paraId="3FF868E6" w14:textId="77777777" w:rsidR="003670E8" w:rsidRPr="0007530A" w:rsidRDefault="003670E8" w:rsidP="003670E8">
      <w:pPr>
        <w:numPr>
          <w:ilvl w:val="5"/>
          <w:numId w:val="9"/>
        </w:numPr>
        <w:tabs>
          <w:tab w:val="left" w:pos="1701"/>
        </w:tabs>
        <w:spacing w:after="120"/>
        <w:ind w:left="1134" w:right="1134"/>
        <w:jc w:val="both"/>
      </w:pPr>
      <w:r w:rsidRPr="009E2D09">
        <w:rPr>
          <w:i/>
          <w:iCs/>
          <w:lang w:val="en-US"/>
        </w:rPr>
        <w:t xml:space="preserve">Requests </w:t>
      </w:r>
      <w:r w:rsidRPr="009E2D09">
        <w:rPr>
          <w:lang w:val="en-US"/>
        </w:rPr>
        <w:t>the secretariat to design and implement a process as necessary</w:t>
      </w:r>
      <w:r w:rsidRPr="009E2D09">
        <w:rPr>
          <w:b/>
          <w:bCs/>
          <w:lang w:val="en-US"/>
        </w:rPr>
        <w:t xml:space="preserve"> </w:t>
      </w:r>
      <w:r w:rsidRPr="009E2D09">
        <w:rPr>
          <w:lang w:val="en-US"/>
        </w:rPr>
        <w:t>which manages changes to the authorization of internationally transferred mitigation outcomes, to ensure the avoidance of double counting, and to report on its progress in its annual report to the CMA referred to in paragraph decision 2/CMA.3, Annex VI, paragraph 36(c)</w:t>
      </w:r>
      <w:r>
        <w:rPr>
          <w:lang w:val="en-US"/>
        </w:rPr>
        <w:t>;</w:t>
      </w:r>
      <w:r w:rsidRPr="0007530A">
        <w:t> </w:t>
      </w:r>
    </w:p>
    <w:p w14:paraId="37DD0577" w14:textId="77777777" w:rsidR="003670E8" w:rsidRDefault="003670E8" w:rsidP="003670E8">
      <w:pPr>
        <w:numPr>
          <w:ilvl w:val="5"/>
          <w:numId w:val="9"/>
        </w:numPr>
        <w:tabs>
          <w:tab w:val="left" w:pos="1701"/>
        </w:tabs>
        <w:spacing w:after="120"/>
        <w:ind w:left="1134" w:right="1134"/>
        <w:jc w:val="both"/>
      </w:pPr>
      <w:r w:rsidRPr="00677E16">
        <w:rPr>
          <w:i/>
          <w:iCs/>
        </w:rPr>
        <w:t>Decides</w:t>
      </w:r>
      <w:r w:rsidRPr="00677E16">
        <w:t xml:space="preserve"> that </w:t>
      </w:r>
      <w:r>
        <w:t>in determining [</w:t>
      </w:r>
      <w:r w:rsidRPr="00AD6E98">
        <w:t xml:space="preserve">the conditions governing changes or revocation of </w:t>
      </w:r>
      <w:r w:rsidRPr="00DC26FE">
        <w:rPr>
          <w:i/>
          <w:lang w:val="en-US"/>
        </w:rPr>
        <w:t>authorization</w:t>
      </w:r>
      <w:r>
        <w:t xml:space="preserve"> in the copy of authorization or in the information provided in the initial report  the Parties</w:t>
      </w:r>
      <w:r w:rsidRPr="00AD6E98">
        <w:t xml:space="preserve"> shall </w:t>
      </w:r>
      <w:r>
        <w:t xml:space="preserve">specify the </w:t>
      </w:r>
      <w:r w:rsidRPr="00AD6E98">
        <w:t>arrangements and responsibilities to ensure that any changes or revocation do not result in double counting or a net increase in emissions] [</w:t>
      </w:r>
      <w:r w:rsidRPr="00677E16">
        <w:t>if participating Parties agree to make changes to the authorization of [the use of] an internationally transferred mitigation outcome, each participating Party shall ensure the avoidance of double counting that could arise from such changes, consistent with Article 6, paragraph 2</w:t>
      </w:r>
      <w:r>
        <w:t>]</w:t>
      </w:r>
      <w:r w:rsidRPr="00677E16">
        <w:t>;</w:t>
      </w:r>
    </w:p>
    <w:p w14:paraId="35276BC4" w14:textId="77777777" w:rsidR="003670E8" w:rsidRPr="00E81D8D" w:rsidRDefault="003670E8" w:rsidP="003670E8">
      <w:pPr>
        <w:numPr>
          <w:ilvl w:val="5"/>
          <w:numId w:val="9"/>
        </w:numPr>
        <w:tabs>
          <w:tab w:val="left" w:pos="1701"/>
        </w:tabs>
        <w:spacing w:after="120"/>
        <w:ind w:left="1134" w:right="1134"/>
        <w:jc w:val="both"/>
      </w:pPr>
      <w:r w:rsidRPr="00E81D8D">
        <w:rPr>
          <w:i/>
        </w:rPr>
        <w:t>Decides</w:t>
      </w:r>
      <w:r w:rsidRPr="00E81D8D">
        <w:t xml:space="preserve"> that extreme circumstances include transgressions of </w:t>
      </w:r>
      <w:sdt>
        <w:sdtPr>
          <w:tag w:val="goog_rdk_103"/>
          <w:id w:val="-1928342572"/>
        </w:sdtPr>
        <w:sdtContent>
          <w:r w:rsidRPr="00E81D8D">
            <w:t xml:space="preserve">relevant </w:t>
          </w:r>
        </w:sdtContent>
      </w:sdt>
      <w:r w:rsidRPr="00E81D8D">
        <w:t xml:space="preserve">domestic or </w:t>
      </w:r>
      <w:r w:rsidRPr="00DC26FE">
        <w:rPr>
          <w:i/>
          <w:lang w:val="en-US"/>
        </w:rPr>
        <w:t>international</w:t>
      </w:r>
      <w:r w:rsidRPr="00E81D8D">
        <w:t xml:space="preserve"> law</w:t>
      </w:r>
      <w:r>
        <w:t>;</w:t>
      </w:r>
    </w:p>
    <w:p w14:paraId="445E0742" w14:textId="77777777" w:rsidR="003670E8" w:rsidRPr="00E81D8D" w:rsidRDefault="003670E8" w:rsidP="003670E8">
      <w:pPr>
        <w:numPr>
          <w:ilvl w:val="5"/>
          <w:numId w:val="9"/>
        </w:numPr>
        <w:tabs>
          <w:tab w:val="left" w:pos="1701"/>
        </w:tabs>
        <w:spacing w:after="120"/>
        <w:ind w:left="1134" w:right="1134"/>
        <w:jc w:val="both"/>
      </w:pPr>
      <w:r w:rsidRPr="00E81D8D">
        <w:rPr>
          <w:i/>
        </w:rPr>
        <w:t>Decides</w:t>
      </w:r>
      <w:r w:rsidRPr="00E81D8D">
        <w:t xml:space="preserve"> that ITMOs that have been used towards achievement of an NDC or other international mitigation purposes, will not be further transferred, further cancelled or otherwise used</w:t>
      </w:r>
      <w:r>
        <w:t>;</w:t>
      </w:r>
    </w:p>
    <w:p w14:paraId="66494CA3" w14:textId="77777777" w:rsidR="003670E8" w:rsidRPr="00677E16" w:rsidRDefault="003670E8" w:rsidP="000A5ACC">
      <w:pPr>
        <w:keepNext/>
        <w:tabs>
          <w:tab w:val="left" w:pos="1701"/>
        </w:tabs>
        <w:spacing w:after="120"/>
        <w:ind w:left="1134" w:right="1134"/>
        <w:jc w:val="both"/>
        <w:rPr>
          <w:b/>
          <w:bCs/>
        </w:rPr>
      </w:pPr>
      <w:r w:rsidRPr="00677E16">
        <w:rPr>
          <w:b/>
          <w:bCs/>
        </w:rPr>
        <w:lastRenderedPageBreak/>
        <w:t xml:space="preserve">Option </w:t>
      </w:r>
      <w:r>
        <w:rPr>
          <w:b/>
          <w:bCs/>
        </w:rPr>
        <w:t>3</w:t>
      </w:r>
      <w:r w:rsidRPr="00677E16">
        <w:rPr>
          <w:b/>
          <w:bCs/>
        </w:rPr>
        <w:t xml:space="preserve"> </w:t>
      </w:r>
      <w:r w:rsidRPr="00677E16">
        <w:t>{</w:t>
      </w:r>
      <w:r w:rsidRPr="00677E16">
        <w:rPr>
          <w:b/>
          <w:bCs/>
          <w:i/>
          <w:iCs/>
        </w:rPr>
        <w:t>changes to authorization do not affect first transferred ITMOs, unless otherwise publicly agreed or under extreme circumstances</w:t>
      </w:r>
      <w:r w:rsidRPr="00677E16">
        <w:t>}</w:t>
      </w:r>
    </w:p>
    <w:p w14:paraId="250DE501" w14:textId="77777777" w:rsidR="003670E8" w:rsidRPr="00677E16" w:rsidRDefault="003670E8" w:rsidP="00A25D91">
      <w:pPr>
        <w:keepLines/>
        <w:numPr>
          <w:ilvl w:val="5"/>
          <w:numId w:val="9"/>
        </w:numPr>
        <w:tabs>
          <w:tab w:val="left" w:pos="1701"/>
        </w:tabs>
        <w:spacing w:after="120"/>
        <w:ind w:left="1134" w:right="1134"/>
        <w:jc w:val="both"/>
      </w:pPr>
      <w:r w:rsidRPr="00677E16">
        <w:rPr>
          <w:i/>
          <w:iCs/>
        </w:rPr>
        <w:t>Decides</w:t>
      </w:r>
      <w:r w:rsidRPr="00677E16">
        <w:t xml:space="preserve"> that any changes [and/or revocations] to an authorization [of a cooperative </w:t>
      </w:r>
      <w:r w:rsidRPr="00DC26FE">
        <w:rPr>
          <w:i/>
        </w:rPr>
        <w:t>approach</w:t>
      </w:r>
      <w:r w:rsidRPr="00677E16">
        <w:t>] [of the use of ITMOs] [should] [shall] not apply to or affect internationally transferred mitigation outcomes that have already been first transferred, [unless otherwise agreed and made publicly available by the participating Parties in a cooperative approach [or unless made by a participating Party under extreme circumstances]];</w:t>
      </w:r>
    </w:p>
    <w:p w14:paraId="21171E66" w14:textId="77777777" w:rsidR="003670E8" w:rsidRPr="00677E16" w:rsidRDefault="003670E8" w:rsidP="003670E8">
      <w:pPr>
        <w:numPr>
          <w:ilvl w:val="5"/>
          <w:numId w:val="9"/>
        </w:numPr>
        <w:tabs>
          <w:tab w:val="left" w:pos="1701"/>
        </w:tabs>
        <w:spacing w:after="120"/>
        <w:ind w:left="1134" w:right="1134"/>
        <w:jc w:val="both"/>
      </w:pPr>
      <w:r w:rsidRPr="00F01727">
        <w:rPr>
          <w:i/>
        </w:rPr>
        <w:t>Decides</w:t>
      </w:r>
      <w:r w:rsidRPr="00677E16">
        <w:t xml:space="preserve"> that if participating Parties make changes to the authorization of [the use of] an internationally transferred mitigation outcome, each participating Party shall ensure the avoidance of double counting that could arise from such changes, consistent with Article 6, paragraph 2;</w:t>
      </w:r>
    </w:p>
    <w:p w14:paraId="0EF5EA07" w14:textId="77777777" w:rsidR="003670E8" w:rsidRPr="00677E16" w:rsidRDefault="003670E8" w:rsidP="003670E8">
      <w:pPr>
        <w:keepNext/>
        <w:tabs>
          <w:tab w:val="left" w:pos="1701"/>
        </w:tabs>
        <w:spacing w:before="240" w:after="120"/>
        <w:ind w:left="1134" w:right="1134"/>
        <w:jc w:val="both"/>
      </w:pPr>
      <w:r w:rsidRPr="00677E16">
        <w:rPr>
          <w:b/>
          <w:bCs/>
        </w:rPr>
        <w:t xml:space="preserve">Option </w:t>
      </w:r>
      <w:r>
        <w:rPr>
          <w:b/>
          <w:bCs/>
        </w:rPr>
        <w:t>4</w:t>
      </w:r>
      <w:r w:rsidRPr="00677E16">
        <w:rPr>
          <w:b/>
          <w:bCs/>
        </w:rPr>
        <w:t xml:space="preserve"> </w:t>
      </w:r>
      <w:r w:rsidRPr="00677E16">
        <w:t>{</w:t>
      </w:r>
      <w:r w:rsidRPr="00677E16">
        <w:rPr>
          <w:b/>
          <w:bCs/>
          <w:i/>
          <w:iCs/>
        </w:rPr>
        <w:t>changes to authorization do not affect first transferred ITMOs, unless otherwise publicly agreed or under previously agreed set of extreme circumstances</w:t>
      </w:r>
      <w:r w:rsidRPr="00677E16">
        <w:t>}</w:t>
      </w:r>
    </w:p>
    <w:p w14:paraId="0B1FC026"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Emphasizes </w:t>
      </w:r>
      <w:r w:rsidRPr="00677E16">
        <w:t xml:space="preserve">that any changes to an authorization of the use of internationally </w:t>
      </w:r>
      <w:r w:rsidRPr="00DC26FE">
        <w:rPr>
          <w:i/>
        </w:rPr>
        <w:t>transferred</w:t>
      </w:r>
      <w:r w:rsidRPr="00677E16">
        <w:t xml:space="preserve"> mitigation outcomes should not apply to or affect mitigation outcomes covered by that authorization that have already been first transferred [</w:t>
      </w:r>
      <w:r w:rsidRPr="00677E16">
        <w:rPr>
          <w:b/>
        </w:rPr>
        <w:t>Option 5A:</w:t>
      </w:r>
      <w:r w:rsidRPr="00677E16">
        <w:t xml:space="preserve"> , subject to any applicable terms and provisions in the authorization that specify the circumstances for such changes and the process for managing them, taking into account other participating Parties and/or authorized entities in the cooperative approach, and, where relevant, limiting any revocations of first transfers to extreme circumstances [such as those involving, inter alia, violations of domestic statutes, or national security, or inconsistencies with the eleventh preambular paragraph of the Paris Agreement, or with this guidance and relevant decisions of the CMA]][</w:t>
      </w:r>
      <w:r w:rsidRPr="00677E16">
        <w:rPr>
          <w:b/>
        </w:rPr>
        <w:t>Option 5B:</w:t>
      </w:r>
      <w:r w:rsidRPr="00677E16">
        <w:t>, unless otherwise agreed and made publicly available by the participating Parties in a cooperative approach or unless made by a participating Party under extreme circumstances];</w:t>
      </w:r>
    </w:p>
    <w:p w14:paraId="5C1B2EB8" w14:textId="77777777" w:rsidR="003670E8" w:rsidRPr="00677E16" w:rsidRDefault="003670E8" w:rsidP="003670E8">
      <w:pPr>
        <w:tabs>
          <w:tab w:val="left" w:pos="1701"/>
        </w:tabs>
        <w:spacing w:after="120"/>
        <w:ind w:left="1135" w:right="1134"/>
        <w:jc w:val="both"/>
        <w:rPr>
          <w:b/>
        </w:rPr>
      </w:pPr>
      <w:r w:rsidRPr="00677E16">
        <w:rPr>
          <w:b/>
        </w:rPr>
        <w:t>Option 6</w:t>
      </w:r>
      <w:r w:rsidRPr="00677E16" w:rsidDel="004F74F9">
        <w:rPr>
          <w:b/>
          <w:bCs/>
          <w:i/>
          <w:iCs/>
        </w:rPr>
        <w:t xml:space="preserve"> </w:t>
      </w:r>
      <w:r w:rsidRPr="00677E16">
        <w:t>{</w:t>
      </w:r>
      <w:r w:rsidRPr="00677E16">
        <w:rPr>
          <w:b/>
          <w:bCs/>
          <w:i/>
          <w:iCs/>
        </w:rPr>
        <w:t>changes to authorization at any time</w:t>
      </w:r>
      <w:r w:rsidRPr="00677E16">
        <w:t>}</w:t>
      </w:r>
    </w:p>
    <w:p w14:paraId="19DC3C89" w14:textId="77777777" w:rsidR="003670E8" w:rsidRPr="00677E16" w:rsidRDefault="003670E8" w:rsidP="003670E8">
      <w:pPr>
        <w:numPr>
          <w:ilvl w:val="5"/>
          <w:numId w:val="9"/>
        </w:numPr>
        <w:tabs>
          <w:tab w:val="left" w:pos="1701"/>
        </w:tabs>
        <w:spacing w:after="120"/>
        <w:ind w:left="1134" w:right="1134"/>
        <w:jc w:val="both"/>
      </w:pPr>
      <w:r w:rsidRPr="00677E16">
        <w:rPr>
          <w:i/>
        </w:rPr>
        <w:t>Notes</w:t>
      </w:r>
      <w:r w:rsidRPr="00677E16">
        <w:t xml:space="preserve"> that participating Parties may change and/or revoke the authorization of ITMOs at any time</w:t>
      </w:r>
      <w:r>
        <w:t>, provided that double counting is avoided</w:t>
      </w:r>
      <w:r w:rsidRPr="00677E16">
        <w:t>;</w:t>
      </w:r>
    </w:p>
    <w:p w14:paraId="310B18A1" w14:textId="77777777" w:rsidR="003670E8" w:rsidRPr="00677E16" w:rsidRDefault="003670E8" w:rsidP="003670E8">
      <w:pPr>
        <w:tabs>
          <w:tab w:val="left" w:pos="1701"/>
        </w:tabs>
        <w:spacing w:after="120"/>
        <w:ind w:left="1135" w:right="1134"/>
        <w:jc w:val="both"/>
        <w:rPr>
          <w:b/>
          <w:bCs/>
        </w:rPr>
      </w:pPr>
      <w:r w:rsidRPr="00677E16">
        <w:rPr>
          <w:b/>
          <w:bCs/>
        </w:rPr>
        <w:t xml:space="preserve">Option 7 </w:t>
      </w:r>
      <w:r w:rsidRPr="00677E16">
        <w:t>{</w:t>
      </w:r>
      <w:r w:rsidRPr="00677E16">
        <w:rPr>
          <w:b/>
          <w:bCs/>
          <w:i/>
          <w:iCs/>
        </w:rPr>
        <w:t>scope and process for changes deferred to review</w:t>
      </w:r>
      <w:r w:rsidRPr="00677E16">
        <w:t>}</w:t>
      </w:r>
    </w:p>
    <w:p w14:paraId="11BCAF8F" w14:textId="77777777" w:rsidR="003670E8" w:rsidRPr="00677E16" w:rsidRDefault="003670E8" w:rsidP="003670E8">
      <w:pPr>
        <w:numPr>
          <w:ilvl w:val="5"/>
          <w:numId w:val="9"/>
        </w:numPr>
        <w:tabs>
          <w:tab w:val="left" w:pos="1701"/>
        </w:tabs>
        <w:spacing w:after="120"/>
        <w:ind w:left="1134" w:right="1134"/>
        <w:jc w:val="both"/>
      </w:pPr>
      <w:r w:rsidRPr="00677E16">
        <w:rPr>
          <w:i/>
        </w:rPr>
        <w:t>Requests</w:t>
      </w:r>
      <w:r w:rsidRPr="00677E16">
        <w:t xml:space="preserve"> the Subsidiary Body for Scientific and Technological Advice, as part of the review of the guidance to be initiated by the Conference of the Parties serving as the meeting of the Parties to the Paris Agreement at its tenth session (2028),</w:t>
      </w:r>
      <w:r w:rsidRPr="00677E16">
        <w:rPr>
          <w:rStyle w:val="FootnoteReference"/>
        </w:rPr>
        <w:footnoteReference w:id="2"/>
      </w:r>
      <w:r w:rsidRPr="00677E16">
        <w:t xml:space="preserve"> to continue considering the potential scope of changes to the authorization of internationally transferred mitigation outcomes towards use(s) and a process for managing them that avoids double counting;</w:t>
      </w:r>
    </w:p>
    <w:p w14:paraId="0EA7B6FA" w14:textId="77777777" w:rsidR="003670E8" w:rsidRPr="00677E16" w:rsidRDefault="003670E8" w:rsidP="003670E8">
      <w:pPr>
        <w:tabs>
          <w:tab w:val="left" w:pos="1701"/>
        </w:tabs>
        <w:spacing w:after="120"/>
        <w:ind w:left="1135" w:right="1134"/>
        <w:jc w:val="both"/>
      </w:pPr>
      <w:r w:rsidRPr="00677E16">
        <w:rPr>
          <w:b/>
        </w:rPr>
        <w:t xml:space="preserve">Option 8: </w:t>
      </w:r>
      <w:r w:rsidRPr="004E1C49">
        <w:rPr>
          <w:b/>
          <w:bCs/>
        </w:rPr>
        <w:t>{</w:t>
      </w:r>
      <w:r w:rsidRPr="004E1C49">
        <w:rPr>
          <w:b/>
          <w:bCs/>
          <w:i/>
          <w:iCs/>
        </w:rPr>
        <w:t>no text required</w:t>
      </w:r>
      <w:r w:rsidRPr="004E1C49">
        <w:rPr>
          <w:b/>
          <w:bCs/>
        </w:rPr>
        <w:t>}</w:t>
      </w:r>
    </w:p>
    <w:p w14:paraId="532346DF" w14:textId="77777777" w:rsidR="003670E8" w:rsidRPr="00677E16" w:rsidRDefault="003670E8" w:rsidP="003670E8">
      <w:pPr>
        <w:pStyle w:val="RegH1G"/>
        <w:numPr>
          <w:ilvl w:val="1"/>
          <w:numId w:val="8"/>
        </w:numPr>
      </w:pPr>
      <w:r w:rsidRPr="00677E16">
        <w:t>Transparency of information about authorization</w:t>
      </w:r>
    </w:p>
    <w:p w14:paraId="0B62BFBE" w14:textId="77777777" w:rsidR="003670E8" w:rsidRPr="00677E16" w:rsidRDefault="003670E8" w:rsidP="003670E8">
      <w:pPr>
        <w:tabs>
          <w:tab w:val="left" w:pos="1701"/>
        </w:tabs>
        <w:spacing w:after="120"/>
        <w:ind w:left="1136" w:right="1134"/>
        <w:jc w:val="both"/>
        <w:rPr>
          <w:b/>
          <w:bCs/>
        </w:rPr>
      </w:pPr>
      <w:r w:rsidRPr="00677E16">
        <w:rPr>
          <w:b/>
          <w:bCs/>
        </w:rPr>
        <w:t xml:space="preserve">Option 1 </w:t>
      </w:r>
      <w:r w:rsidRPr="00677E16">
        <w:t>{</w:t>
      </w:r>
      <w:r w:rsidRPr="00677E16">
        <w:rPr>
          <w:b/>
          <w:bCs/>
          <w:i/>
          <w:iCs/>
        </w:rPr>
        <w:t>User-friendly template published by the secretariat in the international registry</w:t>
      </w:r>
      <w:r w:rsidRPr="00677E16">
        <w:t>}</w:t>
      </w:r>
    </w:p>
    <w:p w14:paraId="6662909F" w14:textId="6B4AD21E" w:rsidR="003670E8" w:rsidRPr="00677E16" w:rsidDel="00041B7D" w:rsidRDefault="003670E8" w:rsidP="003670E8">
      <w:pPr>
        <w:numPr>
          <w:ilvl w:val="5"/>
          <w:numId w:val="9"/>
        </w:numPr>
        <w:tabs>
          <w:tab w:val="left" w:pos="1701"/>
        </w:tabs>
        <w:spacing w:after="120"/>
        <w:ind w:left="1134" w:right="1134"/>
        <w:jc w:val="both"/>
      </w:pPr>
      <w:r w:rsidRPr="00677E16">
        <w:rPr>
          <w:i/>
          <w:iCs/>
        </w:rPr>
        <w:t>Requests</w:t>
      </w:r>
      <w:r w:rsidRPr="00677E16">
        <w:t xml:space="preserve"> the secretariat[</w:t>
      </w:r>
      <w:r w:rsidRPr="00677E16" w:rsidDel="00041B7D">
        <w:t>,</w:t>
      </w:r>
      <w:r w:rsidRPr="00677E16">
        <w:t xml:space="preserve"> in consultation with registry system administrators through the voluntary forum of Article 6 registry system administrators and technical experts of participating Parties</w:t>
      </w:r>
      <w:r w:rsidRPr="00677E16" w:rsidDel="00041B7D">
        <w:t>,</w:t>
      </w:r>
      <w:r w:rsidRPr="00677E16">
        <w:t xml:space="preserve">] to develop the [functionalities for participating Parties to publish copies of their authorization, or to utilize at their discretion the voluntary, standardized and user-friendly template referred to in paragraph </w:t>
      </w:r>
      <w:r w:rsidR="000A5ACC" w:rsidRPr="000A5ACC">
        <w:rPr>
          <w:cs/>
        </w:rPr>
        <w:t>‎</w:t>
      </w:r>
      <w:r w:rsidR="000A5ACC" w:rsidRPr="000A5ACC">
        <w:t xml:space="preserve">30 above </w:t>
      </w:r>
      <w:r w:rsidRPr="00677E16">
        <w:t xml:space="preserve">to provide information on their authorization, as appropriate, on] [standardized data structure for internationally transferred mitigation outcome authorizations, implement this structure in] the international registry [,] and include the [specification of the data structure] [specified functionalities] in the standards and recommended </w:t>
      </w:r>
      <w:r w:rsidRPr="00677E16" w:rsidDel="00041B7D">
        <w:t xml:space="preserve">practices for recording of data and information related to internationally transferred mitigation outcomes referred to in decision 6/CMA.4, paragraph 32, for use by </w:t>
      </w:r>
      <w:r w:rsidRPr="00677E16" w:rsidDel="00041B7D">
        <w:lastRenderedPageBreak/>
        <w:t>registries that connect to the international registry</w:t>
      </w:r>
      <w:r w:rsidRPr="00677E16">
        <w:t>[, consistently with this guidance and future relevant decisions of the Conference of the Parties serving as the meeting of the Parties to the Paris Agreement, for review by the Subsidiary Body for Scientific and Technological Advice at its sixty-first session]</w:t>
      </w:r>
      <w:r w:rsidRPr="00677E16" w:rsidDel="00041B7D">
        <w:t>;</w:t>
      </w:r>
    </w:p>
    <w:p w14:paraId="6E53113B" w14:textId="77777777" w:rsidR="003670E8" w:rsidRPr="00677E16" w:rsidDel="00041B7D" w:rsidRDefault="003670E8" w:rsidP="003670E8">
      <w:pPr>
        <w:tabs>
          <w:tab w:val="left" w:pos="1701"/>
        </w:tabs>
        <w:spacing w:after="120"/>
        <w:ind w:left="1135" w:right="1134"/>
        <w:jc w:val="both"/>
        <w:rPr>
          <w:b/>
          <w:i/>
        </w:rPr>
      </w:pPr>
      <w:r w:rsidRPr="00677E16">
        <w:rPr>
          <w:b/>
          <w:bCs/>
        </w:rPr>
        <w:t xml:space="preserve">Option 2 </w:t>
      </w:r>
      <w:r w:rsidRPr="00677E16">
        <w:t>{</w:t>
      </w:r>
      <w:r w:rsidRPr="00677E16">
        <w:rPr>
          <w:i/>
          <w:iCs/>
        </w:rPr>
        <w:t>Public repository in the CARP with no specified format</w:t>
      </w:r>
      <w:r w:rsidRPr="00677E16">
        <w:t>}</w:t>
      </w:r>
    </w:p>
    <w:p w14:paraId="03C8ECBD" w14:textId="77777777" w:rsidR="003670E8" w:rsidRPr="00677E16" w:rsidRDefault="003670E8" w:rsidP="003670E8">
      <w:pPr>
        <w:numPr>
          <w:ilvl w:val="5"/>
          <w:numId w:val="9"/>
        </w:numPr>
        <w:tabs>
          <w:tab w:val="left" w:pos="1701"/>
        </w:tabs>
        <w:spacing w:after="120"/>
        <w:ind w:left="1134" w:right="1134"/>
        <w:jc w:val="both"/>
      </w:pPr>
      <w:r w:rsidRPr="00677E16">
        <w:rPr>
          <w:i/>
        </w:rPr>
        <w:t>Clarifies</w:t>
      </w:r>
      <w:r w:rsidRPr="00677E16">
        <w:t xml:space="preserve"> that, as per decision 2/CMA.3, annex, paragraph 35, the centralized </w:t>
      </w:r>
      <w:r w:rsidRPr="005B522B">
        <w:rPr>
          <w:i/>
        </w:rPr>
        <w:t>accounting</w:t>
      </w:r>
      <w:r w:rsidRPr="00677E16">
        <w:t xml:space="preserve"> and reporting platform will provide a public repository for Parties’ statements and/or copies of authorization, including any changes or updates made to their authorization;</w:t>
      </w:r>
    </w:p>
    <w:p w14:paraId="4E2EBC24" w14:textId="77777777" w:rsidR="003670E8" w:rsidRPr="00677E16" w:rsidDel="00041B7D" w:rsidRDefault="003670E8" w:rsidP="003670E8">
      <w:pPr>
        <w:keepNext/>
        <w:tabs>
          <w:tab w:val="left" w:pos="1701"/>
        </w:tabs>
        <w:spacing w:after="120"/>
        <w:ind w:left="1134" w:right="1134"/>
        <w:jc w:val="both"/>
        <w:rPr>
          <w:b/>
          <w:i/>
        </w:rPr>
      </w:pPr>
      <w:r w:rsidRPr="00677E16">
        <w:rPr>
          <w:b/>
          <w:bCs/>
        </w:rPr>
        <w:t xml:space="preserve">Option 3 </w:t>
      </w:r>
      <w:r w:rsidRPr="00677E16">
        <w:t>{</w:t>
      </w:r>
      <w:r w:rsidRPr="00677E16">
        <w:rPr>
          <w:b/>
          <w:bCs/>
          <w:i/>
          <w:iCs/>
        </w:rPr>
        <w:t>Notification to all participating Parties and publication by the registry of the authorizing Party</w:t>
      </w:r>
      <w:r w:rsidRPr="00677E16">
        <w:t>}</w:t>
      </w:r>
    </w:p>
    <w:p w14:paraId="71F494BB"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Clarifies </w:t>
      </w:r>
      <w:r w:rsidRPr="00677E16">
        <w:t xml:space="preserve">that a copy of the authorization(s) of the use of ITMOs, as well as any changes </w:t>
      </w:r>
      <w:r w:rsidRPr="005B522B">
        <w:rPr>
          <w:i/>
        </w:rPr>
        <w:t>thereto</w:t>
      </w:r>
      <w:r w:rsidRPr="00677E16">
        <w:t>, is to be included with the information on the authorization and any changes to the earlier authorization in the regular information as per decision 2/CMA.3, annex, paragraph 21(c); notified to authorized participating Parties and/or entities; published on the registry of the authorizing Party and delivered to all registries involved in the same cooperative approach, and that the delivery should be organized in a way that it is completed as soon as practicable to enable its transparent and timely application;</w:t>
      </w:r>
    </w:p>
    <w:p w14:paraId="4EFABA1A" w14:textId="77777777" w:rsidR="003670E8" w:rsidRPr="00677E16" w:rsidDel="00041B7D" w:rsidRDefault="003670E8" w:rsidP="003670E8">
      <w:pPr>
        <w:pStyle w:val="ListParagraph"/>
        <w:tabs>
          <w:tab w:val="left" w:pos="1701"/>
        </w:tabs>
        <w:spacing w:after="120"/>
        <w:ind w:left="1135" w:right="1134"/>
        <w:jc w:val="both"/>
      </w:pPr>
      <w:r w:rsidRPr="00677E16">
        <w:rPr>
          <w:b/>
          <w:bCs/>
        </w:rPr>
        <w:t>Option 4:</w:t>
      </w:r>
      <w:r>
        <w:rPr>
          <w:b/>
          <w:bCs/>
        </w:rPr>
        <w:t xml:space="preserve"> </w:t>
      </w:r>
      <w:r w:rsidRPr="00677E16">
        <w:t>{</w:t>
      </w:r>
      <w:r w:rsidRPr="00677E16">
        <w:rPr>
          <w:i/>
          <w:iCs/>
        </w:rPr>
        <w:t>No text required</w:t>
      </w:r>
      <w:r w:rsidRPr="00677E16">
        <w:t>}</w:t>
      </w:r>
    </w:p>
    <w:p w14:paraId="03C24E24" w14:textId="77777777" w:rsidR="003670E8" w:rsidRPr="00677E16" w:rsidRDefault="003670E8" w:rsidP="003670E8">
      <w:pPr>
        <w:keepNext/>
        <w:keepLines/>
        <w:numPr>
          <w:ilvl w:val="0"/>
          <w:numId w:val="1"/>
        </w:numPr>
        <w:tabs>
          <w:tab w:val="left" w:pos="1701"/>
        </w:tabs>
        <w:spacing w:before="360" w:after="240" w:line="300" w:lineRule="exact"/>
        <w:ind w:right="1134"/>
        <w:jc w:val="both"/>
        <w:rPr>
          <w:b/>
          <w:sz w:val="28"/>
        </w:rPr>
      </w:pPr>
      <w:r w:rsidRPr="00677E16">
        <w:rPr>
          <w:b/>
          <w:sz w:val="28"/>
        </w:rPr>
        <w:t xml:space="preserve">Application of first transfer </w:t>
      </w:r>
    </w:p>
    <w:p w14:paraId="503C749F" w14:textId="77777777" w:rsidR="003670E8" w:rsidRPr="00B3645B" w:rsidRDefault="003670E8" w:rsidP="003670E8">
      <w:pPr>
        <w:pStyle w:val="RegH1G"/>
        <w:numPr>
          <w:ilvl w:val="1"/>
          <w:numId w:val="8"/>
        </w:numPr>
      </w:pPr>
      <w:r w:rsidRPr="00677E16">
        <w:t>Further guidance on first transfer</w:t>
      </w:r>
    </w:p>
    <w:p w14:paraId="3A52E4C8" w14:textId="77777777" w:rsidR="003670E8" w:rsidRPr="00677E16" w:rsidRDefault="003670E8" w:rsidP="003670E8">
      <w:pPr>
        <w:tabs>
          <w:tab w:val="left" w:pos="1701"/>
        </w:tabs>
        <w:spacing w:after="120"/>
        <w:ind w:left="1135" w:right="1134"/>
        <w:jc w:val="both"/>
        <w:rPr>
          <w:i/>
          <w:iCs/>
        </w:rPr>
      </w:pPr>
      <w:r w:rsidRPr="00677E16">
        <w:rPr>
          <w:b/>
          <w:bCs/>
        </w:rPr>
        <w:t xml:space="preserve">Option 1 </w:t>
      </w:r>
      <w:r w:rsidRPr="00677E16">
        <w:rPr>
          <w:b/>
        </w:rPr>
        <w:t>{</w:t>
      </w:r>
      <w:r w:rsidRPr="00677E16">
        <w:rPr>
          <w:b/>
          <w:i/>
        </w:rPr>
        <w:t>Recalling 2/CMA.3, annex, paragraph 2</w:t>
      </w:r>
      <w:r w:rsidRPr="00677E16">
        <w:rPr>
          <w:b/>
        </w:rPr>
        <w:t>}</w:t>
      </w:r>
    </w:p>
    <w:p w14:paraId="191FB183" w14:textId="77777777" w:rsidR="003670E8" w:rsidRPr="00677E16" w:rsidRDefault="003670E8" w:rsidP="003670E8">
      <w:pPr>
        <w:tabs>
          <w:tab w:val="left" w:pos="1701"/>
        </w:tabs>
        <w:spacing w:after="120"/>
        <w:ind w:left="1135" w:right="1134"/>
        <w:jc w:val="both"/>
        <w:rPr>
          <w:i/>
          <w:iCs/>
        </w:rPr>
      </w:pPr>
      <w:r w:rsidRPr="00677E16">
        <w:rPr>
          <w:b/>
          <w:bCs/>
        </w:rPr>
        <w:tab/>
        <w:t>Option A</w:t>
      </w:r>
    </w:p>
    <w:p w14:paraId="6FE9B4CC" w14:textId="77777777" w:rsidR="003670E8" w:rsidRPr="00677E16" w:rsidRDefault="003670E8" w:rsidP="003670E8">
      <w:pPr>
        <w:numPr>
          <w:ilvl w:val="5"/>
          <w:numId w:val="9"/>
        </w:numPr>
        <w:tabs>
          <w:tab w:val="left" w:pos="1701"/>
        </w:tabs>
        <w:spacing w:after="120"/>
        <w:ind w:left="1134" w:right="1134"/>
        <w:jc w:val="both"/>
      </w:pPr>
      <w:r w:rsidRPr="00DF50E3">
        <w:rPr>
          <w:i/>
          <w:iCs/>
        </w:rPr>
        <w:t>Recalls</w:t>
      </w:r>
      <w:r w:rsidRPr="00677E16">
        <w:t xml:space="preserve"> decision 2/CMA.3, annex, paragraph 2 which states what a first transfer is when an internationally transferred mitigation outcome is authorized for use towards the achievement of a nationally determined contribution or for other international mitigation purposes;</w:t>
      </w:r>
    </w:p>
    <w:p w14:paraId="73C9D783" w14:textId="77777777" w:rsidR="003670E8" w:rsidRPr="002C0275" w:rsidRDefault="003670E8" w:rsidP="003670E8">
      <w:pPr>
        <w:numPr>
          <w:ilvl w:val="5"/>
          <w:numId w:val="9"/>
        </w:numPr>
        <w:tabs>
          <w:tab w:val="left" w:pos="1701"/>
        </w:tabs>
        <w:spacing w:after="120"/>
        <w:ind w:left="1134" w:right="1134"/>
        <w:jc w:val="both"/>
      </w:pPr>
      <w:r w:rsidRPr="00677E16">
        <w:rPr>
          <w:i/>
          <w:iCs/>
        </w:rPr>
        <w:t>Clarifies</w:t>
      </w:r>
      <w:r w:rsidRPr="00677E16">
        <w:t xml:space="preserve"> that the first transfer shall be applied in accordance with </w:t>
      </w:r>
      <w:r w:rsidRPr="002C0275">
        <w:t xml:space="preserve">paragraph </w:t>
      </w:r>
      <w:r>
        <w:t>46</w:t>
      </w:r>
      <w:r w:rsidRPr="002C0275">
        <w:t xml:space="preserve"> above;</w:t>
      </w:r>
    </w:p>
    <w:p w14:paraId="215DC1E4" w14:textId="77777777" w:rsidR="003670E8" w:rsidRPr="00677E16" w:rsidRDefault="003670E8" w:rsidP="003670E8">
      <w:pPr>
        <w:tabs>
          <w:tab w:val="left" w:pos="1701"/>
        </w:tabs>
        <w:spacing w:after="120"/>
        <w:ind w:left="1135" w:right="1134"/>
        <w:jc w:val="both"/>
        <w:rPr>
          <w:b/>
          <w:bCs/>
        </w:rPr>
      </w:pPr>
      <w:r w:rsidRPr="00677E16">
        <w:rPr>
          <w:i/>
          <w:iCs/>
        </w:rPr>
        <w:tab/>
      </w:r>
      <w:bookmarkStart w:id="5" w:name="_Hlk182408888"/>
      <w:r w:rsidRPr="00677E16">
        <w:rPr>
          <w:b/>
          <w:bCs/>
        </w:rPr>
        <w:t>Option B</w:t>
      </w:r>
    </w:p>
    <w:p w14:paraId="24E400B3" w14:textId="77777777" w:rsidR="003670E8" w:rsidRPr="00DC26FE" w:rsidRDefault="003670E8" w:rsidP="003670E8">
      <w:pPr>
        <w:numPr>
          <w:ilvl w:val="5"/>
          <w:numId w:val="9"/>
        </w:numPr>
        <w:tabs>
          <w:tab w:val="left" w:pos="1701"/>
        </w:tabs>
        <w:spacing w:after="120"/>
        <w:ind w:left="1134" w:right="1134"/>
        <w:jc w:val="both"/>
      </w:pPr>
      <w:r w:rsidRPr="00DF50E3">
        <w:rPr>
          <w:i/>
          <w:iCs/>
        </w:rPr>
        <w:t>Decides</w:t>
      </w:r>
      <w:r w:rsidRPr="00677E16">
        <w:t xml:space="preserve"> that </w:t>
      </w:r>
      <w:bookmarkEnd w:id="5"/>
      <w:r w:rsidRPr="00677E16">
        <w:t>the first transfer of an internationally transferred mitigation outcome should be pursuant to decision 2/CMA.3, annex, paragraph 2(a–b);</w:t>
      </w:r>
    </w:p>
    <w:p w14:paraId="59FBA7B2" w14:textId="77777777" w:rsidR="003670E8" w:rsidRDefault="003670E8" w:rsidP="003670E8">
      <w:pPr>
        <w:tabs>
          <w:tab w:val="left" w:pos="1701"/>
        </w:tabs>
        <w:spacing w:after="120"/>
        <w:ind w:left="1135" w:right="1134"/>
        <w:jc w:val="both"/>
        <w:rPr>
          <w:b/>
          <w:bCs/>
        </w:rPr>
      </w:pPr>
      <w:r>
        <w:rPr>
          <w:b/>
          <w:bCs/>
        </w:rPr>
        <w:tab/>
        <w:t>Option C</w:t>
      </w:r>
    </w:p>
    <w:p w14:paraId="265D3B3F" w14:textId="77777777" w:rsidR="003670E8" w:rsidRPr="00DC26FE" w:rsidRDefault="003670E8" w:rsidP="003670E8">
      <w:pPr>
        <w:numPr>
          <w:ilvl w:val="5"/>
          <w:numId w:val="9"/>
        </w:numPr>
        <w:tabs>
          <w:tab w:val="left" w:pos="1701"/>
        </w:tabs>
        <w:spacing w:after="120"/>
        <w:ind w:left="1134" w:right="1134"/>
        <w:jc w:val="both"/>
      </w:pPr>
      <w:r w:rsidRPr="00DF50E3">
        <w:rPr>
          <w:i/>
          <w:iCs/>
        </w:rPr>
        <w:t>Clarifies</w:t>
      </w:r>
      <w:r w:rsidRPr="00DF50E3">
        <w:t xml:space="preserve"> that in accordance with decision 2/CMA.3, annex, paragraph 2(a), where a mitigation outcome has been authorized for use towards the achievement of an NDC, the term ‘first international transfer’ refers to the transfer of a mitigation outcome from the registry, or Party-specific section in the international registry, used by the first transferring Party to the registry, or Party-specific section in the international registry, used by the acquiring Party or entity authorized by the acquiring Party;</w:t>
      </w:r>
    </w:p>
    <w:p w14:paraId="61B6A2B9" w14:textId="77777777" w:rsidR="003670E8" w:rsidRPr="00DF50E3" w:rsidRDefault="003670E8" w:rsidP="003670E8">
      <w:pPr>
        <w:numPr>
          <w:ilvl w:val="5"/>
          <w:numId w:val="9"/>
        </w:numPr>
        <w:tabs>
          <w:tab w:val="left" w:pos="1701"/>
        </w:tabs>
        <w:spacing w:after="120"/>
        <w:ind w:left="1134" w:right="1134"/>
        <w:jc w:val="both"/>
      </w:pPr>
      <w:r w:rsidRPr="00DF50E3">
        <w:rPr>
          <w:i/>
          <w:iCs/>
        </w:rPr>
        <w:t>Further clarifies</w:t>
      </w:r>
      <w:r w:rsidRPr="00DF50E3">
        <w:t xml:space="preserve"> that in accordance with decision 2/CMA.3, annex, paragraph 2(b), where a mitigation outcome has been authorized for use towards other international mitigation purposes:</w:t>
      </w:r>
    </w:p>
    <w:p w14:paraId="368D6DF2" w14:textId="77777777" w:rsidR="003670E8" w:rsidRPr="000B0B1B" w:rsidRDefault="003670E8" w:rsidP="003C28AB">
      <w:pPr>
        <w:numPr>
          <w:ilvl w:val="6"/>
          <w:numId w:val="24"/>
        </w:numPr>
        <w:spacing w:after="120"/>
        <w:ind w:right="1134"/>
        <w:jc w:val="both"/>
        <w:rPr>
          <w:iCs/>
        </w:rPr>
      </w:pPr>
      <w:r>
        <w:rPr>
          <w:iCs/>
        </w:rPr>
        <w:t>T</w:t>
      </w:r>
      <w:r w:rsidRPr="000B0B1B">
        <w:rPr>
          <w:iCs/>
        </w:rPr>
        <w:t xml:space="preserve">he term ‘authorization’ in </w:t>
      </w:r>
      <w:r>
        <w:rPr>
          <w:iCs/>
        </w:rPr>
        <w:t xml:space="preserve">decision 2/CMA.3, annex, </w:t>
      </w:r>
      <w:r w:rsidRPr="000B0B1B">
        <w:rPr>
          <w:iCs/>
        </w:rPr>
        <w:t xml:space="preserve">paragraph 2(b) refers to the authorization of specific ITMO amounts for use towards </w:t>
      </w:r>
      <w:r>
        <w:rPr>
          <w:iCs/>
        </w:rPr>
        <w:t>other international mitigation purposes</w:t>
      </w:r>
      <w:r w:rsidRPr="000B0B1B">
        <w:rPr>
          <w:iCs/>
        </w:rPr>
        <w:t>, effected upon the recording of these amounts in the registry, or Party-specific section of the international registry, of the first transferring Party;</w:t>
      </w:r>
    </w:p>
    <w:p w14:paraId="6ABFB57A" w14:textId="77777777" w:rsidR="003670E8" w:rsidRPr="000B0B1B" w:rsidRDefault="003670E8" w:rsidP="003C28AB">
      <w:pPr>
        <w:numPr>
          <w:ilvl w:val="6"/>
          <w:numId w:val="24"/>
        </w:numPr>
        <w:spacing w:after="120"/>
        <w:ind w:right="1134"/>
        <w:jc w:val="both"/>
        <w:rPr>
          <w:iCs/>
        </w:rPr>
      </w:pPr>
      <w:r>
        <w:rPr>
          <w:iCs/>
        </w:rPr>
        <w:t>T</w:t>
      </w:r>
      <w:r w:rsidRPr="000B0B1B">
        <w:rPr>
          <w:iCs/>
        </w:rPr>
        <w:t xml:space="preserve">he term ‘use’ in </w:t>
      </w:r>
      <w:r>
        <w:rPr>
          <w:iCs/>
        </w:rPr>
        <w:t xml:space="preserve">decision 2/CMA.3, annex, </w:t>
      </w:r>
      <w:r w:rsidRPr="000B0B1B">
        <w:rPr>
          <w:iCs/>
        </w:rPr>
        <w:t>paragraph 2(b) refers to the use of the mitigation outcome towards international mitigation purposes;</w:t>
      </w:r>
    </w:p>
    <w:p w14:paraId="57A1FDFC" w14:textId="77777777" w:rsidR="003670E8" w:rsidRPr="008B7FAF" w:rsidRDefault="003670E8" w:rsidP="003C28AB">
      <w:pPr>
        <w:numPr>
          <w:ilvl w:val="6"/>
          <w:numId w:val="24"/>
        </w:numPr>
        <w:spacing w:after="120"/>
        <w:ind w:right="1134"/>
        <w:jc w:val="both"/>
        <w:rPr>
          <w:b/>
          <w:bCs/>
        </w:rPr>
      </w:pPr>
      <w:r>
        <w:rPr>
          <w:iCs/>
        </w:rPr>
        <w:lastRenderedPageBreak/>
        <w:t>T</w:t>
      </w:r>
      <w:r w:rsidRPr="008B7FAF">
        <w:rPr>
          <w:iCs/>
        </w:rPr>
        <w:t>he term ‘cancellation’ refers to the cancellation of the mitigation outcomes for other purposes, for delivering overall mitigation of global emissions, for compensating for reversals, for compensating for changes or revocations to authorization, for administrative purposes, or for other cancellation purposes</w:t>
      </w:r>
      <w:r>
        <w:rPr>
          <w:iCs/>
        </w:rPr>
        <w:t>;</w:t>
      </w:r>
    </w:p>
    <w:p w14:paraId="7C997F44" w14:textId="77777777" w:rsidR="003670E8" w:rsidRPr="00677E16" w:rsidRDefault="003670E8" w:rsidP="003670E8">
      <w:pPr>
        <w:tabs>
          <w:tab w:val="left" w:pos="1701"/>
        </w:tabs>
        <w:spacing w:after="120"/>
        <w:ind w:left="1135" w:right="1134"/>
        <w:jc w:val="both"/>
      </w:pPr>
      <w:r w:rsidRPr="00677E16">
        <w:rPr>
          <w:b/>
          <w:bCs/>
        </w:rPr>
        <w:t xml:space="preserve">Option 2: </w:t>
      </w:r>
      <w:r w:rsidRPr="00677E16">
        <w:rPr>
          <w:b/>
        </w:rPr>
        <w:t>{</w:t>
      </w:r>
      <w:r w:rsidRPr="00677E16">
        <w:rPr>
          <w:b/>
          <w:bCs/>
          <w:i/>
          <w:iCs/>
        </w:rPr>
        <w:t>First</w:t>
      </w:r>
      <w:r w:rsidRPr="00677E16">
        <w:rPr>
          <w:b/>
          <w:i/>
        </w:rPr>
        <w:t xml:space="preserve"> transfer </w:t>
      </w:r>
      <w:r w:rsidRPr="00677E16">
        <w:rPr>
          <w:b/>
          <w:bCs/>
          <w:i/>
          <w:iCs/>
        </w:rPr>
        <w:t>effected for first in time</w:t>
      </w:r>
      <w:r w:rsidRPr="00677E16">
        <w:rPr>
          <w:b/>
        </w:rPr>
        <w:t>}</w:t>
      </w:r>
    </w:p>
    <w:p w14:paraId="27B441ED" w14:textId="3310DE9C" w:rsidR="003670E8" w:rsidRPr="00677E16" w:rsidRDefault="003670E8" w:rsidP="003670E8">
      <w:pPr>
        <w:numPr>
          <w:ilvl w:val="5"/>
          <w:numId w:val="9"/>
        </w:numPr>
        <w:tabs>
          <w:tab w:val="left" w:pos="1701"/>
        </w:tabs>
        <w:spacing w:after="120"/>
        <w:ind w:left="1134" w:right="1134"/>
        <w:jc w:val="both"/>
      </w:pPr>
      <w:r w:rsidRPr="00DF50E3">
        <w:rPr>
          <w:i/>
          <w:iCs/>
        </w:rPr>
        <w:t>Decides</w:t>
      </w:r>
      <w:r w:rsidRPr="00677E16">
        <w:t xml:space="preserve"> that the first transfer of a</w:t>
      </w:r>
      <w:r w:rsidR="002C3AB2">
        <w:t xml:space="preserve"> </w:t>
      </w:r>
      <w:r w:rsidRPr="00677E16">
        <w:t xml:space="preserve">mitigation outcome authorized for use towards achievement of nationally determined contributions and/or for </w:t>
      </w:r>
      <w:r>
        <w:t xml:space="preserve">[use towards] </w:t>
      </w:r>
      <w:r w:rsidRPr="00677E16">
        <w:t>other international mitigation purposes shall be effected for the earlier of:</w:t>
      </w:r>
    </w:p>
    <w:p w14:paraId="4951DC11" w14:textId="77777777" w:rsidR="003670E8" w:rsidRPr="00677E16" w:rsidRDefault="003670E8" w:rsidP="003C28AB">
      <w:pPr>
        <w:numPr>
          <w:ilvl w:val="6"/>
          <w:numId w:val="26"/>
        </w:numPr>
        <w:spacing w:after="120"/>
        <w:ind w:right="1134"/>
        <w:jc w:val="both"/>
      </w:pPr>
      <w:r w:rsidRPr="00677E16">
        <w:t>The first international transfer of the mitigation outcome pursuant to decision 2/CMA.3, annex, paragraph 2(a);</w:t>
      </w:r>
    </w:p>
    <w:p w14:paraId="64745024" w14:textId="77777777" w:rsidR="003670E8" w:rsidRPr="00677E16" w:rsidRDefault="003670E8" w:rsidP="003C28AB">
      <w:pPr>
        <w:numPr>
          <w:ilvl w:val="6"/>
          <w:numId w:val="26"/>
        </w:numPr>
        <w:spacing w:after="120"/>
        <w:ind w:right="1134"/>
        <w:jc w:val="both"/>
      </w:pPr>
      <w:r w:rsidRPr="00677E16">
        <w:t>The first transfer of the mitigation outcome as specified by the first transferring Party, pursuant to decision 2/CMA.3, annex, paragraph 2(b);</w:t>
      </w:r>
      <w:r w:rsidRPr="00677E16" w:rsidDel="00BA42E9">
        <w:t xml:space="preserve"> </w:t>
      </w:r>
    </w:p>
    <w:p w14:paraId="5D33585B" w14:textId="154B135A" w:rsidR="003670E8" w:rsidRPr="00677E16" w:rsidRDefault="003670E8" w:rsidP="003670E8">
      <w:pPr>
        <w:numPr>
          <w:ilvl w:val="5"/>
          <w:numId w:val="9"/>
        </w:numPr>
        <w:tabs>
          <w:tab w:val="left" w:pos="1701"/>
        </w:tabs>
        <w:spacing w:after="120"/>
        <w:ind w:left="1134" w:right="1134"/>
        <w:jc w:val="both"/>
        <w:rPr>
          <w:iCs/>
        </w:rPr>
      </w:pPr>
      <w:r w:rsidRPr="00677E16">
        <w:rPr>
          <w:i/>
        </w:rPr>
        <w:t>Decides</w:t>
      </w:r>
      <w:r w:rsidRPr="00677E16">
        <w:rPr>
          <w:iCs/>
        </w:rPr>
        <w:t xml:space="preserve"> that the first transfer of a</w:t>
      </w:r>
      <w:r>
        <w:rPr>
          <w:iCs/>
        </w:rPr>
        <w:t xml:space="preserve"> </w:t>
      </w:r>
      <w:r w:rsidRPr="00677E16">
        <w:rPr>
          <w:iCs/>
        </w:rPr>
        <w:t xml:space="preserve">mitigation outcome authorized only for use </w:t>
      </w:r>
      <w:r>
        <w:rPr>
          <w:iCs/>
        </w:rPr>
        <w:t xml:space="preserve">[towards] </w:t>
      </w:r>
      <w:r w:rsidRPr="00677E16">
        <w:rPr>
          <w:iCs/>
        </w:rPr>
        <w:t>other international mitigation purposes shall be effected for the earlier of:</w:t>
      </w:r>
    </w:p>
    <w:p w14:paraId="15D18EC0" w14:textId="2CDFF46B" w:rsidR="003670E8" w:rsidRPr="00677E16" w:rsidRDefault="003670E8" w:rsidP="003C28AB">
      <w:pPr>
        <w:numPr>
          <w:ilvl w:val="6"/>
          <w:numId w:val="26"/>
        </w:numPr>
        <w:spacing w:after="120"/>
        <w:ind w:right="1134"/>
        <w:jc w:val="both"/>
        <w:rPr>
          <w:iCs/>
        </w:rPr>
      </w:pPr>
      <w:r w:rsidRPr="00677E16">
        <w:rPr>
          <w:iCs/>
        </w:rPr>
        <w:t>The first international transfer of the mitigation outcome to another Party;</w:t>
      </w:r>
    </w:p>
    <w:p w14:paraId="235E209C" w14:textId="368BFA5F" w:rsidR="003670E8" w:rsidRPr="000927FF" w:rsidRDefault="003670E8" w:rsidP="003C28AB">
      <w:pPr>
        <w:numPr>
          <w:ilvl w:val="6"/>
          <w:numId w:val="26"/>
        </w:numPr>
        <w:spacing w:after="120"/>
        <w:ind w:right="1134"/>
        <w:jc w:val="both"/>
      </w:pPr>
      <w:r w:rsidRPr="00677E16">
        <w:rPr>
          <w:iCs/>
        </w:rPr>
        <w:t>The first transfer of the mitigation outcome specified by the first transferring Party pursuant to decision 2/CMA.3, annex, paragraph 2(b)</w:t>
      </w:r>
      <w:r w:rsidRPr="00677E16" w:rsidDel="00402FDE">
        <w:rPr>
          <w:iCs/>
        </w:rPr>
        <w:t>;</w:t>
      </w:r>
    </w:p>
    <w:p w14:paraId="6D15D7BC" w14:textId="77777777" w:rsidR="003670E8" w:rsidRPr="00677E16" w:rsidRDefault="003670E8" w:rsidP="003670E8">
      <w:pPr>
        <w:numPr>
          <w:ilvl w:val="5"/>
          <w:numId w:val="9"/>
        </w:numPr>
        <w:tabs>
          <w:tab w:val="left" w:pos="1701"/>
        </w:tabs>
        <w:spacing w:after="120"/>
        <w:ind w:left="1134" w:right="1134"/>
        <w:jc w:val="both"/>
      </w:pPr>
      <w:r>
        <w:rPr>
          <w:i/>
          <w:iCs/>
        </w:rPr>
        <w:t>[[</w:t>
      </w:r>
      <w:r w:rsidRPr="00677E16">
        <w:rPr>
          <w:i/>
          <w:iCs/>
        </w:rPr>
        <w:t>Clarifies</w:t>
      </w:r>
      <w:r>
        <w:rPr>
          <w:i/>
          <w:iCs/>
        </w:rPr>
        <w:t>]</w:t>
      </w:r>
      <w:r w:rsidRPr="00DC26FE">
        <w:t xml:space="preserve"> </w:t>
      </w:r>
      <w:r w:rsidRPr="00A503B9">
        <w:rPr>
          <w:i/>
          <w:iCs/>
        </w:rPr>
        <w:t>[</w:t>
      </w:r>
      <w:r w:rsidRPr="00DC26FE">
        <w:rPr>
          <w:i/>
          <w:iCs/>
        </w:rPr>
        <w:t>Decides</w:t>
      </w:r>
      <w:r w:rsidRPr="00A503B9">
        <w:rPr>
          <w:i/>
          <w:iCs/>
        </w:rPr>
        <w:t>]</w:t>
      </w:r>
      <w:r w:rsidRPr="00677E16">
        <w:t xml:space="preserve"> that internationally transferred mitigation outcomes can only be first transferred once they have been authorized in accordance with the arrangements described in </w:t>
      </w:r>
      <w:r w:rsidRPr="00F72A11">
        <w:t>paragraphs 51 above</w:t>
      </w:r>
      <w:r w:rsidRPr="00677E16">
        <w:t xml:space="preserve"> under an authorized cooperative approach [and upon the completion of the Article 6 technical expert review referred to in decision 2/CMA.3, annex, chapter V, and decision 18/CMA.1, annex, chapter VII];</w:t>
      </w:r>
    </w:p>
    <w:p w14:paraId="7A024A0B" w14:textId="77777777" w:rsidR="003670E8" w:rsidRPr="00677E16" w:rsidRDefault="003670E8" w:rsidP="003670E8">
      <w:pPr>
        <w:keepNext/>
        <w:tabs>
          <w:tab w:val="left" w:pos="1701"/>
        </w:tabs>
        <w:spacing w:after="120"/>
        <w:ind w:left="1134" w:right="1134"/>
        <w:jc w:val="both"/>
        <w:rPr>
          <w:i/>
        </w:rPr>
      </w:pPr>
      <w:r w:rsidRPr="00677E16">
        <w:rPr>
          <w:b/>
          <w:bCs/>
          <w:iCs/>
        </w:rPr>
        <w:t>Option 3: {</w:t>
      </w:r>
      <w:r w:rsidRPr="00677E16">
        <w:rPr>
          <w:b/>
          <w:bCs/>
          <w:i/>
        </w:rPr>
        <w:t>Notification of first transfer</w:t>
      </w:r>
      <w:r w:rsidRPr="00677E16">
        <w:rPr>
          <w:b/>
          <w:bCs/>
          <w:iCs/>
        </w:rPr>
        <w:t>}</w:t>
      </w:r>
    </w:p>
    <w:p w14:paraId="44DF86DA" w14:textId="77777777" w:rsidR="003670E8" w:rsidRPr="00677E16" w:rsidRDefault="003670E8" w:rsidP="003670E8">
      <w:pPr>
        <w:numPr>
          <w:ilvl w:val="5"/>
          <w:numId w:val="9"/>
        </w:numPr>
        <w:tabs>
          <w:tab w:val="left" w:pos="1701"/>
        </w:tabs>
        <w:spacing w:after="120"/>
        <w:ind w:left="1134" w:right="1134"/>
        <w:jc w:val="both"/>
      </w:pPr>
      <w:r>
        <w:rPr>
          <w:i/>
          <w:iCs/>
        </w:rPr>
        <w:t>[</w:t>
      </w:r>
      <w:r w:rsidRPr="00677E16">
        <w:rPr>
          <w:i/>
          <w:iCs/>
        </w:rPr>
        <w:t>Clarifies</w:t>
      </w:r>
      <w:r>
        <w:rPr>
          <w:i/>
          <w:iCs/>
        </w:rPr>
        <w:t>][Decides]</w:t>
      </w:r>
      <w:r w:rsidRPr="00677E16">
        <w:t xml:space="preserve"> that where a mitigation outcome has been authorized for use for other international mitigation purposes and the first transfer is specified by the first transferring participating Party as being the </w:t>
      </w:r>
      <w:r>
        <w:t xml:space="preserve">[issuance or the] </w:t>
      </w:r>
      <w:r w:rsidRPr="00677E16">
        <w:t xml:space="preserve">use or cancellation of the mitigation outcome in accordance with decision 2/CMA.3, annex, paragraph 2(b), in order to </w:t>
      </w:r>
      <w:r>
        <w:t xml:space="preserve">[avoid double counting and] </w:t>
      </w:r>
      <w:r w:rsidRPr="00677E16">
        <w:t>ensure the application of corresponding adjustments consistent with decision 2/CMA.3 and future relevant decisions of the CMA:</w:t>
      </w:r>
    </w:p>
    <w:p w14:paraId="4E45209A" w14:textId="77777777" w:rsidR="003670E8" w:rsidRPr="00677E16" w:rsidRDefault="003670E8" w:rsidP="003C28AB">
      <w:pPr>
        <w:numPr>
          <w:ilvl w:val="6"/>
          <w:numId w:val="27"/>
        </w:numPr>
        <w:spacing w:after="120"/>
        <w:ind w:right="1134"/>
        <w:jc w:val="both"/>
      </w:pPr>
      <w:r>
        <w:t>[</w:t>
      </w:r>
      <w:r w:rsidRPr="00677E16">
        <w:t>Each participating Party shall be notified of the first transfer where an internationally transferred mitigation outcome is cancelled or used for other international mitigation purposes by a participating Party;</w:t>
      </w:r>
      <w:r>
        <w:t>]</w:t>
      </w:r>
    </w:p>
    <w:p w14:paraId="4D0091C1" w14:textId="77777777" w:rsidR="003670E8" w:rsidRDefault="003670E8" w:rsidP="003C28AB">
      <w:pPr>
        <w:numPr>
          <w:ilvl w:val="6"/>
          <w:numId w:val="27"/>
        </w:numPr>
        <w:spacing w:after="120"/>
        <w:ind w:right="1134"/>
        <w:jc w:val="both"/>
      </w:pPr>
      <w:r w:rsidRPr="00677E16">
        <w:t xml:space="preserve">The </w:t>
      </w:r>
      <w:r>
        <w:t>[first transferring][</w:t>
      </w:r>
      <w:r w:rsidRPr="00677E16">
        <w:t>participating</w:t>
      </w:r>
      <w:r>
        <w:t>]</w:t>
      </w:r>
      <w:r w:rsidRPr="00677E16">
        <w:t xml:space="preserve"> Party shall ensure it has </w:t>
      </w:r>
      <w:r>
        <w:t>[</w:t>
      </w:r>
      <w:r w:rsidRPr="00677E16">
        <w:t>robust</w:t>
      </w:r>
      <w:r>
        <w:t>]</w:t>
      </w:r>
      <w:r w:rsidRPr="00677E16">
        <w:t xml:space="preserve"> arrangements in place </w:t>
      </w:r>
      <w:r>
        <w:t>[that Parties will be][</w:t>
      </w:r>
      <w:r w:rsidRPr="00677E16">
        <w:t>to be</w:t>
      </w:r>
      <w:r>
        <w:t>]</w:t>
      </w:r>
      <w:r w:rsidRPr="00677E16">
        <w:t xml:space="preserve"> immediately notified </w:t>
      </w:r>
      <w:r>
        <w:t xml:space="preserve">[by the authorized entity and/or the underlying cooperative approach registry] </w:t>
      </w:r>
      <w:r w:rsidRPr="00677E16">
        <w:t xml:space="preserve">of the </w:t>
      </w:r>
      <w:r>
        <w:t>[issuance, or the use or cancellation, of] [</w:t>
      </w:r>
      <w:r w:rsidRPr="00677E16">
        <w:t>first transfer to avoid double counting where</w:t>
      </w:r>
      <w:r>
        <w:t>]</w:t>
      </w:r>
      <w:r w:rsidRPr="00677E16">
        <w:t xml:space="preserve"> the </w:t>
      </w:r>
      <w:r>
        <w:t>[</w:t>
      </w:r>
      <w:r w:rsidRPr="00677E16">
        <w:t>internationally transferred</w:t>
      </w:r>
      <w:r>
        <w:t>]</w:t>
      </w:r>
      <w:r w:rsidRPr="00677E16">
        <w:t xml:space="preserve"> mitigation outcome </w:t>
      </w:r>
      <w:r>
        <w:t>[in the underlying registry][</w:t>
      </w:r>
      <w:r w:rsidRPr="00677E16">
        <w:t>is otherwise cancelled or used for other international mitigation purposes</w:t>
      </w:r>
      <w:r>
        <w:t>]</w:t>
      </w:r>
      <w:r w:rsidRPr="00677E16" w:rsidDel="00D93A54">
        <w:t>;</w:t>
      </w:r>
    </w:p>
    <w:p w14:paraId="29E482D7" w14:textId="77777777" w:rsidR="003670E8" w:rsidRPr="00677E16" w:rsidRDefault="003670E8" w:rsidP="003670E8">
      <w:pPr>
        <w:numPr>
          <w:ilvl w:val="5"/>
          <w:numId w:val="9"/>
        </w:numPr>
        <w:tabs>
          <w:tab w:val="left" w:pos="1701"/>
        </w:tabs>
        <w:spacing w:after="120"/>
        <w:ind w:left="1134" w:right="1134"/>
        <w:jc w:val="both"/>
      </w:pPr>
      <w:r w:rsidRPr="00DC26FE">
        <w:rPr>
          <w:i/>
          <w:iCs/>
        </w:rPr>
        <w:t>Decides</w:t>
      </w:r>
      <w:r w:rsidRPr="00E92C13">
        <w:t xml:space="preserve"> that where a mitigation outcome has been authorized for use for </w:t>
      </w:r>
      <w:r>
        <w:t xml:space="preserve">other international mitigation purposes </w:t>
      </w:r>
      <w:r w:rsidRPr="00E92C13">
        <w:t>pursuant to paragraph 2(b), annex, of decision 2/CMA.3, the first transfer of the mitigation outcome shall be effected no later than 31 December of the year prior to submission of the first biennial transparency report by the first transferring Party that contains information on the end year or end of the NDC implementation period in which the mitigation outcomes occurred; after that date, no first transfers, and no respective corresponding adjustments, shall be effected for mitigation outcomes that occurred in that NDC implementation period</w:t>
      </w:r>
      <w:r>
        <w:t>;</w:t>
      </w:r>
    </w:p>
    <w:p w14:paraId="3E7C30E5" w14:textId="77777777" w:rsidR="003670E8" w:rsidRPr="00677E16" w:rsidRDefault="003670E8" w:rsidP="003670E8">
      <w:pPr>
        <w:spacing w:after="120"/>
        <w:ind w:left="1134" w:right="1134"/>
        <w:jc w:val="both"/>
      </w:pPr>
      <w:r w:rsidRPr="00677E16">
        <w:rPr>
          <w:b/>
          <w:bCs/>
        </w:rPr>
        <w:t xml:space="preserve">Option 4: </w:t>
      </w:r>
      <w:r w:rsidRPr="00677E16">
        <w:t>{</w:t>
      </w:r>
      <w:r w:rsidRPr="00677E16">
        <w:rPr>
          <w:i/>
          <w:iCs/>
        </w:rPr>
        <w:t>No text required</w:t>
      </w:r>
      <w:r w:rsidRPr="00677E16">
        <w:t>}</w:t>
      </w:r>
    </w:p>
    <w:p w14:paraId="3D6CA346" w14:textId="77777777" w:rsidR="003670E8" w:rsidRPr="00677E16" w:rsidRDefault="003670E8" w:rsidP="003670E8">
      <w:pPr>
        <w:pStyle w:val="RegH1G"/>
        <w:numPr>
          <w:ilvl w:val="1"/>
          <w:numId w:val="8"/>
        </w:numPr>
        <w:rPr>
          <w:b w:val="0"/>
        </w:rPr>
      </w:pPr>
      <w:r w:rsidRPr="00677E16">
        <w:lastRenderedPageBreak/>
        <w:t>Other first transfer specifications</w:t>
      </w:r>
    </w:p>
    <w:p w14:paraId="0BC0855B" w14:textId="77777777" w:rsidR="003670E8" w:rsidRPr="00677E16" w:rsidRDefault="003670E8" w:rsidP="00453D09">
      <w:pPr>
        <w:keepLines/>
        <w:numPr>
          <w:ilvl w:val="5"/>
          <w:numId w:val="9"/>
        </w:numPr>
        <w:tabs>
          <w:tab w:val="left" w:pos="1701"/>
        </w:tabs>
        <w:spacing w:after="120"/>
        <w:ind w:left="1134" w:right="1134"/>
        <w:jc w:val="both"/>
      </w:pPr>
      <w:r w:rsidRPr="00677E16">
        <w:rPr>
          <w:i/>
          <w:iCs/>
        </w:rPr>
        <w:t xml:space="preserve">[Also decides][Clarifies] </w:t>
      </w:r>
      <w:r w:rsidRPr="00677E16">
        <w:t>that [each participating Party shall specify, for a given cooperative approach], the first transfer of an internationally transferred mitigation outcome authorized for use for other international mitigation purposes as being consistent with decision 2/CMA.3, annex, paragraph 2(b), and</w:t>
      </w:r>
      <w:r w:rsidRPr="00677E16" w:rsidDel="00CC1D88">
        <w:t xml:space="preserve"> </w:t>
      </w:r>
      <w:r w:rsidRPr="00677E16">
        <w:t>apply that specified first transfer consistently[, for the respective authorization type, including for use towards achievement of nationally determined contributions,] for the duration of the cooperative approach indicated in its initial report pursuant to decision 2/CMA.3, annex, paragraph 18(g), while noting the specified first transfer may differ for</w:t>
      </w:r>
      <w:r w:rsidRPr="00677E16" w:rsidDel="00B81261">
        <w:t xml:space="preserve"> </w:t>
      </w:r>
      <w:r w:rsidRPr="00677E16">
        <w:t>each cooperative approach in which the participating Party participates;</w:t>
      </w:r>
    </w:p>
    <w:p w14:paraId="73C8AE20" w14:textId="77777777" w:rsidR="003670E8" w:rsidRPr="00DC26FE" w:rsidRDefault="003670E8" w:rsidP="003670E8">
      <w:pPr>
        <w:numPr>
          <w:ilvl w:val="5"/>
          <w:numId w:val="9"/>
        </w:numPr>
        <w:tabs>
          <w:tab w:val="left" w:pos="1701"/>
        </w:tabs>
        <w:spacing w:after="120"/>
        <w:ind w:left="1134" w:right="1134"/>
        <w:jc w:val="both"/>
      </w:pPr>
      <w:r w:rsidRPr="00DC26FE">
        <w:rPr>
          <w:i/>
          <w:iCs/>
        </w:rPr>
        <w:t>[Also decides] [Clarifies]</w:t>
      </w:r>
      <w:r w:rsidRPr="00DC26FE">
        <w:t xml:space="preserve"> that:</w:t>
      </w:r>
    </w:p>
    <w:p w14:paraId="74CCF90F" w14:textId="77777777" w:rsidR="003670E8" w:rsidRDefault="003670E8" w:rsidP="003C28AB">
      <w:pPr>
        <w:numPr>
          <w:ilvl w:val="6"/>
          <w:numId w:val="28"/>
        </w:numPr>
        <w:spacing w:after="120"/>
        <w:ind w:right="1134"/>
        <w:jc w:val="both"/>
      </w:pPr>
      <w:r>
        <w:t>E</w:t>
      </w:r>
      <w:r w:rsidRPr="00DC26FE">
        <w:t xml:space="preserve">ach first transferring Party shall apply the specification of first transfer in an authorisation for use for other international mitigation purposes consistently for that authorisation of ITMOs from a cooperative approach; </w:t>
      </w:r>
    </w:p>
    <w:p w14:paraId="767BA2F7" w14:textId="46D97555" w:rsidR="003670E8" w:rsidRPr="00677E16" w:rsidRDefault="003670E8" w:rsidP="003C28AB">
      <w:pPr>
        <w:numPr>
          <w:ilvl w:val="6"/>
          <w:numId w:val="28"/>
        </w:numPr>
        <w:spacing w:after="120"/>
        <w:ind w:right="1134"/>
        <w:jc w:val="both"/>
      </w:pPr>
      <w:r>
        <w:t>T</w:t>
      </w:r>
      <w:r w:rsidRPr="00DC26FE">
        <w:t>he specification of first transfer may differ for each authori</w:t>
      </w:r>
      <w:r w:rsidR="00471585">
        <w:t>z</w:t>
      </w:r>
      <w:r w:rsidRPr="00DC26FE">
        <w:t>ation</w:t>
      </w:r>
      <w:r>
        <w:t>;</w:t>
      </w:r>
    </w:p>
    <w:p w14:paraId="0027DAF1"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 xml:space="preserve">Further decides </w:t>
      </w:r>
      <w:r w:rsidRPr="00677E16">
        <w:t>that, where participating Parties</w:t>
      </w:r>
      <w:r>
        <w:t xml:space="preserve"> [or authorized entities]</w:t>
      </w:r>
      <w:r w:rsidRPr="00677E16">
        <w:t xml:space="preserve">[ and stakeholders] </w:t>
      </w:r>
      <w:r>
        <w:t>[</w:t>
      </w:r>
      <w:r w:rsidRPr="00677E16">
        <w:t>using cooperative approaches</w:t>
      </w:r>
      <w:r>
        <w:t>]</w:t>
      </w:r>
      <w:r w:rsidRPr="00677E16">
        <w:t xml:space="preserve"> choose to voluntarily contribute resources for adaptation through contributions to the Adaptation Fund, pursuant to decision 2/CMA.3, annex, paragraph 37, that </w:t>
      </w:r>
      <w:r>
        <w:t>[such][</w:t>
      </w:r>
      <w:r w:rsidRPr="00677E16">
        <w:t>the</w:t>
      </w:r>
      <w:r>
        <w:t>]</w:t>
      </w:r>
      <w:r w:rsidRPr="00677E16">
        <w:t xml:space="preserve"> voluntarily contribution</w:t>
      </w:r>
      <w:r>
        <w:t>[s]</w:t>
      </w:r>
      <w:r w:rsidRPr="00677E16">
        <w:t xml:space="preserve"> </w:t>
      </w:r>
      <w:r>
        <w:t>[</w:t>
      </w:r>
      <w:r w:rsidRPr="00677E16">
        <w:t>can</w:t>
      </w:r>
      <w:r>
        <w:t>][may]</w:t>
      </w:r>
      <w:r w:rsidRPr="00677E16">
        <w:t xml:space="preserve"> be carried out by the transfer of </w:t>
      </w:r>
      <w:r>
        <w:t>[</w:t>
      </w:r>
      <w:r w:rsidRPr="00677E16">
        <w:t>internationally transferred</w:t>
      </w:r>
      <w:r>
        <w:t>]</w:t>
      </w:r>
      <w:r w:rsidRPr="00677E16">
        <w:t xml:space="preserve"> mitigation outcomes to an account of the Adaptation Fund [in the international registry]</w:t>
      </w:r>
      <w:r>
        <w:t>[</w:t>
      </w:r>
      <w:r w:rsidRPr="00677E16">
        <w:t>,</w:t>
      </w:r>
      <w:r>
        <w:t>]</w:t>
      </w:r>
      <w:r w:rsidRPr="00677E16">
        <w:t xml:space="preserve"> </w:t>
      </w:r>
      <w:r>
        <w:t xml:space="preserve">[and that] </w:t>
      </w:r>
      <w:r w:rsidRPr="00677E16">
        <w:t>such</w:t>
      </w:r>
      <w:r w:rsidRPr="00677E16" w:rsidDel="00216DFB">
        <w:t xml:space="preserve"> </w:t>
      </w:r>
      <w:r w:rsidRPr="00677E16">
        <w:t>contributions shall</w:t>
      </w:r>
      <w:r w:rsidRPr="00677E16" w:rsidDel="00C62AFB">
        <w:t xml:space="preserve"> </w:t>
      </w:r>
      <w:r w:rsidRPr="00677E16">
        <w:t xml:space="preserve">constitute a first transfer, except where the </w:t>
      </w:r>
      <w:r>
        <w:t>[</w:t>
      </w:r>
      <w:r w:rsidRPr="00677E16">
        <w:t>internationally transferred</w:t>
      </w:r>
      <w:r>
        <w:t>]</w:t>
      </w:r>
      <w:r w:rsidRPr="00677E16">
        <w:t xml:space="preserve"> mitigation outcome</w:t>
      </w:r>
      <w:r>
        <w:t>s</w:t>
      </w:r>
      <w:r w:rsidRPr="00677E16">
        <w:t xml:space="preserve"> ha</w:t>
      </w:r>
      <w:r>
        <w:t>ve</w:t>
      </w:r>
      <w:r w:rsidRPr="00677E16">
        <w:t xml:space="preserve"> already been first transferred;]</w:t>
      </w:r>
    </w:p>
    <w:p w14:paraId="1406F0BF" w14:textId="77777777" w:rsidR="003670E8" w:rsidRPr="00677E16" w:rsidRDefault="003670E8" w:rsidP="003670E8">
      <w:pPr>
        <w:numPr>
          <w:ilvl w:val="5"/>
          <w:numId w:val="9"/>
        </w:numPr>
        <w:tabs>
          <w:tab w:val="left" w:pos="1701"/>
        </w:tabs>
        <w:spacing w:after="120"/>
        <w:ind w:left="1134" w:right="1134"/>
        <w:jc w:val="both"/>
      </w:pPr>
      <w:r w:rsidRPr="00677E16">
        <w:rPr>
          <w:i/>
          <w:iCs/>
        </w:rPr>
        <w:t>[Decides ][Clarifies</w:t>
      </w:r>
      <w:r w:rsidRPr="00677E16">
        <w:t xml:space="preserve"> ]that, where participating Parties </w:t>
      </w:r>
      <w:r>
        <w:t>[or authorized entities][</w:t>
      </w:r>
      <w:r w:rsidRPr="00677E16">
        <w:t>and stakeholders</w:t>
      </w:r>
      <w:r>
        <w:t>]</w:t>
      </w:r>
      <w:r w:rsidRPr="00677E16">
        <w:t xml:space="preserve"> choose to cancel internationally transferred mitigation outcomes that are not counted towards any Party’s nationally determined contribution or for other international mitigation purposes to deliver overall mitigation in global emissions, consistent with decision 2/CMA.3, annex, paragraph 39, [and this use of the internationally transferred mitigation outcome has been authorized,] the </w:t>
      </w:r>
      <w:r>
        <w:t xml:space="preserve">[such] </w:t>
      </w:r>
      <w:r w:rsidRPr="00677E16">
        <w:t>cancellation</w:t>
      </w:r>
      <w:r>
        <w:t>s</w:t>
      </w:r>
      <w:r w:rsidRPr="00677E16">
        <w:t xml:space="preserve"> shall be effected as a first transfer, except where the </w:t>
      </w:r>
      <w:r>
        <w:t>[</w:t>
      </w:r>
      <w:r w:rsidRPr="00677E16">
        <w:t>internationally transferred</w:t>
      </w:r>
      <w:r>
        <w:t>]</w:t>
      </w:r>
      <w:r w:rsidRPr="00677E16">
        <w:t xml:space="preserve"> mitigation outcome</w:t>
      </w:r>
      <w:r>
        <w:t>s</w:t>
      </w:r>
      <w:r w:rsidRPr="00677E16">
        <w:t xml:space="preserve"> ha</w:t>
      </w:r>
      <w:r>
        <w:t>ve</w:t>
      </w:r>
      <w:r w:rsidRPr="00677E16">
        <w:t xml:space="preserve"> already been first transferred;</w:t>
      </w:r>
    </w:p>
    <w:p w14:paraId="694E94C5" w14:textId="77777777" w:rsidR="003670E8" w:rsidRPr="000B7187" w:rsidRDefault="003670E8" w:rsidP="003670E8">
      <w:pPr>
        <w:keepNext/>
        <w:keepLines/>
        <w:numPr>
          <w:ilvl w:val="0"/>
          <w:numId w:val="1"/>
        </w:numPr>
        <w:tabs>
          <w:tab w:val="left" w:pos="1701"/>
        </w:tabs>
        <w:spacing w:before="360" w:after="240" w:line="300" w:lineRule="exact"/>
        <w:ind w:right="1134"/>
        <w:jc w:val="both"/>
        <w:rPr>
          <w:b/>
          <w:bCs/>
          <w:i/>
          <w:iCs/>
          <w:sz w:val="28"/>
          <w:szCs w:val="28"/>
        </w:rPr>
      </w:pPr>
      <w:r w:rsidRPr="000B7187">
        <w:rPr>
          <w:b/>
          <w:bCs/>
          <w:sz w:val="28"/>
          <w:szCs w:val="28"/>
        </w:rPr>
        <w:t>Agreed electronic format</w:t>
      </w:r>
      <w:r w:rsidRPr="000B7187">
        <w:rPr>
          <w:b/>
          <w:bCs/>
          <w:i/>
          <w:iCs/>
          <w:sz w:val="28"/>
          <w:szCs w:val="28"/>
        </w:rPr>
        <w:t xml:space="preserve"> </w:t>
      </w:r>
    </w:p>
    <w:p w14:paraId="06AE396B" w14:textId="77777777" w:rsidR="003670E8" w:rsidRPr="00677E16" w:rsidRDefault="003670E8" w:rsidP="003670E8">
      <w:pPr>
        <w:pStyle w:val="RegH1G"/>
        <w:numPr>
          <w:ilvl w:val="1"/>
          <w:numId w:val="8"/>
        </w:numPr>
      </w:pPr>
      <w:r w:rsidRPr="00677E16">
        <w:t>Adoption of the agreed electronic format</w:t>
      </w:r>
    </w:p>
    <w:p w14:paraId="64DD807B" w14:textId="77777777" w:rsidR="003670E8" w:rsidRPr="00677E16" w:rsidRDefault="003670E8" w:rsidP="003670E8">
      <w:pPr>
        <w:tabs>
          <w:tab w:val="left" w:pos="1701"/>
        </w:tabs>
        <w:spacing w:after="120"/>
        <w:ind w:left="1135" w:right="1134"/>
        <w:jc w:val="both"/>
        <w:rPr>
          <w:b/>
          <w:bCs/>
        </w:rPr>
      </w:pPr>
      <w:r w:rsidRPr="00677E16">
        <w:rPr>
          <w:b/>
          <w:bCs/>
        </w:rPr>
        <w:t>Option 1</w:t>
      </w:r>
    </w:p>
    <w:p w14:paraId="2096DAE2" w14:textId="77777777" w:rsidR="003670E8" w:rsidRPr="00677E16" w:rsidRDefault="003670E8" w:rsidP="003670E8">
      <w:pPr>
        <w:numPr>
          <w:ilvl w:val="5"/>
          <w:numId w:val="9"/>
        </w:numPr>
        <w:tabs>
          <w:tab w:val="left" w:pos="1701"/>
        </w:tabs>
        <w:spacing w:after="120"/>
        <w:ind w:left="1134" w:right="1134"/>
        <w:jc w:val="both"/>
      </w:pPr>
      <w:r w:rsidRPr="00677E16">
        <w:rPr>
          <w:i/>
          <w:iCs/>
        </w:rPr>
        <w:t>Adopts</w:t>
      </w:r>
      <w:r w:rsidRPr="00677E16">
        <w:t xml:space="preserve"> the agreed electronic format, referred to in decision 2/CMA.3, annex, paragraph 20, as contained in annex I</w:t>
      </w:r>
      <w:r>
        <w:t xml:space="preserve">[ and </w:t>
      </w:r>
      <w:r>
        <w:rPr>
          <w:i/>
          <w:iCs/>
        </w:rPr>
        <w:t>encourage</w:t>
      </w:r>
      <w:r>
        <w:t xml:space="preserve"> Parties to submit </w:t>
      </w:r>
      <w:r w:rsidRPr="00773B5C">
        <w:t>to submit views on options</w:t>
      </w:r>
      <w:r>
        <w:t xml:space="preserve"> for </w:t>
      </w:r>
      <w:r w:rsidRPr="00773B5C">
        <w:t>the recommendations</w:t>
      </w:r>
      <w:r>
        <w:t xml:space="preserve"> of changes on the agreed electronic format in its ninth session (November 2028)]</w:t>
      </w:r>
      <w:r w:rsidRPr="00677E16">
        <w:t>;</w:t>
      </w:r>
    </w:p>
    <w:p w14:paraId="5657CEAA" w14:textId="77777777" w:rsidR="003670E8" w:rsidRPr="00677E16" w:rsidRDefault="003670E8" w:rsidP="003670E8">
      <w:pPr>
        <w:tabs>
          <w:tab w:val="left" w:pos="1701"/>
        </w:tabs>
        <w:spacing w:after="120"/>
        <w:ind w:left="1135" w:right="1134"/>
        <w:jc w:val="both"/>
        <w:rPr>
          <w:b/>
          <w:bCs/>
        </w:rPr>
      </w:pPr>
      <w:r w:rsidRPr="00677E16">
        <w:rPr>
          <w:b/>
          <w:bCs/>
        </w:rPr>
        <w:t>Option 2</w:t>
      </w:r>
    </w:p>
    <w:p w14:paraId="01A0434D" w14:textId="77777777" w:rsidR="003670E8" w:rsidRPr="00677E16" w:rsidRDefault="003670E8" w:rsidP="003670E8">
      <w:pPr>
        <w:numPr>
          <w:ilvl w:val="5"/>
          <w:numId w:val="9"/>
        </w:numPr>
        <w:tabs>
          <w:tab w:val="left" w:pos="1701"/>
        </w:tabs>
        <w:spacing w:after="120"/>
        <w:ind w:left="1134" w:right="1134"/>
        <w:jc w:val="both"/>
      </w:pPr>
      <w:r w:rsidRPr="00677E16">
        <w:rPr>
          <w:i/>
          <w:iCs/>
        </w:rPr>
        <w:t>Takes note</w:t>
      </w:r>
      <w:r w:rsidRPr="00677E16">
        <w:t xml:space="preserve"> of the work undertaken in response to the mandate arising from decision 6/CMA.4, paragraph 2, and </w:t>
      </w:r>
      <w:r w:rsidRPr="00677E16">
        <w:rPr>
          <w:i/>
          <w:iCs/>
        </w:rPr>
        <w:t>encourages</w:t>
      </w:r>
      <w:r w:rsidRPr="00677E16">
        <w:t xml:space="preserve"> Parties to keep testing the draft version of the agreed electronic format referred to in decision 2/CMA.3, annex, chapter IV.B (Annual information), as contained in decision 6/CMA.4, annex VII; </w:t>
      </w:r>
    </w:p>
    <w:p w14:paraId="7C4297E4" w14:textId="77777777" w:rsidR="003670E8" w:rsidRPr="00677E16" w:rsidRDefault="003670E8" w:rsidP="003670E8">
      <w:pPr>
        <w:keepNext/>
        <w:tabs>
          <w:tab w:val="left" w:pos="1701"/>
        </w:tabs>
        <w:spacing w:after="120"/>
        <w:ind w:left="1134" w:right="1134"/>
        <w:jc w:val="both"/>
        <w:rPr>
          <w:b/>
          <w:bCs/>
        </w:rPr>
      </w:pPr>
      <w:r w:rsidRPr="00677E16">
        <w:rPr>
          <w:b/>
          <w:bCs/>
        </w:rPr>
        <w:t>Option 3</w:t>
      </w:r>
    </w:p>
    <w:p w14:paraId="21CA0B81" w14:textId="77777777" w:rsidR="003670E8" w:rsidRPr="00677E16" w:rsidRDefault="003670E8" w:rsidP="003670E8">
      <w:pPr>
        <w:numPr>
          <w:ilvl w:val="5"/>
          <w:numId w:val="9"/>
        </w:numPr>
        <w:tabs>
          <w:tab w:val="left" w:pos="1701"/>
        </w:tabs>
        <w:spacing w:after="120"/>
        <w:ind w:left="1134" w:right="1134"/>
        <w:jc w:val="both"/>
        <w:rPr>
          <w:i/>
          <w:iCs/>
        </w:rPr>
      </w:pPr>
      <w:r w:rsidRPr="00677E16">
        <w:rPr>
          <w:i/>
        </w:rPr>
        <w:t xml:space="preserve">Requests </w:t>
      </w:r>
      <w:r w:rsidRPr="00677E16">
        <w:rPr>
          <w:iCs/>
        </w:rPr>
        <w:t xml:space="preserve">the </w:t>
      </w:r>
      <w:r w:rsidRPr="00677E16">
        <w:t>Subsidiary</w:t>
      </w:r>
      <w:r w:rsidRPr="00677E16">
        <w:rPr>
          <w:iCs/>
        </w:rPr>
        <w:t xml:space="preserve"> Body for Scientific and Technological Advice to continue its work on the draft version of the agreed electronic format referred to in decision 6/CMA.4, annex VII for consideration at its sixty-second session (June 2025);</w:t>
      </w:r>
    </w:p>
    <w:p w14:paraId="5F2814AD" w14:textId="77777777" w:rsidR="003670E8" w:rsidRPr="00677E16" w:rsidRDefault="003670E8" w:rsidP="003670E8">
      <w:pPr>
        <w:pStyle w:val="RegH1G"/>
        <w:numPr>
          <w:ilvl w:val="1"/>
          <w:numId w:val="8"/>
        </w:numPr>
        <w:rPr>
          <w:iCs/>
        </w:rPr>
      </w:pPr>
      <w:r>
        <w:lastRenderedPageBreak/>
        <w:t>Information and a</w:t>
      </w:r>
      <w:r w:rsidRPr="00677E16">
        <w:t>ctions to be reported in the agreed electronic format</w:t>
      </w:r>
    </w:p>
    <w:p w14:paraId="1FAE0F42" w14:textId="77777777" w:rsidR="003670E8" w:rsidRPr="00677E16" w:rsidRDefault="003670E8" w:rsidP="003670E8">
      <w:pPr>
        <w:tabs>
          <w:tab w:val="left" w:pos="1701"/>
        </w:tabs>
        <w:spacing w:after="120"/>
        <w:ind w:left="1134" w:right="1134"/>
        <w:jc w:val="both"/>
        <w:rPr>
          <w:b/>
          <w:bCs/>
          <w:iCs/>
        </w:rPr>
      </w:pPr>
      <w:r w:rsidRPr="00677E16">
        <w:rPr>
          <w:b/>
          <w:bCs/>
          <w:iCs/>
        </w:rPr>
        <w:t>Option 1</w:t>
      </w:r>
    </w:p>
    <w:p w14:paraId="738C2BB8" w14:textId="77777777" w:rsidR="003670E8" w:rsidRPr="00027EE2" w:rsidRDefault="003670E8" w:rsidP="003670E8">
      <w:pPr>
        <w:numPr>
          <w:ilvl w:val="5"/>
          <w:numId w:val="9"/>
        </w:numPr>
        <w:tabs>
          <w:tab w:val="left" w:pos="1701"/>
        </w:tabs>
        <w:spacing w:after="120"/>
        <w:ind w:left="1134" w:right="1134"/>
        <w:jc w:val="both"/>
      </w:pPr>
      <w:r w:rsidRPr="00027EE2">
        <w:rPr>
          <w:i/>
        </w:rPr>
        <w:t>Decides</w:t>
      </w:r>
      <w:r w:rsidRPr="00E94756">
        <w:rPr>
          <w:iCs/>
        </w:rPr>
        <w:t xml:space="preserve"> that Parties shall identify, and report in the AEF, whether </w:t>
      </w:r>
      <w:r>
        <w:rPr>
          <w:iCs/>
        </w:rPr>
        <w:t xml:space="preserve">internationally transferred mitigation outcomes </w:t>
      </w:r>
      <w:r w:rsidRPr="00E94756">
        <w:rPr>
          <w:iCs/>
        </w:rPr>
        <w:t>are subject to a risk of non-permanence, as referred to in decision 2/CMA.3, annex, paragraph 18(h)(iii), and identify a risk category, as applicable;</w:t>
      </w:r>
    </w:p>
    <w:p w14:paraId="63761C64" w14:textId="77777777" w:rsidR="003670E8" w:rsidRPr="00677E16" w:rsidRDefault="003670E8" w:rsidP="003670E8">
      <w:pPr>
        <w:numPr>
          <w:ilvl w:val="5"/>
          <w:numId w:val="9"/>
        </w:numPr>
        <w:tabs>
          <w:tab w:val="left" w:pos="1701"/>
        </w:tabs>
        <w:spacing w:after="120"/>
        <w:ind w:left="1134" w:right="1134"/>
        <w:jc w:val="both"/>
        <w:rPr>
          <w:iCs/>
        </w:rPr>
      </w:pPr>
      <w:r w:rsidRPr="00677E16">
        <w:rPr>
          <w:i/>
        </w:rPr>
        <w:t>Decides</w:t>
      </w:r>
      <w:r w:rsidRPr="00677E16">
        <w:rPr>
          <w:iCs/>
        </w:rPr>
        <w:t xml:space="preserve"> that</w:t>
      </w:r>
      <w:r>
        <w:rPr>
          <w:iCs/>
        </w:rPr>
        <w:t xml:space="preserve">, </w:t>
      </w:r>
      <w:r w:rsidRPr="003A6581">
        <w:rPr>
          <w:iCs/>
        </w:rPr>
        <w:t>in order to avoid double counting and ensure coherent application of corresponding adjustments,</w:t>
      </w:r>
      <w:r w:rsidRPr="00677E16">
        <w:rPr>
          <w:iCs/>
        </w:rPr>
        <w:t xml:space="preserve"> the action types and subtypes to be reported in the agreed electronic format are:</w:t>
      </w:r>
    </w:p>
    <w:p w14:paraId="452C0D8E" w14:textId="77777777" w:rsidR="003670E8" w:rsidRPr="00E84438" w:rsidRDefault="003670E8" w:rsidP="003C28AB">
      <w:pPr>
        <w:numPr>
          <w:ilvl w:val="6"/>
          <w:numId w:val="35"/>
        </w:numPr>
        <w:spacing w:after="120"/>
        <w:ind w:right="1134"/>
        <w:jc w:val="both"/>
        <w:rPr>
          <w:i/>
        </w:rPr>
      </w:pPr>
      <w:r w:rsidRPr="00677E16">
        <w:rPr>
          <w:iCs/>
        </w:rPr>
        <w:t>Acquisition</w:t>
      </w:r>
      <w:r w:rsidRPr="00DC7AE9">
        <w:rPr>
          <w:i/>
        </w:rPr>
        <w:t>:</w:t>
      </w:r>
    </w:p>
    <w:p w14:paraId="4610E9A3" w14:textId="77777777" w:rsidR="003670E8" w:rsidRPr="00677E16" w:rsidRDefault="003670E8" w:rsidP="003C28AB">
      <w:pPr>
        <w:pStyle w:val="RegSingleTxtG3"/>
        <w:numPr>
          <w:ilvl w:val="7"/>
          <w:numId w:val="25"/>
        </w:numPr>
        <w:ind w:left="1701"/>
        <w:rPr>
          <w:iCs/>
        </w:rPr>
      </w:pPr>
      <w:r w:rsidRPr="00677E16">
        <w:rPr>
          <w:iCs/>
        </w:rPr>
        <w:t>[Acquisition</w:t>
      </w:r>
      <w:r>
        <w:rPr>
          <w:iCs/>
        </w:rPr>
        <w:t xml:space="preserve"> from another Party</w:t>
      </w:r>
      <w:r w:rsidRPr="00677E16">
        <w:rPr>
          <w:iCs/>
        </w:rPr>
        <w:t>;</w:t>
      </w:r>
      <w:r>
        <w:rPr>
          <w:iCs/>
        </w:rPr>
        <w:t>]</w:t>
      </w:r>
    </w:p>
    <w:p w14:paraId="11DFDF05" w14:textId="77777777" w:rsidR="003670E8" w:rsidRPr="00677E16" w:rsidRDefault="003670E8" w:rsidP="003C28AB">
      <w:pPr>
        <w:pStyle w:val="RegSingleTxtG3"/>
        <w:numPr>
          <w:ilvl w:val="7"/>
          <w:numId w:val="25"/>
        </w:numPr>
        <w:ind w:left="1701"/>
        <w:rPr>
          <w:iCs/>
        </w:rPr>
      </w:pPr>
      <w:r w:rsidRPr="00677E16">
        <w:rPr>
          <w:iCs/>
        </w:rPr>
        <w:t>[Acquisition from the Adaptation Fund</w:t>
      </w:r>
      <w:r>
        <w:rPr>
          <w:iCs/>
        </w:rPr>
        <w:t>;</w:t>
      </w:r>
      <w:r w:rsidRPr="00677E16">
        <w:rPr>
          <w:iCs/>
        </w:rPr>
        <w:t>]</w:t>
      </w:r>
    </w:p>
    <w:p w14:paraId="547B7D42" w14:textId="77777777" w:rsidR="003670E8" w:rsidRPr="00677E16" w:rsidRDefault="003670E8" w:rsidP="003C28AB">
      <w:pPr>
        <w:numPr>
          <w:ilvl w:val="6"/>
          <w:numId w:val="35"/>
        </w:numPr>
        <w:spacing w:after="120"/>
        <w:ind w:right="1134"/>
        <w:jc w:val="both"/>
        <w:rPr>
          <w:iCs/>
        </w:rPr>
      </w:pPr>
      <w:r w:rsidRPr="00677E16">
        <w:rPr>
          <w:iCs/>
        </w:rPr>
        <w:t>Authorization:</w:t>
      </w:r>
    </w:p>
    <w:p w14:paraId="208140E5" w14:textId="77777777" w:rsidR="003670E8" w:rsidRPr="00677E16" w:rsidRDefault="003670E8" w:rsidP="003C28AB">
      <w:pPr>
        <w:pStyle w:val="RegSingleTxtG3"/>
        <w:numPr>
          <w:ilvl w:val="7"/>
          <w:numId w:val="37"/>
        </w:numPr>
        <w:ind w:left="1701"/>
        <w:rPr>
          <w:iCs/>
        </w:rPr>
      </w:pPr>
      <w:r>
        <w:rPr>
          <w:iCs/>
        </w:rPr>
        <w:t>[</w:t>
      </w:r>
      <w:r w:rsidRPr="00677E16">
        <w:rPr>
          <w:iCs/>
        </w:rPr>
        <w:t>Authorization;</w:t>
      </w:r>
      <w:r>
        <w:rPr>
          <w:iCs/>
        </w:rPr>
        <w:t>]</w:t>
      </w:r>
    </w:p>
    <w:p w14:paraId="19A34498" w14:textId="77777777" w:rsidR="003670E8" w:rsidRDefault="003670E8" w:rsidP="003C28AB">
      <w:pPr>
        <w:pStyle w:val="RegSingleTxtG3"/>
        <w:numPr>
          <w:ilvl w:val="7"/>
          <w:numId w:val="37"/>
        </w:numPr>
        <w:ind w:left="1701"/>
        <w:rPr>
          <w:iCs/>
        </w:rPr>
      </w:pPr>
      <w:r w:rsidRPr="00677E16">
        <w:rPr>
          <w:iCs/>
        </w:rPr>
        <w:t>[Change to authorization;]</w:t>
      </w:r>
    </w:p>
    <w:p w14:paraId="278B45ED" w14:textId="77777777" w:rsidR="003670E8" w:rsidRPr="00677E16" w:rsidRDefault="003670E8" w:rsidP="003C28AB">
      <w:pPr>
        <w:pStyle w:val="RegSingleTxtG3"/>
        <w:numPr>
          <w:ilvl w:val="7"/>
          <w:numId w:val="37"/>
        </w:numPr>
        <w:ind w:left="1701"/>
        <w:rPr>
          <w:iCs/>
        </w:rPr>
      </w:pPr>
      <w:r w:rsidRPr="00677E16">
        <w:rPr>
          <w:iCs/>
        </w:rPr>
        <w:t>[Revocation of authorization;]</w:t>
      </w:r>
    </w:p>
    <w:p w14:paraId="25064C3F" w14:textId="77777777" w:rsidR="003670E8" w:rsidRPr="00677E16" w:rsidRDefault="003670E8" w:rsidP="003C28AB">
      <w:pPr>
        <w:numPr>
          <w:ilvl w:val="6"/>
          <w:numId w:val="35"/>
        </w:numPr>
        <w:spacing w:after="120"/>
        <w:ind w:right="1134"/>
        <w:jc w:val="both"/>
        <w:rPr>
          <w:iCs/>
        </w:rPr>
      </w:pPr>
      <w:r w:rsidRPr="00677E16">
        <w:rPr>
          <w:iCs/>
        </w:rPr>
        <w:t>Transfer:</w:t>
      </w:r>
    </w:p>
    <w:p w14:paraId="7DA7DABC" w14:textId="77777777" w:rsidR="003670E8" w:rsidRPr="00677E16" w:rsidRDefault="003670E8" w:rsidP="003C28AB">
      <w:pPr>
        <w:pStyle w:val="RegSingleTxtG3"/>
        <w:numPr>
          <w:ilvl w:val="7"/>
          <w:numId w:val="38"/>
        </w:numPr>
        <w:ind w:left="1701"/>
        <w:rPr>
          <w:iCs/>
        </w:rPr>
      </w:pPr>
      <w:r>
        <w:rPr>
          <w:iCs/>
        </w:rPr>
        <w:t>[</w:t>
      </w:r>
      <w:r w:rsidRPr="00677E16">
        <w:rPr>
          <w:iCs/>
        </w:rPr>
        <w:t>Transfer to another Party;</w:t>
      </w:r>
      <w:r>
        <w:rPr>
          <w:iCs/>
        </w:rPr>
        <w:t>]</w:t>
      </w:r>
    </w:p>
    <w:p w14:paraId="2B7F53F0" w14:textId="77777777" w:rsidR="003670E8" w:rsidRPr="00677E16" w:rsidRDefault="003670E8" w:rsidP="003C28AB">
      <w:pPr>
        <w:pStyle w:val="RegSingleTxtG3"/>
        <w:numPr>
          <w:ilvl w:val="7"/>
          <w:numId w:val="38"/>
        </w:numPr>
        <w:ind w:left="1701"/>
        <w:rPr>
          <w:iCs/>
        </w:rPr>
      </w:pPr>
      <w:r w:rsidRPr="00677E16">
        <w:rPr>
          <w:iCs/>
        </w:rPr>
        <w:t>[Voluntary [transfer][contribution] to the Adaptation Fund;]</w:t>
      </w:r>
    </w:p>
    <w:p w14:paraId="4EC3D88E" w14:textId="77777777" w:rsidR="003670E8" w:rsidRPr="00677E16" w:rsidRDefault="003670E8" w:rsidP="003C28AB">
      <w:pPr>
        <w:numPr>
          <w:ilvl w:val="6"/>
          <w:numId w:val="35"/>
        </w:numPr>
        <w:spacing w:after="120"/>
        <w:ind w:right="1134"/>
        <w:jc w:val="both"/>
        <w:rPr>
          <w:iCs/>
        </w:rPr>
      </w:pPr>
      <w:r w:rsidRPr="00677E16">
        <w:rPr>
          <w:iCs/>
        </w:rPr>
        <w:t>Use:</w:t>
      </w:r>
    </w:p>
    <w:p w14:paraId="4A57AC88" w14:textId="77777777" w:rsidR="003670E8" w:rsidRDefault="003670E8" w:rsidP="003C28AB">
      <w:pPr>
        <w:pStyle w:val="RegSingleTxtG3"/>
        <w:numPr>
          <w:ilvl w:val="7"/>
          <w:numId w:val="39"/>
        </w:numPr>
        <w:ind w:left="1701"/>
        <w:rPr>
          <w:iCs/>
        </w:rPr>
      </w:pPr>
      <w:r>
        <w:rPr>
          <w:iCs/>
        </w:rPr>
        <w:t>[</w:t>
      </w:r>
      <w:r w:rsidRPr="00677E16">
        <w:rPr>
          <w:iCs/>
        </w:rPr>
        <w:t>Use towards achievement of nationally determined contributions;</w:t>
      </w:r>
      <w:r>
        <w:rPr>
          <w:iCs/>
        </w:rPr>
        <w:t>]</w:t>
      </w:r>
    </w:p>
    <w:p w14:paraId="2082BB4B" w14:textId="77777777" w:rsidR="003670E8" w:rsidRDefault="003670E8" w:rsidP="003C28AB">
      <w:pPr>
        <w:pStyle w:val="RegSingleTxtG3"/>
        <w:numPr>
          <w:ilvl w:val="7"/>
          <w:numId w:val="39"/>
        </w:numPr>
        <w:ind w:left="1701"/>
        <w:rPr>
          <w:iCs/>
        </w:rPr>
      </w:pPr>
      <w:r w:rsidRPr="008C4962">
        <w:rPr>
          <w:iCs/>
        </w:rPr>
        <w:t>[Use towards other purposes;</w:t>
      </w:r>
    </w:p>
    <w:p w14:paraId="5257F693" w14:textId="77777777" w:rsidR="003670E8" w:rsidRPr="00677E16" w:rsidRDefault="003670E8" w:rsidP="003C28AB">
      <w:pPr>
        <w:pStyle w:val="RegSingleTxtG3"/>
        <w:numPr>
          <w:ilvl w:val="7"/>
          <w:numId w:val="39"/>
        </w:numPr>
        <w:ind w:left="1701"/>
        <w:rPr>
          <w:iCs/>
        </w:rPr>
      </w:pPr>
      <w:r w:rsidRPr="00677E16">
        <w:rPr>
          <w:iCs/>
        </w:rPr>
        <w:t>[Use towards international mitigation purposes;</w:t>
      </w:r>
      <w:r>
        <w:rPr>
          <w:iCs/>
        </w:rPr>
        <w:t>]</w:t>
      </w:r>
    </w:p>
    <w:p w14:paraId="139B4670" w14:textId="77777777" w:rsidR="003670E8" w:rsidRPr="00677E16" w:rsidRDefault="003670E8" w:rsidP="003C28AB">
      <w:pPr>
        <w:pStyle w:val="RegSingleTxtG3"/>
        <w:numPr>
          <w:ilvl w:val="7"/>
          <w:numId w:val="39"/>
        </w:numPr>
        <w:ind w:left="1701"/>
        <w:rPr>
          <w:iCs/>
        </w:rPr>
      </w:pPr>
      <w:r w:rsidRPr="00677E16">
        <w:rPr>
          <w:iCs/>
        </w:rPr>
        <w:t>[Use towards other international mitigation purposes;]</w:t>
      </w:r>
    </w:p>
    <w:p w14:paraId="46E9F2C8" w14:textId="77777777" w:rsidR="003670E8" w:rsidRPr="00677E16" w:rsidRDefault="003670E8" w:rsidP="003C28AB">
      <w:pPr>
        <w:numPr>
          <w:ilvl w:val="6"/>
          <w:numId w:val="35"/>
        </w:numPr>
        <w:spacing w:after="120"/>
        <w:ind w:right="1134"/>
        <w:jc w:val="both"/>
        <w:rPr>
          <w:iCs/>
        </w:rPr>
      </w:pPr>
      <w:r w:rsidRPr="00677E16">
        <w:rPr>
          <w:iCs/>
        </w:rPr>
        <w:t>Cancellation:</w:t>
      </w:r>
    </w:p>
    <w:p w14:paraId="1813B00F" w14:textId="77777777" w:rsidR="003670E8" w:rsidRPr="00677E16" w:rsidRDefault="003670E8" w:rsidP="003C28AB">
      <w:pPr>
        <w:pStyle w:val="RegSingleTxtG3"/>
        <w:numPr>
          <w:ilvl w:val="7"/>
          <w:numId w:val="40"/>
        </w:numPr>
        <w:ind w:left="1701"/>
        <w:rPr>
          <w:iCs/>
        </w:rPr>
      </w:pPr>
      <w:r w:rsidRPr="00BC0D63">
        <w:rPr>
          <w:iCs/>
        </w:rPr>
        <w:t>[</w:t>
      </w:r>
      <w:r w:rsidRPr="00677E16">
        <w:rPr>
          <w:iCs/>
        </w:rPr>
        <w:t>Cancellation towards other purposes;]</w:t>
      </w:r>
    </w:p>
    <w:p w14:paraId="4655FB47" w14:textId="77777777" w:rsidR="003670E8" w:rsidRDefault="003670E8" w:rsidP="003C28AB">
      <w:pPr>
        <w:pStyle w:val="RegSingleTxtG3"/>
        <w:numPr>
          <w:ilvl w:val="7"/>
          <w:numId w:val="40"/>
        </w:numPr>
        <w:ind w:left="1701"/>
        <w:rPr>
          <w:iCs/>
        </w:rPr>
      </w:pPr>
      <w:r>
        <w:rPr>
          <w:iCs/>
        </w:rPr>
        <w:t>[</w:t>
      </w:r>
      <w:r w:rsidRPr="00DC26FE">
        <w:rPr>
          <w:iCs/>
        </w:rPr>
        <w:t xml:space="preserve">Cancellation to compensate for </w:t>
      </w:r>
      <w:r>
        <w:rPr>
          <w:iCs/>
        </w:rPr>
        <w:t>reversals;]</w:t>
      </w:r>
    </w:p>
    <w:p w14:paraId="6B95A5BC" w14:textId="77777777" w:rsidR="003670E8" w:rsidRPr="00A77013" w:rsidRDefault="003670E8" w:rsidP="003C28AB">
      <w:pPr>
        <w:pStyle w:val="RegSingleTxtG3"/>
        <w:numPr>
          <w:ilvl w:val="7"/>
          <w:numId w:val="40"/>
        </w:numPr>
        <w:ind w:left="1701"/>
        <w:rPr>
          <w:iCs/>
        </w:rPr>
      </w:pPr>
      <w:r>
        <w:rPr>
          <w:iCs/>
        </w:rPr>
        <w:t>[Cancellation to compensate for revocations or changes to authorization;]</w:t>
      </w:r>
    </w:p>
    <w:p w14:paraId="6704206B" w14:textId="77777777" w:rsidR="003670E8" w:rsidRPr="00677E16" w:rsidRDefault="003670E8" w:rsidP="003C28AB">
      <w:pPr>
        <w:pStyle w:val="RegSingleTxtG3"/>
        <w:numPr>
          <w:ilvl w:val="7"/>
          <w:numId w:val="40"/>
        </w:numPr>
        <w:ind w:left="1701"/>
        <w:rPr>
          <w:iCs/>
        </w:rPr>
      </w:pPr>
      <w:r w:rsidRPr="00677E16">
        <w:rPr>
          <w:iCs/>
        </w:rPr>
        <w:t>[Cancellation towards other international mitigation purposes;]</w:t>
      </w:r>
    </w:p>
    <w:p w14:paraId="245CA448" w14:textId="77777777" w:rsidR="003670E8" w:rsidRPr="00677E16" w:rsidRDefault="003670E8" w:rsidP="003C28AB">
      <w:pPr>
        <w:pStyle w:val="RegSingleTxtG3"/>
        <w:numPr>
          <w:ilvl w:val="7"/>
          <w:numId w:val="40"/>
        </w:numPr>
        <w:ind w:left="1701"/>
        <w:rPr>
          <w:iCs/>
        </w:rPr>
      </w:pPr>
      <w:r>
        <w:rPr>
          <w:iCs/>
        </w:rPr>
        <w:t>[</w:t>
      </w:r>
      <w:r w:rsidRPr="00677E16">
        <w:rPr>
          <w:iCs/>
        </w:rPr>
        <w:t>Voluntary cancellation to deliver overall mitigation global emissions;</w:t>
      </w:r>
      <w:r>
        <w:rPr>
          <w:iCs/>
        </w:rPr>
        <w:t>]</w:t>
      </w:r>
    </w:p>
    <w:p w14:paraId="111717DB" w14:textId="77777777" w:rsidR="003670E8" w:rsidRPr="00677E16" w:rsidRDefault="003670E8" w:rsidP="003C28AB">
      <w:pPr>
        <w:pStyle w:val="RegSingleTxtG3"/>
        <w:numPr>
          <w:ilvl w:val="7"/>
          <w:numId w:val="40"/>
        </w:numPr>
        <w:ind w:left="1701"/>
        <w:rPr>
          <w:iCs/>
        </w:rPr>
      </w:pPr>
      <w:r>
        <w:rPr>
          <w:iCs/>
        </w:rPr>
        <w:t>[</w:t>
      </w:r>
      <w:r w:rsidRPr="00677E16">
        <w:rPr>
          <w:iCs/>
        </w:rPr>
        <w:t>Administrative cancellation;</w:t>
      </w:r>
      <w:r>
        <w:rPr>
          <w:iCs/>
        </w:rPr>
        <w:t>]</w:t>
      </w:r>
    </w:p>
    <w:p w14:paraId="3DFADACA" w14:textId="77777777" w:rsidR="003670E8" w:rsidRPr="00677E16" w:rsidRDefault="003670E8" w:rsidP="003C28AB">
      <w:pPr>
        <w:pStyle w:val="RegSingleTxtG3"/>
        <w:numPr>
          <w:ilvl w:val="7"/>
          <w:numId w:val="40"/>
        </w:numPr>
        <w:ind w:left="1701"/>
        <w:rPr>
          <w:iCs/>
        </w:rPr>
      </w:pPr>
      <w:r>
        <w:rPr>
          <w:iCs/>
        </w:rPr>
        <w:t>[</w:t>
      </w:r>
      <w:r w:rsidRPr="00677E16">
        <w:rPr>
          <w:iCs/>
        </w:rPr>
        <w:t>Other cancellation purposes;</w:t>
      </w:r>
      <w:r>
        <w:rPr>
          <w:iCs/>
        </w:rPr>
        <w:t>]</w:t>
      </w:r>
    </w:p>
    <w:p w14:paraId="5BA853FE" w14:textId="77777777" w:rsidR="003670E8" w:rsidRPr="00677E16" w:rsidRDefault="003670E8" w:rsidP="003670E8">
      <w:pPr>
        <w:tabs>
          <w:tab w:val="left" w:pos="1701"/>
        </w:tabs>
        <w:spacing w:after="120"/>
        <w:ind w:left="1701" w:right="1134"/>
        <w:jc w:val="both"/>
        <w:rPr>
          <w:iCs/>
        </w:rPr>
      </w:pPr>
      <w:r w:rsidRPr="00677E16">
        <w:rPr>
          <w:iCs/>
        </w:rPr>
        <w:t>{</w:t>
      </w:r>
      <w:r w:rsidRPr="00677E16">
        <w:rPr>
          <w:i/>
        </w:rPr>
        <w:t>First transfer can be shown in the drop-down menu of the agreed electronic format as the first action[, after authorization] or as the latest action</w:t>
      </w:r>
      <w:r w:rsidRPr="00677E16">
        <w:rPr>
          <w:iCs/>
        </w:rPr>
        <w:t>}</w:t>
      </w:r>
    </w:p>
    <w:p w14:paraId="63AB2498" w14:textId="77777777" w:rsidR="003670E8" w:rsidRPr="00677E16" w:rsidRDefault="003670E8" w:rsidP="003C28AB">
      <w:pPr>
        <w:numPr>
          <w:ilvl w:val="6"/>
          <w:numId w:val="35"/>
        </w:numPr>
        <w:spacing w:after="120"/>
        <w:ind w:right="1134"/>
        <w:jc w:val="both"/>
        <w:rPr>
          <w:iCs/>
        </w:rPr>
      </w:pPr>
      <w:r w:rsidRPr="00677E16">
        <w:rPr>
          <w:iCs/>
        </w:rPr>
        <w:t>First transfer:</w:t>
      </w:r>
    </w:p>
    <w:p w14:paraId="37A7B595" w14:textId="77777777" w:rsidR="003670E8" w:rsidRPr="00677E16" w:rsidRDefault="003670E8" w:rsidP="003C28AB">
      <w:pPr>
        <w:pStyle w:val="RegSingleTxtG3"/>
        <w:numPr>
          <w:ilvl w:val="7"/>
          <w:numId w:val="41"/>
        </w:numPr>
        <w:ind w:left="1701"/>
        <w:rPr>
          <w:iCs/>
        </w:rPr>
      </w:pPr>
      <w:r>
        <w:rPr>
          <w:iCs/>
        </w:rPr>
        <w:t>[</w:t>
      </w:r>
      <w:r w:rsidRPr="00677E16">
        <w:rPr>
          <w:iCs/>
        </w:rPr>
        <w:t>First transfer to another Party;</w:t>
      </w:r>
      <w:r>
        <w:rPr>
          <w:iCs/>
        </w:rPr>
        <w:t>]</w:t>
      </w:r>
    </w:p>
    <w:p w14:paraId="37EDF137" w14:textId="77777777" w:rsidR="003670E8" w:rsidRPr="00677E16" w:rsidRDefault="003670E8" w:rsidP="003C28AB">
      <w:pPr>
        <w:pStyle w:val="RegSingleTxtG3"/>
        <w:numPr>
          <w:ilvl w:val="7"/>
          <w:numId w:val="41"/>
        </w:numPr>
        <w:ind w:left="1701"/>
        <w:rPr>
          <w:iCs/>
        </w:rPr>
      </w:pPr>
      <w:r>
        <w:rPr>
          <w:iCs/>
        </w:rPr>
        <w:t>[</w:t>
      </w:r>
      <w:r w:rsidRPr="00677E16">
        <w:rPr>
          <w:iCs/>
        </w:rPr>
        <w:t>First transfer for other international mitigation purposes when the first transfer is specified as the authorization;</w:t>
      </w:r>
      <w:r>
        <w:rPr>
          <w:iCs/>
        </w:rPr>
        <w:t>]</w:t>
      </w:r>
    </w:p>
    <w:p w14:paraId="3E4BADE3" w14:textId="77777777" w:rsidR="003670E8" w:rsidRPr="00677E16" w:rsidRDefault="003670E8" w:rsidP="003C28AB">
      <w:pPr>
        <w:pStyle w:val="RegSingleTxtG3"/>
        <w:numPr>
          <w:ilvl w:val="7"/>
          <w:numId w:val="41"/>
        </w:numPr>
        <w:ind w:left="1701"/>
        <w:rPr>
          <w:iCs/>
        </w:rPr>
      </w:pPr>
      <w:r>
        <w:rPr>
          <w:iCs/>
        </w:rPr>
        <w:t>[</w:t>
      </w:r>
      <w:r w:rsidRPr="00677E16">
        <w:rPr>
          <w:iCs/>
        </w:rPr>
        <w:t>First transfer for other international mitigation purposes when the first transfer is specified as the issuance;</w:t>
      </w:r>
      <w:r>
        <w:rPr>
          <w:iCs/>
        </w:rPr>
        <w:t>]</w:t>
      </w:r>
    </w:p>
    <w:p w14:paraId="785AAE4F" w14:textId="77777777" w:rsidR="003670E8" w:rsidRPr="00677E16" w:rsidRDefault="003670E8" w:rsidP="003C28AB">
      <w:pPr>
        <w:pStyle w:val="RegSingleTxtG3"/>
        <w:numPr>
          <w:ilvl w:val="7"/>
          <w:numId w:val="41"/>
        </w:numPr>
        <w:ind w:left="1701"/>
        <w:rPr>
          <w:iCs/>
        </w:rPr>
      </w:pPr>
      <w:r>
        <w:rPr>
          <w:iCs/>
        </w:rPr>
        <w:t>[</w:t>
      </w:r>
      <w:r w:rsidRPr="00677E16">
        <w:rPr>
          <w:iCs/>
        </w:rPr>
        <w:t>First transfer for other international mitigation purposes when the first transfer is specified as the use or cancellation of the mitigation outcome;</w:t>
      </w:r>
      <w:r>
        <w:rPr>
          <w:iCs/>
        </w:rPr>
        <w:t>]</w:t>
      </w:r>
    </w:p>
    <w:p w14:paraId="49DE0C87" w14:textId="77777777" w:rsidR="003670E8" w:rsidRPr="00677E16" w:rsidRDefault="003670E8" w:rsidP="003C28AB">
      <w:pPr>
        <w:pStyle w:val="RegSingleTxtG3"/>
        <w:numPr>
          <w:ilvl w:val="7"/>
          <w:numId w:val="41"/>
        </w:numPr>
        <w:ind w:left="1701"/>
        <w:rPr>
          <w:iCs/>
        </w:rPr>
      </w:pPr>
      <w:r>
        <w:rPr>
          <w:iCs/>
        </w:rPr>
        <w:lastRenderedPageBreak/>
        <w:t>[</w:t>
      </w:r>
      <w:r w:rsidRPr="00677E16">
        <w:rPr>
          <w:iCs/>
        </w:rPr>
        <w:t>Mandatory transfer of Article 6, paragraph 4, emission reductions to the Adaptation Fund;</w:t>
      </w:r>
      <w:r>
        <w:rPr>
          <w:iCs/>
        </w:rPr>
        <w:t>]</w:t>
      </w:r>
    </w:p>
    <w:p w14:paraId="66936C62" w14:textId="77777777" w:rsidR="003670E8" w:rsidRPr="00677E16" w:rsidRDefault="003670E8" w:rsidP="003C28AB">
      <w:pPr>
        <w:pStyle w:val="RegSingleTxtG3"/>
        <w:numPr>
          <w:ilvl w:val="7"/>
          <w:numId w:val="41"/>
        </w:numPr>
        <w:ind w:left="1701"/>
        <w:rPr>
          <w:iCs/>
        </w:rPr>
      </w:pPr>
      <w:r>
        <w:rPr>
          <w:iCs/>
        </w:rPr>
        <w:t>[</w:t>
      </w:r>
      <w:r w:rsidRPr="00677E16">
        <w:rPr>
          <w:iCs/>
        </w:rPr>
        <w:t>Voluntary transfer to the Adaptation Fund;</w:t>
      </w:r>
      <w:r>
        <w:rPr>
          <w:iCs/>
        </w:rPr>
        <w:t>]</w:t>
      </w:r>
    </w:p>
    <w:p w14:paraId="40B1E789" w14:textId="77777777" w:rsidR="003670E8" w:rsidRPr="00677E16" w:rsidRDefault="003670E8" w:rsidP="003C28AB">
      <w:pPr>
        <w:pStyle w:val="RegSingleTxtG3"/>
        <w:numPr>
          <w:ilvl w:val="7"/>
          <w:numId w:val="41"/>
        </w:numPr>
        <w:ind w:left="1701"/>
        <w:rPr>
          <w:iCs/>
        </w:rPr>
      </w:pPr>
      <w:r>
        <w:rPr>
          <w:iCs/>
        </w:rPr>
        <w:t>[</w:t>
      </w:r>
      <w:r w:rsidRPr="00677E16">
        <w:rPr>
          <w:iCs/>
        </w:rPr>
        <w:t>Mandatory cancellation of Article 6, paragraph 4, emission reductions to deliver overall mitigation global emissions;</w:t>
      </w:r>
      <w:r>
        <w:rPr>
          <w:iCs/>
        </w:rPr>
        <w:t>]</w:t>
      </w:r>
    </w:p>
    <w:p w14:paraId="040C36E2" w14:textId="77777777" w:rsidR="003670E8" w:rsidRPr="00677E16" w:rsidRDefault="003670E8" w:rsidP="003C28AB">
      <w:pPr>
        <w:pStyle w:val="RegSingleTxtG3"/>
        <w:numPr>
          <w:ilvl w:val="7"/>
          <w:numId w:val="41"/>
        </w:numPr>
        <w:ind w:left="1701"/>
        <w:rPr>
          <w:iCs/>
        </w:rPr>
      </w:pPr>
      <w:r>
        <w:rPr>
          <w:iCs/>
        </w:rPr>
        <w:t>[</w:t>
      </w:r>
      <w:r w:rsidRPr="00677E16">
        <w:rPr>
          <w:iCs/>
        </w:rPr>
        <w:t>Voluntary cancellation to deliver overall mitigation global emissions;</w:t>
      </w:r>
      <w:r>
        <w:rPr>
          <w:iCs/>
        </w:rPr>
        <w:t>]</w:t>
      </w:r>
    </w:p>
    <w:p w14:paraId="63A233D9" w14:textId="77777777" w:rsidR="003670E8" w:rsidRPr="00677E16" w:rsidRDefault="003670E8" w:rsidP="003670E8">
      <w:pPr>
        <w:numPr>
          <w:ilvl w:val="5"/>
          <w:numId w:val="9"/>
        </w:numPr>
        <w:tabs>
          <w:tab w:val="left" w:pos="1701"/>
        </w:tabs>
        <w:spacing w:after="120"/>
        <w:ind w:left="1134" w:right="1134"/>
        <w:jc w:val="both"/>
        <w:rPr>
          <w:i/>
        </w:rPr>
      </w:pPr>
      <w:r w:rsidRPr="00677E16">
        <w:rPr>
          <w:b/>
          <w:bCs/>
          <w:iCs/>
        </w:rPr>
        <w:t xml:space="preserve">Option 2: </w:t>
      </w:r>
      <w:r w:rsidRPr="00677E16">
        <w:rPr>
          <w:iCs/>
        </w:rPr>
        <w:t>{</w:t>
      </w:r>
      <w:r w:rsidRPr="00677E16">
        <w:rPr>
          <w:i/>
        </w:rPr>
        <w:t>No text required</w:t>
      </w:r>
      <w:r w:rsidRPr="00677E16">
        <w:rPr>
          <w:iCs/>
        </w:rPr>
        <w:t>}</w:t>
      </w:r>
    </w:p>
    <w:p w14:paraId="60ABEB10" w14:textId="77777777" w:rsidR="003670E8" w:rsidRPr="00B43031"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B43031">
        <w:rPr>
          <w:b/>
          <w:bCs/>
          <w:sz w:val="28"/>
          <w:szCs w:val="28"/>
        </w:rPr>
        <w:t xml:space="preserve">Tables for submitting annual information as part of the regular information </w:t>
      </w:r>
    </w:p>
    <w:p w14:paraId="3E65BFD8" w14:textId="77777777" w:rsidR="003670E8" w:rsidRPr="00677E16" w:rsidRDefault="003670E8" w:rsidP="003670E8">
      <w:pPr>
        <w:keepNext/>
        <w:tabs>
          <w:tab w:val="left" w:pos="1701"/>
        </w:tabs>
        <w:spacing w:after="120"/>
        <w:ind w:left="1134" w:right="1134"/>
        <w:jc w:val="both"/>
        <w:rPr>
          <w:i/>
          <w:iCs/>
        </w:rPr>
      </w:pPr>
      <w:r w:rsidRPr="00677E16">
        <w:rPr>
          <w:b/>
          <w:bCs/>
        </w:rPr>
        <w:t>Option 1</w:t>
      </w:r>
      <w:r w:rsidRPr="00677E16">
        <w:t xml:space="preserve"> </w:t>
      </w:r>
    </w:p>
    <w:p w14:paraId="607DA50C" w14:textId="77777777" w:rsidR="003670E8" w:rsidRPr="00677E16" w:rsidRDefault="003670E8" w:rsidP="003670E8">
      <w:pPr>
        <w:numPr>
          <w:ilvl w:val="5"/>
          <w:numId w:val="9"/>
        </w:numPr>
        <w:tabs>
          <w:tab w:val="left" w:pos="1701"/>
        </w:tabs>
        <w:spacing w:after="120"/>
        <w:ind w:left="1134" w:right="1134"/>
        <w:jc w:val="both"/>
      </w:pPr>
      <w:r w:rsidRPr="00677E16">
        <w:rPr>
          <w:i/>
          <w:iCs/>
        </w:rPr>
        <w:t>Adopts</w:t>
      </w:r>
      <w:r w:rsidRPr="00677E16">
        <w:t xml:space="preserve"> the tables for submitting annual information as part of the regular information, referred to in decision 2/CMA.3, annex, paragraph 23(j), as contained in annex II;</w:t>
      </w:r>
    </w:p>
    <w:p w14:paraId="4F31A68F" w14:textId="7B911266" w:rsidR="003670E8" w:rsidRPr="00677E16" w:rsidRDefault="003670E8" w:rsidP="003670E8">
      <w:pPr>
        <w:numPr>
          <w:ilvl w:val="5"/>
          <w:numId w:val="9"/>
        </w:numPr>
        <w:tabs>
          <w:tab w:val="left" w:pos="1701"/>
        </w:tabs>
        <w:spacing w:after="120"/>
        <w:ind w:left="1134" w:right="1134"/>
        <w:jc w:val="both"/>
      </w:pPr>
      <w:r w:rsidRPr="00677E16">
        <w:rPr>
          <w:i/>
        </w:rPr>
        <w:t>Clarifies</w:t>
      </w:r>
      <w:r w:rsidRPr="00677E16">
        <w:rPr>
          <w:iCs/>
        </w:rPr>
        <w:t xml:space="preserve"> that the tables referred to in paragraph </w:t>
      </w:r>
      <w:r w:rsidR="00900A99">
        <w:t>66</w:t>
      </w:r>
      <w:r w:rsidRPr="00677E16">
        <w:t xml:space="preserve"> above</w:t>
      </w:r>
      <w:r w:rsidRPr="00677E16">
        <w:rPr>
          <w:iCs/>
        </w:rPr>
        <w:t xml:space="preserve"> shall be submitted by a Party for each cooperative approach in which it participates;</w:t>
      </w:r>
    </w:p>
    <w:p w14:paraId="3ECF96B0" w14:textId="77777777" w:rsidR="003670E8" w:rsidRPr="00677E16" w:rsidRDefault="003670E8" w:rsidP="003670E8">
      <w:pPr>
        <w:tabs>
          <w:tab w:val="left" w:pos="1701"/>
        </w:tabs>
        <w:spacing w:after="120"/>
        <w:ind w:left="1135" w:right="1134"/>
        <w:jc w:val="both"/>
      </w:pPr>
      <w:r w:rsidRPr="00677E16">
        <w:rPr>
          <w:b/>
          <w:bCs/>
          <w:iCs/>
        </w:rPr>
        <w:t>Option 2</w:t>
      </w:r>
    </w:p>
    <w:p w14:paraId="3CD4B681" w14:textId="77777777" w:rsidR="003670E8" w:rsidRPr="00677E16" w:rsidRDefault="003670E8" w:rsidP="003670E8">
      <w:pPr>
        <w:numPr>
          <w:ilvl w:val="5"/>
          <w:numId w:val="9"/>
        </w:numPr>
        <w:tabs>
          <w:tab w:val="left" w:pos="1701"/>
        </w:tabs>
        <w:spacing w:after="120"/>
        <w:ind w:left="1134" w:right="1134"/>
        <w:jc w:val="both"/>
        <w:rPr>
          <w:iCs/>
        </w:rPr>
      </w:pPr>
      <w:r w:rsidRPr="00677E16">
        <w:rPr>
          <w:i/>
        </w:rPr>
        <w:t>Decides</w:t>
      </w:r>
      <w:r w:rsidRPr="00677E16">
        <w:rPr>
          <w:iCs/>
        </w:rPr>
        <w:t xml:space="preserve"> that participating Parties shall include the information set out in decision 2/CMA.3, annex, paragraph 23(j), in annex 4 to the biennial transparency report in accordance with the outline contained in annex VI to decision 6/CMA.4 in a format to be determined by the participating Party;</w:t>
      </w:r>
    </w:p>
    <w:p w14:paraId="476A412A" w14:textId="77777777" w:rsidR="003670E8" w:rsidRPr="00677E16" w:rsidRDefault="003670E8" w:rsidP="003670E8">
      <w:pPr>
        <w:tabs>
          <w:tab w:val="left" w:pos="1701"/>
        </w:tabs>
        <w:spacing w:after="120"/>
        <w:ind w:left="1135" w:right="1134"/>
        <w:jc w:val="both"/>
        <w:rPr>
          <w:iCs/>
        </w:rPr>
      </w:pPr>
      <w:r w:rsidRPr="00677E16">
        <w:rPr>
          <w:b/>
          <w:bCs/>
          <w:iCs/>
        </w:rPr>
        <w:t>Option 3</w:t>
      </w:r>
    </w:p>
    <w:p w14:paraId="5252BAFA" w14:textId="77777777" w:rsidR="003670E8" w:rsidRPr="00677E16" w:rsidRDefault="003670E8" w:rsidP="003670E8">
      <w:pPr>
        <w:numPr>
          <w:ilvl w:val="5"/>
          <w:numId w:val="9"/>
        </w:numPr>
        <w:tabs>
          <w:tab w:val="left" w:pos="1701"/>
        </w:tabs>
        <w:spacing w:after="120"/>
        <w:ind w:left="1134" w:right="1134"/>
        <w:jc w:val="both"/>
        <w:rPr>
          <w:iCs/>
        </w:rPr>
      </w:pPr>
      <w:r w:rsidRPr="00677E16">
        <w:rPr>
          <w:i/>
        </w:rPr>
        <w:t>Requests</w:t>
      </w:r>
      <w:r w:rsidRPr="00677E16">
        <w:rPr>
          <w:iCs/>
        </w:rPr>
        <w:t xml:space="preserve"> the Subsidiary Body for Scientific and Technological Advice to conduct its next consideration of the tables for submitting annual information as part of the regular information, as referred to in decision 2/CMA.3, annex, paragraph 23(j), at its sixty-second session (June 2025);</w:t>
      </w:r>
    </w:p>
    <w:p w14:paraId="4ADBF70A" w14:textId="77777777" w:rsidR="003670E8" w:rsidRPr="00B43031"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B43031">
        <w:rPr>
          <w:b/>
          <w:bCs/>
          <w:sz w:val="28"/>
          <w:szCs w:val="28"/>
        </w:rPr>
        <w:t>Sequencing and timing of reporting information</w:t>
      </w:r>
    </w:p>
    <w:p w14:paraId="73A11BE3" w14:textId="77777777" w:rsidR="003670E8" w:rsidRPr="00677E16" w:rsidRDefault="003670E8" w:rsidP="003670E8">
      <w:pPr>
        <w:tabs>
          <w:tab w:val="left" w:pos="1701"/>
        </w:tabs>
        <w:spacing w:after="120"/>
        <w:ind w:left="1135" w:right="1134"/>
        <w:jc w:val="both"/>
        <w:rPr>
          <w:b/>
        </w:rPr>
      </w:pPr>
      <w:r w:rsidRPr="00677E16">
        <w:rPr>
          <w:b/>
        </w:rPr>
        <w:t>{</w:t>
      </w:r>
      <w:r w:rsidRPr="00677E16">
        <w:rPr>
          <w:b/>
          <w:i/>
        </w:rPr>
        <w:t>Impacts to submission of AEF</w:t>
      </w:r>
      <w:r w:rsidRPr="00677E16">
        <w:rPr>
          <w:b/>
        </w:rPr>
        <w:t>}</w:t>
      </w:r>
    </w:p>
    <w:p w14:paraId="06B7CAD4" w14:textId="77777777" w:rsidR="003670E8" w:rsidRPr="00677E16" w:rsidRDefault="003670E8" w:rsidP="003670E8">
      <w:pPr>
        <w:tabs>
          <w:tab w:val="left" w:pos="1701"/>
        </w:tabs>
        <w:spacing w:after="120"/>
        <w:ind w:left="1135" w:right="1134"/>
        <w:jc w:val="both"/>
      </w:pPr>
      <w:r w:rsidRPr="00677E16">
        <w:rPr>
          <w:b/>
          <w:bCs/>
        </w:rPr>
        <w:t xml:space="preserve">Option 1: </w:t>
      </w:r>
      <w:r w:rsidRPr="00677E16">
        <w:rPr>
          <w:b/>
        </w:rPr>
        <w:t>{</w:t>
      </w:r>
      <w:r w:rsidRPr="00677E16">
        <w:rPr>
          <w:b/>
          <w:i/>
        </w:rPr>
        <w:t xml:space="preserve">Impacts </w:t>
      </w:r>
      <w:r w:rsidRPr="00677E16">
        <w:rPr>
          <w:b/>
          <w:bCs/>
          <w:i/>
          <w:iCs/>
        </w:rPr>
        <w:t xml:space="preserve">on </w:t>
      </w:r>
      <w:r w:rsidRPr="00677E16">
        <w:rPr>
          <w:b/>
          <w:i/>
        </w:rPr>
        <w:t>AEF submission</w:t>
      </w:r>
      <w:r w:rsidRPr="00677E16">
        <w:rPr>
          <w:b/>
        </w:rPr>
        <w:t>}</w:t>
      </w:r>
    </w:p>
    <w:p w14:paraId="53ECE821" w14:textId="77777777" w:rsidR="003670E8" w:rsidRDefault="003670E8" w:rsidP="003670E8">
      <w:pPr>
        <w:tabs>
          <w:tab w:val="left" w:pos="1701"/>
        </w:tabs>
        <w:spacing w:after="120"/>
        <w:ind w:left="1135" w:right="1134"/>
        <w:jc w:val="both"/>
        <w:rPr>
          <w:b/>
          <w:bCs/>
        </w:rPr>
      </w:pPr>
      <w:r>
        <w:rPr>
          <w:b/>
          <w:bCs/>
        </w:rPr>
        <w:tab/>
      </w:r>
      <w:r w:rsidRPr="00677E16">
        <w:rPr>
          <w:b/>
          <w:bCs/>
        </w:rPr>
        <w:t xml:space="preserve">Option A </w:t>
      </w:r>
    </w:p>
    <w:p w14:paraId="42920DE8" w14:textId="77777777" w:rsidR="003670E8" w:rsidRPr="00DC26FE" w:rsidRDefault="003670E8" w:rsidP="003670E8">
      <w:pPr>
        <w:numPr>
          <w:ilvl w:val="5"/>
          <w:numId w:val="9"/>
        </w:numPr>
        <w:tabs>
          <w:tab w:val="left" w:pos="1701"/>
        </w:tabs>
        <w:spacing w:after="120"/>
        <w:ind w:left="1134" w:right="1134"/>
        <w:jc w:val="both"/>
      </w:pPr>
      <w:r w:rsidRPr="00DC4B12">
        <w:rPr>
          <w:i/>
        </w:rPr>
        <w:t>Notes</w:t>
      </w:r>
      <w:r w:rsidRPr="00DC26FE">
        <w:t xml:space="preserve"> </w:t>
      </w:r>
      <w:r w:rsidRPr="00E35601">
        <w:t>that the submission of an initial report or updated initial report by a participating Party is a requirement for submitting, in an agreed electronic format, annual information on each cooperative approach;</w:t>
      </w:r>
    </w:p>
    <w:p w14:paraId="782C67E7" w14:textId="77777777" w:rsidR="003670E8" w:rsidRDefault="003670E8" w:rsidP="003670E8">
      <w:pPr>
        <w:tabs>
          <w:tab w:val="left" w:pos="1701"/>
        </w:tabs>
        <w:spacing w:after="120"/>
        <w:ind w:left="1135" w:right="1134"/>
        <w:jc w:val="both"/>
        <w:rPr>
          <w:b/>
          <w:bCs/>
        </w:rPr>
      </w:pPr>
      <w:r>
        <w:rPr>
          <w:b/>
          <w:bCs/>
        </w:rPr>
        <w:tab/>
      </w:r>
      <w:r w:rsidRPr="00677E16">
        <w:rPr>
          <w:b/>
          <w:bCs/>
        </w:rPr>
        <w:t xml:space="preserve">Option B </w:t>
      </w:r>
    </w:p>
    <w:p w14:paraId="5A9AF4F7" w14:textId="77777777" w:rsidR="003670E8" w:rsidRPr="00DC26FE" w:rsidRDefault="003670E8" w:rsidP="003670E8">
      <w:pPr>
        <w:numPr>
          <w:ilvl w:val="5"/>
          <w:numId w:val="9"/>
        </w:numPr>
        <w:tabs>
          <w:tab w:val="left" w:pos="1701"/>
        </w:tabs>
        <w:spacing w:after="120"/>
        <w:ind w:left="1134" w:right="1134"/>
        <w:jc w:val="both"/>
      </w:pPr>
      <w:r w:rsidRPr="00DC4B12">
        <w:rPr>
          <w:i/>
        </w:rPr>
        <w:t>Decides</w:t>
      </w:r>
      <w:r w:rsidRPr="00E35601">
        <w:t xml:space="preserve"> that the report on the review on the initial report or updated initial report for a cooperative approach, as submitted by the participating Party, shall be published prior to that participating Party including in its agreed electronic format information on actions in respect of internationally transferred mitigation outcomes originating from that cooperative approach;</w:t>
      </w:r>
    </w:p>
    <w:p w14:paraId="05B47EE0" w14:textId="77777777" w:rsidR="003670E8" w:rsidRDefault="003670E8" w:rsidP="003670E8">
      <w:pPr>
        <w:tabs>
          <w:tab w:val="left" w:pos="1701"/>
        </w:tabs>
        <w:spacing w:after="120"/>
        <w:ind w:left="1135" w:right="1134"/>
        <w:jc w:val="both"/>
        <w:rPr>
          <w:b/>
          <w:bCs/>
        </w:rPr>
      </w:pPr>
      <w:r>
        <w:rPr>
          <w:b/>
          <w:bCs/>
        </w:rPr>
        <w:tab/>
      </w:r>
      <w:r w:rsidRPr="00677E16">
        <w:rPr>
          <w:b/>
          <w:bCs/>
        </w:rPr>
        <w:t xml:space="preserve">Option </w:t>
      </w:r>
      <w:r>
        <w:rPr>
          <w:b/>
          <w:bCs/>
        </w:rPr>
        <w:t>C</w:t>
      </w:r>
    </w:p>
    <w:p w14:paraId="7874145D" w14:textId="77777777" w:rsidR="003670E8" w:rsidRPr="00DC26FE" w:rsidRDefault="003670E8" w:rsidP="003670E8">
      <w:pPr>
        <w:numPr>
          <w:ilvl w:val="5"/>
          <w:numId w:val="9"/>
        </w:numPr>
        <w:tabs>
          <w:tab w:val="left" w:pos="1701"/>
        </w:tabs>
        <w:spacing w:after="120"/>
        <w:ind w:left="1134" w:right="1134"/>
        <w:jc w:val="both"/>
        <w:rPr>
          <w:i/>
          <w:iCs/>
        </w:rPr>
      </w:pPr>
      <w:r w:rsidRPr="00DC26FE">
        <w:rPr>
          <w:iCs/>
        </w:rPr>
        <w:t xml:space="preserve"> </w:t>
      </w:r>
      <w:r w:rsidRPr="00DC4B12">
        <w:rPr>
          <w:i/>
        </w:rPr>
        <w:t>Also decides</w:t>
      </w:r>
      <w:r w:rsidRPr="00DC26FE">
        <w:rPr>
          <w:iCs/>
        </w:rPr>
        <w:t xml:space="preserve"> </w:t>
      </w:r>
      <w:r w:rsidRPr="00DC4B12">
        <w:t>that the review of the initial report and of any updated initial report shall be finalized [(</w:t>
      </w:r>
      <w:r w:rsidRPr="00DF50E3">
        <w:rPr>
          <w:iCs/>
        </w:rPr>
        <w:t>i.e. consistency achieved</w:t>
      </w:r>
      <w:r w:rsidRPr="00DC4B12">
        <w:t xml:space="preserve">)] prior to[ </w:t>
      </w:r>
      <w:r w:rsidRPr="00DF50E3">
        <w:rPr>
          <w:iCs/>
        </w:rPr>
        <w:t>the authorization of specific internationally transferred mitigation outcomes</w:t>
      </w:r>
      <w:r w:rsidRPr="00DC4B12">
        <w:t>][the submission of the annual information through the agreed electronic format and of the regular information];</w:t>
      </w:r>
      <w:r w:rsidRPr="008D68CD">
        <w:rPr>
          <w:iCs/>
        </w:rPr>
        <w:t xml:space="preserve"> </w:t>
      </w:r>
    </w:p>
    <w:p w14:paraId="183E2E72" w14:textId="77777777" w:rsidR="003670E8" w:rsidRDefault="003670E8" w:rsidP="00453D09">
      <w:pPr>
        <w:keepNext/>
        <w:tabs>
          <w:tab w:val="left" w:pos="1701"/>
        </w:tabs>
        <w:spacing w:after="120"/>
        <w:ind w:left="1134" w:right="1134"/>
        <w:jc w:val="both"/>
        <w:rPr>
          <w:b/>
          <w:bCs/>
        </w:rPr>
      </w:pPr>
      <w:r>
        <w:rPr>
          <w:b/>
          <w:bCs/>
        </w:rPr>
        <w:lastRenderedPageBreak/>
        <w:tab/>
      </w:r>
      <w:r w:rsidRPr="00677E16">
        <w:rPr>
          <w:b/>
          <w:bCs/>
        </w:rPr>
        <w:t xml:space="preserve">Option </w:t>
      </w:r>
      <w:r>
        <w:rPr>
          <w:b/>
          <w:bCs/>
        </w:rPr>
        <w:t>D</w:t>
      </w:r>
    </w:p>
    <w:p w14:paraId="24888C3B" w14:textId="77777777" w:rsidR="003670E8" w:rsidRPr="00BB5674" w:rsidRDefault="003670E8" w:rsidP="003670E8">
      <w:pPr>
        <w:numPr>
          <w:ilvl w:val="5"/>
          <w:numId w:val="9"/>
        </w:numPr>
        <w:tabs>
          <w:tab w:val="left" w:pos="1701"/>
        </w:tabs>
        <w:spacing w:after="120"/>
        <w:ind w:left="1134" w:right="1134"/>
        <w:jc w:val="both"/>
        <w:rPr>
          <w:iCs/>
        </w:rPr>
      </w:pPr>
      <w:r w:rsidRPr="00DC26FE">
        <w:rPr>
          <w:i/>
        </w:rPr>
        <w:t>Decides</w:t>
      </w:r>
      <w:r w:rsidRPr="00BB5674">
        <w:rPr>
          <w:iCs/>
        </w:rPr>
        <w:t xml:space="preserve"> that the review on the initial report for a cooperative approach shall be finalized prior to: </w:t>
      </w:r>
    </w:p>
    <w:p w14:paraId="25786B7B" w14:textId="77777777" w:rsidR="003670E8" w:rsidRPr="00BB5674" w:rsidRDefault="003670E8" w:rsidP="003C28AB">
      <w:pPr>
        <w:numPr>
          <w:ilvl w:val="6"/>
          <w:numId w:val="42"/>
        </w:numPr>
        <w:spacing w:after="120"/>
        <w:ind w:right="1134"/>
        <w:jc w:val="both"/>
        <w:rPr>
          <w:iCs/>
        </w:rPr>
      </w:pPr>
      <w:r w:rsidRPr="00BB5674">
        <w:rPr>
          <w:iCs/>
        </w:rPr>
        <w:t>The authorization of specific internationally transferred mitigation outcomes</w:t>
      </w:r>
      <w:r>
        <w:rPr>
          <w:iCs/>
        </w:rPr>
        <w:t>;</w:t>
      </w:r>
    </w:p>
    <w:p w14:paraId="17C0226E" w14:textId="77777777" w:rsidR="003670E8" w:rsidRPr="00C37BF6" w:rsidRDefault="003670E8" w:rsidP="003C28AB">
      <w:pPr>
        <w:numPr>
          <w:ilvl w:val="6"/>
          <w:numId w:val="42"/>
        </w:numPr>
        <w:spacing w:after="120"/>
        <w:ind w:right="1134"/>
        <w:jc w:val="both"/>
        <w:rPr>
          <w:iCs/>
        </w:rPr>
      </w:pPr>
      <w:r w:rsidRPr="00C37BF6">
        <w:rPr>
          <w:iCs/>
        </w:rPr>
        <w:t>The submission of the annual information through the agreed electronic format and the regular information;</w:t>
      </w:r>
    </w:p>
    <w:p w14:paraId="40F59A25" w14:textId="77777777" w:rsidR="003670E8" w:rsidRPr="00DC26FE" w:rsidRDefault="003670E8" w:rsidP="003670E8">
      <w:pPr>
        <w:numPr>
          <w:ilvl w:val="5"/>
          <w:numId w:val="9"/>
        </w:numPr>
        <w:tabs>
          <w:tab w:val="left" w:pos="1701"/>
        </w:tabs>
        <w:spacing w:after="120"/>
        <w:ind w:left="1134" w:right="1134"/>
        <w:jc w:val="both"/>
      </w:pPr>
      <w:r w:rsidRPr="00BB5674">
        <w:rPr>
          <w:iCs/>
        </w:rPr>
        <w:t>Also decides that the report on the review on the initial report or updated initial report for a cooperative approach, as submitted by the participating Party, shall be published prior to that participating Party including in its agreed electronic format information on actions in respect of internationally transferred mitigation outcomes originating from that cooperative approach;</w:t>
      </w:r>
    </w:p>
    <w:p w14:paraId="29276285" w14:textId="77777777" w:rsidR="003670E8" w:rsidRPr="00677E16" w:rsidRDefault="003670E8" w:rsidP="003670E8">
      <w:pPr>
        <w:tabs>
          <w:tab w:val="left" w:pos="1701"/>
        </w:tabs>
        <w:spacing w:after="120"/>
        <w:ind w:left="1135" w:right="1134"/>
        <w:jc w:val="both"/>
      </w:pPr>
      <w:r w:rsidRPr="00677E16">
        <w:rPr>
          <w:b/>
          <w:bCs/>
        </w:rPr>
        <w:t xml:space="preserve">Option 2 </w:t>
      </w:r>
      <w:r w:rsidRPr="00677E16">
        <w:rPr>
          <w:b/>
        </w:rPr>
        <w:t>{</w:t>
      </w:r>
      <w:r w:rsidRPr="00677E16">
        <w:rPr>
          <w:b/>
          <w:i/>
        </w:rPr>
        <w:t xml:space="preserve">No impacts </w:t>
      </w:r>
      <w:r w:rsidRPr="00677E16">
        <w:rPr>
          <w:b/>
          <w:bCs/>
          <w:i/>
          <w:iCs/>
        </w:rPr>
        <w:t xml:space="preserve">on </w:t>
      </w:r>
      <w:r w:rsidRPr="00677E16">
        <w:rPr>
          <w:b/>
          <w:i/>
        </w:rPr>
        <w:t>AEF submission</w:t>
      </w:r>
      <w:r w:rsidRPr="00677E16">
        <w:rPr>
          <w:b/>
        </w:rPr>
        <w:t>}</w:t>
      </w:r>
    </w:p>
    <w:p w14:paraId="66FB636D" w14:textId="77777777" w:rsidR="003670E8" w:rsidRPr="00677E16" w:rsidRDefault="003670E8" w:rsidP="003670E8">
      <w:pPr>
        <w:numPr>
          <w:ilvl w:val="5"/>
          <w:numId w:val="9"/>
        </w:numPr>
        <w:tabs>
          <w:tab w:val="left" w:pos="1701"/>
        </w:tabs>
        <w:spacing w:after="120"/>
        <w:ind w:left="1134" w:right="1134"/>
        <w:jc w:val="both"/>
        <w:rPr>
          <w:i/>
          <w:iCs/>
        </w:rPr>
      </w:pPr>
      <w:r w:rsidRPr="00677E16">
        <w:rPr>
          <w:i/>
          <w:iCs/>
        </w:rPr>
        <w:t xml:space="preserve">Encourages </w:t>
      </w:r>
      <w:r w:rsidRPr="00677E16">
        <w:t>participating Parties to submit an initial report or updated initial report by a participating Party prior to submitting, in an agreed electronic format, annual information on each cooperative approach;</w:t>
      </w:r>
    </w:p>
    <w:p w14:paraId="55224801" w14:textId="77777777" w:rsidR="003670E8" w:rsidRPr="00677E16" w:rsidRDefault="003670E8" w:rsidP="003670E8">
      <w:pPr>
        <w:tabs>
          <w:tab w:val="left" w:pos="1701"/>
        </w:tabs>
        <w:spacing w:after="120"/>
        <w:ind w:left="1135" w:right="1134"/>
        <w:jc w:val="both"/>
      </w:pPr>
      <w:r w:rsidRPr="00677E16">
        <w:rPr>
          <w:b/>
          <w:bCs/>
        </w:rPr>
        <w:t>Option 3:</w:t>
      </w:r>
      <w:r w:rsidRPr="00677E16">
        <w:t xml:space="preserve"> {</w:t>
      </w:r>
      <w:r w:rsidRPr="00677E16">
        <w:rPr>
          <w:i/>
          <w:iCs/>
        </w:rPr>
        <w:t>No text required</w:t>
      </w:r>
      <w:r w:rsidRPr="00677E16">
        <w:t>}</w:t>
      </w:r>
    </w:p>
    <w:p w14:paraId="1F312E6C" w14:textId="77777777" w:rsidR="003670E8" w:rsidRPr="00677E16" w:rsidRDefault="003670E8" w:rsidP="003670E8">
      <w:pPr>
        <w:tabs>
          <w:tab w:val="left" w:pos="1701"/>
        </w:tabs>
        <w:spacing w:after="120"/>
        <w:ind w:left="1135" w:right="1134"/>
        <w:jc w:val="both"/>
        <w:rPr>
          <w:b/>
        </w:rPr>
      </w:pPr>
      <w:r w:rsidRPr="00677E16">
        <w:rPr>
          <w:b/>
        </w:rPr>
        <w:t>{</w:t>
      </w:r>
      <w:r w:rsidRPr="00677E16">
        <w:rPr>
          <w:b/>
          <w:i/>
        </w:rPr>
        <w:t>Other impacts due to inconsistencies on ITMOs</w:t>
      </w:r>
      <w:r w:rsidRPr="00677E16">
        <w:rPr>
          <w:b/>
        </w:rPr>
        <w:t>}</w:t>
      </w:r>
    </w:p>
    <w:p w14:paraId="3CCEB9D4" w14:textId="77777777" w:rsidR="003670E8" w:rsidRPr="00DC26FE" w:rsidRDefault="003670E8" w:rsidP="003670E8">
      <w:pPr>
        <w:numPr>
          <w:ilvl w:val="5"/>
          <w:numId w:val="9"/>
        </w:numPr>
        <w:tabs>
          <w:tab w:val="left" w:pos="1701"/>
        </w:tabs>
        <w:spacing w:after="120"/>
        <w:ind w:left="1134" w:right="1134"/>
        <w:jc w:val="both"/>
      </w:pPr>
      <w:r>
        <w:rPr>
          <w:i/>
          <w:iCs/>
        </w:rPr>
        <w:t>[</w:t>
      </w:r>
      <w:r w:rsidRPr="00D52196">
        <w:rPr>
          <w:i/>
          <w:iCs/>
        </w:rPr>
        <w:t>Clarifies</w:t>
      </w:r>
      <w:r w:rsidRPr="00DC26FE">
        <w:t xml:space="preserve"> that the initial report or updated initial report shall be submitted by the participating Party prior to or in conjunction with that participating Party submitting the annual information in the agreed electronic format and the annual information as part of the regular information from that cooperative approach</w:t>
      </w:r>
      <w:r>
        <w:t>;</w:t>
      </w:r>
    </w:p>
    <w:p w14:paraId="61BBD6A0" w14:textId="77777777" w:rsidR="003670E8" w:rsidRPr="006C5224" w:rsidRDefault="003670E8" w:rsidP="003670E8">
      <w:pPr>
        <w:keepNext/>
        <w:keepLines/>
        <w:numPr>
          <w:ilvl w:val="0"/>
          <w:numId w:val="1"/>
        </w:numPr>
        <w:tabs>
          <w:tab w:val="left" w:pos="1701"/>
        </w:tabs>
        <w:spacing w:before="360" w:after="240" w:line="300" w:lineRule="exact"/>
        <w:ind w:right="1134"/>
        <w:jc w:val="both"/>
        <w:rPr>
          <w:b/>
        </w:rPr>
      </w:pPr>
      <w:r w:rsidRPr="0037326E">
        <w:rPr>
          <w:b/>
          <w:bCs/>
          <w:sz w:val="28"/>
          <w:szCs w:val="28"/>
        </w:rPr>
        <w:t>Process of identifying, notifying and correcting inconsistencies from the automated consistency check</w:t>
      </w:r>
      <w:r w:rsidRPr="006C5224">
        <w:rPr>
          <w:b/>
        </w:rPr>
        <w:t xml:space="preserve">  </w:t>
      </w:r>
    </w:p>
    <w:p w14:paraId="7E25A571" w14:textId="77777777" w:rsidR="003670E8" w:rsidRPr="00677E16" w:rsidRDefault="003670E8" w:rsidP="003670E8">
      <w:pPr>
        <w:tabs>
          <w:tab w:val="left" w:pos="1701"/>
        </w:tabs>
        <w:spacing w:after="120"/>
        <w:ind w:left="1135" w:right="1134"/>
        <w:jc w:val="both"/>
        <w:rPr>
          <w:b/>
        </w:rPr>
      </w:pPr>
      <w:r w:rsidRPr="00677E16">
        <w:rPr>
          <w:b/>
        </w:rPr>
        <w:t>{</w:t>
      </w:r>
      <w:r w:rsidRPr="00677E16">
        <w:rPr>
          <w:b/>
          <w:i/>
        </w:rPr>
        <w:t>Identifying inconsistencies during the consistency check process</w:t>
      </w:r>
      <w:r w:rsidRPr="00677E16">
        <w:rPr>
          <w:b/>
        </w:rPr>
        <w:t>}</w:t>
      </w:r>
    </w:p>
    <w:p w14:paraId="0548E0C8"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Recalls </w:t>
      </w:r>
      <w:r w:rsidRPr="00677E16">
        <w:t>that the Article 6 database shall identify inconsistencies and unavailability of annual information by performing consistency checks on the accuracy and completeness of the information in accordance with the relevant requirements of decision 2/CMA.3, annex, chapter IV.B</w:t>
      </w:r>
      <w:r>
        <w:t>(Annual information) and IV.C (Regular information)</w:t>
      </w:r>
      <w:r w:rsidRPr="00677E16">
        <w:t>;</w:t>
      </w:r>
      <w:r w:rsidRPr="00677E16">
        <w:rPr>
          <w:rStyle w:val="FootnoteReference"/>
        </w:rPr>
        <w:footnoteReference w:id="3"/>
      </w:r>
    </w:p>
    <w:p w14:paraId="57E40E87" w14:textId="77777777" w:rsidR="003670E8" w:rsidRPr="00677E16" w:rsidRDefault="003670E8" w:rsidP="003670E8">
      <w:pPr>
        <w:tabs>
          <w:tab w:val="left" w:pos="1701"/>
        </w:tabs>
        <w:spacing w:after="120"/>
        <w:ind w:left="1135" w:right="1134"/>
        <w:jc w:val="both"/>
      </w:pPr>
      <w:r w:rsidRPr="00677E16">
        <w:rPr>
          <w:b/>
        </w:rPr>
        <w:t>{</w:t>
      </w:r>
      <w:r w:rsidRPr="00677E16">
        <w:rPr>
          <w:b/>
          <w:i/>
        </w:rPr>
        <w:t>Notifying inconsistencies identified during the consistency check process</w:t>
      </w:r>
      <w:r w:rsidRPr="00677E16">
        <w:rPr>
          <w:b/>
        </w:rPr>
        <w:t>}</w:t>
      </w:r>
    </w:p>
    <w:p w14:paraId="630E41E2" w14:textId="77777777" w:rsidR="003670E8" w:rsidRDefault="003670E8" w:rsidP="003670E8">
      <w:pPr>
        <w:tabs>
          <w:tab w:val="left" w:pos="1701"/>
        </w:tabs>
        <w:spacing w:after="120"/>
        <w:ind w:left="1135" w:right="1134"/>
        <w:jc w:val="both"/>
        <w:rPr>
          <w:b/>
          <w:bCs/>
        </w:rPr>
      </w:pPr>
      <w:r w:rsidRPr="00677E16">
        <w:rPr>
          <w:b/>
          <w:bCs/>
        </w:rPr>
        <w:t>Option 1</w:t>
      </w:r>
    </w:p>
    <w:p w14:paraId="35026A12" w14:textId="77777777" w:rsidR="003670E8" w:rsidRPr="00DC26FE" w:rsidRDefault="003670E8" w:rsidP="003670E8">
      <w:pPr>
        <w:numPr>
          <w:ilvl w:val="5"/>
          <w:numId w:val="9"/>
        </w:numPr>
        <w:tabs>
          <w:tab w:val="left" w:pos="1701"/>
        </w:tabs>
        <w:spacing w:after="120"/>
        <w:ind w:left="1134" w:right="1134"/>
        <w:jc w:val="both"/>
      </w:pPr>
      <w:r>
        <w:t>[</w:t>
      </w:r>
      <w:r w:rsidRPr="00DC26FE">
        <w:rPr>
          <w:i/>
          <w:iCs/>
        </w:rPr>
        <w:t>Decides</w:t>
      </w:r>
      <w:r>
        <w:t xml:space="preserve"> that to facilitate transparency and the Article 6 technical expert review teams in the completion of the Article 6 technical expert review, the Article 6 database will generate consistency check synthesis reports, user-friendly summary tables and disaggregated tables with information on inconsistencies found that shall be publicly displayed on the Centralized Accounting and Reporting Platform;]</w:t>
      </w:r>
    </w:p>
    <w:p w14:paraId="38AC0EC1" w14:textId="77777777" w:rsidR="003670E8" w:rsidRDefault="003670E8" w:rsidP="003670E8">
      <w:pPr>
        <w:tabs>
          <w:tab w:val="left" w:pos="1701"/>
        </w:tabs>
        <w:spacing w:after="120"/>
        <w:ind w:left="1135" w:right="1134"/>
        <w:jc w:val="both"/>
      </w:pPr>
      <w:r w:rsidRPr="00677E16">
        <w:rPr>
          <w:b/>
          <w:bCs/>
        </w:rPr>
        <w:tab/>
        <w:t>Option A</w:t>
      </w:r>
      <w:r w:rsidRPr="00677E16">
        <w:rPr>
          <w:i/>
          <w:iCs/>
        </w:rPr>
        <w:t xml:space="preserve"> </w:t>
      </w:r>
    </w:p>
    <w:p w14:paraId="3BBED044" w14:textId="77777777" w:rsidR="003670E8" w:rsidRPr="00677E16" w:rsidRDefault="003670E8" w:rsidP="003670E8">
      <w:pPr>
        <w:numPr>
          <w:ilvl w:val="5"/>
          <w:numId w:val="9"/>
        </w:numPr>
        <w:tabs>
          <w:tab w:val="left" w:pos="1701"/>
        </w:tabs>
        <w:spacing w:after="120"/>
        <w:ind w:left="1134" w:right="1134"/>
        <w:jc w:val="both"/>
      </w:pPr>
      <w:r w:rsidRPr="00677E16">
        <w:rPr>
          <w:b/>
          <w:bCs/>
        </w:rPr>
        <w:tab/>
      </w:r>
      <w:r w:rsidRPr="00DC26FE">
        <w:rPr>
          <w:i/>
          <w:iCs/>
        </w:rPr>
        <w:t>Decides</w:t>
      </w:r>
      <w:r>
        <w:t xml:space="preserve"> that, the output of the consistency checks shall be publicly displayed pursuant to chapter VI of decision 2/CMA.3, as per decision 2/CMA.3, annex paragraph 36(a) and the relevant information will be marked as “checked, no inconsistencies identified”, “checked, inconsistencies identified”, or “null, information for check not available” in accordance with a consistency check procedure developed by the secretariat consistently with decision 2/CMA.3, annex, paragraph 33(a);</w:t>
      </w:r>
    </w:p>
    <w:p w14:paraId="2248857D" w14:textId="77777777" w:rsidR="003670E8" w:rsidRPr="00677E16" w:rsidRDefault="003670E8" w:rsidP="00453D09">
      <w:pPr>
        <w:keepNext/>
        <w:tabs>
          <w:tab w:val="left" w:pos="1701"/>
        </w:tabs>
        <w:spacing w:after="120"/>
        <w:ind w:left="1134" w:right="1134" w:firstLine="567"/>
        <w:jc w:val="both"/>
      </w:pPr>
      <w:r w:rsidRPr="00677E16">
        <w:rPr>
          <w:b/>
          <w:bCs/>
        </w:rPr>
        <w:lastRenderedPageBreak/>
        <w:t>Option B</w:t>
      </w:r>
      <w:r w:rsidRPr="00677E16">
        <w:rPr>
          <w:i/>
          <w:iCs/>
        </w:rPr>
        <w:t xml:space="preserve"> </w:t>
      </w:r>
    </w:p>
    <w:p w14:paraId="5335DC82" w14:textId="60A831A5" w:rsidR="003670E8" w:rsidRPr="00677E16" w:rsidRDefault="003670E8" w:rsidP="003670E8">
      <w:pPr>
        <w:numPr>
          <w:ilvl w:val="5"/>
          <w:numId w:val="9"/>
        </w:numPr>
        <w:tabs>
          <w:tab w:val="left" w:pos="1701"/>
        </w:tabs>
        <w:spacing w:after="120"/>
        <w:ind w:left="1134" w:right="1134"/>
        <w:jc w:val="both"/>
      </w:pPr>
      <w:r w:rsidRPr="00DC26FE">
        <w:t>[</w:t>
      </w:r>
      <w:r w:rsidRPr="00677E16">
        <w:rPr>
          <w:i/>
          <w:iCs/>
        </w:rPr>
        <w:t>Notes</w:t>
      </w:r>
      <w:r w:rsidRPr="00DC26FE">
        <w:t>]</w:t>
      </w:r>
      <w:r>
        <w:t>[</w:t>
      </w:r>
      <w:r>
        <w:rPr>
          <w:i/>
          <w:iCs/>
        </w:rPr>
        <w:t>Decides</w:t>
      </w:r>
      <w:r>
        <w:t>]</w:t>
      </w:r>
      <w:r w:rsidRPr="00677E16">
        <w:rPr>
          <w:i/>
          <w:iCs/>
        </w:rPr>
        <w:t xml:space="preserve"> </w:t>
      </w:r>
      <w:r w:rsidRPr="00677E16">
        <w:t xml:space="preserve">that the results of the consistency check performed </w:t>
      </w:r>
      <w:r>
        <w:t>[by the secretariat]</w:t>
      </w:r>
      <w:r w:rsidRPr="00677E16">
        <w:t xml:space="preserve"> will be made publicly</w:t>
      </w:r>
      <w:r>
        <w:t xml:space="preserve"> </w:t>
      </w:r>
      <w:r w:rsidRPr="00677E16">
        <w:t xml:space="preserve">available on the centralized accounting and reporting platform and show whether reported information </w:t>
      </w:r>
      <w:r>
        <w:t xml:space="preserve">of a participating Party and /or between Parties participating in the same cooperative </w:t>
      </w:r>
      <w:r w:rsidR="00900A99">
        <w:t>approach</w:t>
      </w:r>
      <w:r w:rsidRPr="00677E16">
        <w:t xml:space="preserve"> is</w:t>
      </w:r>
      <w:r>
        <w:t>[</w:t>
      </w:r>
      <w:r w:rsidRPr="00677E16">
        <w:t>, inter alia</w:t>
      </w:r>
      <w:r>
        <w:t>]</w:t>
      </w:r>
      <w:r w:rsidRPr="00677E16">
        <w:t>:</w:t>
      </w:r>
    </w:p>
    <w:p w14:paraId="545947BC" w14:textId="77777777" w:rsidR="003670E8" w:rsidRPr="00677E16" w:rsidRDefault="003670E8" w:rsidP="003C28AB">
      <w:pPr>
        <w:numPr>
          <w:ilvl w:val="6"/>
          <w:numId w:val="43"/>
        </w:numPr>
        <w:spacing w:after="120"/>
        <w:ind w:right="1134"/>
        <w:jc w:val="both"/>
      </w:pPr>
      <w:r w:rsidRPr="00677E16">
        <w:t>Consistent: there is no inconsistency found in checks performed on the information;</w:t>
      </w:r>
    </w:p>
    <w:p w14:paraId="0021CF58" w14:textId="77777777" w:rsidR="003670E8" w:rsidRDefault="003670E8" w:rsidP="003C28AB">
      <w:pPr>
        <w:numPr>
          <w:ilvl w:val="6"/>
          <w:numId w:val="43"/>
        </w:numPr>
        <w:spacing w:after="120"/>
        <w:ind w:right="1134"/>
        <w:jc w:val="both"/>
      </w:pPr>
      <w:r w:rsidRPr="00677E16">
        <w:t>Inconsistent</w:t>
      </w:r>
      <w:r>
        <w:t>[ (internal and/or cross-Party)]</w:t>
      </w:r>
      <w:r w:rsidRPr="00677E16">
        <w:t>: inconsistencies or mismatches of information have been found in checks performed on the reported information</w:t>
      </w:r>
      <w:r>
        <w:t xml:space="preserve"> [of a Party (between its reports) and/or between Parties participating in the same cooperative approach, the secretariat shall note if:</w:t>
      </w:r>
    </w:p>
    <w:p w14:paraId="2C1C007E" w14:textId="77777777" w:rsidR="003670E8" w:rsidRPr="00677E16" w:rsidRDefault="003670E8" w:rsidP="003C28AB">
      <w:pPr>
        <w:pStyle w:val="RegSingleTxtG3"/>
        <w:numPr>
          <w:ilvl w:val="7"/>
          <w:numId w:val="36"/>
        </w:numPr>
        <w:ind w:left="1701"/>
      </w:pPr>
      <w:r w:rsidRPr="002C3ABF">
        <w:t>Checks performed on the information submitted by the participating Party in its initial report indicate that the information submitted is not consistent with the requirements of decision 2/CMA.3, annex, paragraph 18, and decision 6/CMA.4, annex II</w:t>
      </w:r>
      <w:r>
        <w:rPr>
          <w:rStyle w:val="FootnoteReference"/>
        </w:rPr>
        <w:footnoteReference w:id="4"/>
      </w:r>
      <w:r w:rsidRPr="00677E16">
        <w:t>;</w:t>
      </w:r>
    </w:p>
    <w:p w14:paraId="494BAAFB" w14:textId="77777777" w:rsidR="003670E8" w:rsidRPr="00677E16" w:rsidRDefault="003670E8" w:rsidP="003C28AB">
      <w:pPr>
        <w:pStyle w:val="RegSingleTxtG3"/>
        <w:numPr>
          <w:ilvl w:val="7"/>
          <w:numId w:val="36"/>
        </w:numPr>
        <w:ind w:left="1701"/>
      </w:pPr>
      <w:r w:rsidRPr="0090194D">
        <w:t>Checks performed on the information for each further cooperative approach indicate that the information is not consistent with the requirements of decision 2/CMA.3, annex, paragraph 18(g–i)</w:t>
      </w:r>
      <w:r>
        <w:rPr>
          <w:rStyle w:val="FootnoteReference"/>
        </w:rPr>
        <w:footnoteReference w:id="5"/>
      </w:r>
      <w:r>
        <w:t>;</w:t>
      </w:r>
    </w:p>
    <w:p w14:paraId="76EB32CD" w14:textId="77777777" w:rsidR="003670E8" w:rsidRPr="00677E16" w:rsidRDefault="003670E8" w:rsidP="003C28AB">
      <w:pPr>
        <w:pStyle w:val="RegSingleTxtG3"/>
        <w:numPr>
          <w:ilvl w:val="7"/>
          <w:numId w:val="36"/>
        </w:numPr>
        <w:ind w:left="1701"/>
      </w:pPr>
      <w:r w:rsidRPr="00975BD9">
        <w:t>Checks performed on the information in respect of internationally transferred mitigation outcomes referred to in decision 2/CMA.3, annex, paragraph 33(a), indicate inconsistencies or mismatches of information</w:t>
      </w:r>
      <w:r>
        <w:t>;</w:t>
      </w:r>
    </w:p>
    <w:p w14:paraId="3808D796" w14:textId="77777777" w:rsidR="003670E8" w:rsidRPr="00A235F0" w:rsidRDefault="003670E8" w:rsidP="003C28AB">
      <w:pPr>
        <w:numPr>
          <w:ilvl w:val="6"/>
          <w:numId w:val="43"/>
        </w:numPr>
        <w:spacing w:after="120"/>
        <w:ind w:right="1134"/>
        <w:jc w:val="both"/>
      </w:pPr>
      <w:r w:rsidRPr="00677E16">
        <w:t>Not available: information required to perform the consistency check was not available;</w:t>
      </w:r>
    </w:p>
    <w:p w14:paraId="46436BBC" w14:textId="77777777" w:rsidR="003670E8" w:rsidRPr="00677E16" w:rsidRDefault="003670E8" w:rsidP="003670E8">
      <w:pPr>
        <w:tabs>
          <w:tab w:val="left" w:pos="1701"/>
        </w:tabs>
        <w:spacing w:after="120"/>
        <w:ind w:left="1135" w:right="1134"/>
        <w:jc w:val="both"/>
      </w:pPr>
      <w:r w:rsidRPr="00677E16">
        <w:rPr>
          <w:b/>
          <w:bCs/>
        </w:rPr>
        <w:t xml:space="preserve">Option 2: </w:t>
      </w:r>
      <w:r w:rsidRPr="00677E16">
        <w:t>{</w:t>
      </w:r>
      <w:r w:rsidRPr="00677E16">
        <w:rPr>
          <w:i/>
          <w:iCs/>
        </w:rPr>
        <w:t>No text required</w:t>
      </w:r>
      <w:r w:rsidRPr="00677E16">
        <w:t>}</w:t>
      </w:r>
    </w:p>
    <w:p w14:paraId="2388E7C3" w14:textId="77777777" w:rsidR="003670E8" w:rsidRPr="00677E16" w:rsidRDefault="003670E8" w:rsidP="003670E8">
      <w:pPr>
        <w:tabs>
          <w:tab w:val="left" w:pos="1701"/>
        </w:tabs>
        <w:spacing w:after="120"/>
        <w:ind w:left="1135" w:right="1134"/>
        <w:jc w:val="both"/>
        <w:rPr>
          <w:b/>
        </w:rPr>
      </w:pPr>
      <w:r w:rsidRPr="00677E16">
        <w:rPr>
          <w:b/>
        </w:rPr>
        <w:t>{</w:t>
      </w:r>
      <w:r w:rsidRPr="00677E16">
        <w:rPr>
          <w:b/>
          <w:i/>
        </w:rPr>
        <w:t>Correcting inconsistencies identified during the consistency check process</w:t>
      </w:r>
      <w:r w:rsidRPr="00677E16">
        <w:rPr>
          <w:b/>
        </w:rPr>
        <w:t>}</w:t>
      </w:r>
    </w:p>
    <w:p w14:paraId="562FDCDC" w14:textId="77777777" w:rsidR="003670E8" w:rsidRDefault="003670E8" w:rsidP="003670E8">
      <w:pPr>
        <w:tabs>
          <w:tab w:val="left" w:pos="1701"/>
        </w:tabs>
        <w:spacing w:after="120"/>
        <w:ind w:left="1135" w:right="1134"/>
        <w:jc w:val="both"/>
        <w:rPr>
          <w:b/>
          <w:bCs/>
        </w:rPr>
      </w:pPr>
      <w:r>
        <w:rPr>
          <w:b/>
          <w:bCs/>
        </w:rPr>
        <w:t>Option 1</w:t>
      </w:r>
    </w:p>
    <w:p w14:paraId="0538C688" w14:textId="67D7B9CF" w:rsidR="003670E8" w:rsidRPr="00DC26FE" w:rsidRDefault="003670E8" w:rsidP="003670E8">
      <w:pPr>
        <w:numPr>
          <w:ilvl w:val="5"/>
          <w:numId w:val="9"/>
        </w:numPr>
        <w:tabs>
          <w:tab w:val="left" w:pos="1701"/>
        </w:tabs>
        <w:spacing w:after="120"/>
        <w:ind w:left="1134" w:right="1134"/>
        <w:jc w:val="both"/>
      </w:pPr>
      <w:r w:rsidRPr="00DC26FE">
        <w:rPr>
          <w:i/>
          <w:iCs/>
        </w:rPr>
        <w:t>Recalls</w:t>
      </w:r>
      <w:r w:rsidRPr="00DC26FE">
        <w:t xml:space="preserve"> that the Article 6 database shall notify the participating Party or participating Parties, as applicable, of inconsistencies identified by consistency checks as per decision 6/CMA.4, annex</w:t>
      </w:r>
      <w:r w:rsidR="00471585">
        <w:t xml:space="preserve"> </w:t>
      </w:r>
      <w:r w:rsidR="00E9404C">
        <w:t>I</w:t>
      </w:r>
      <w:r w:rsidRPr="00DC26FE">
        <w:t>, paragraph 37</w:t>
      </w:r>
      <w:r>
        <w:t>;</w:t>
      </w:r>
    </w:p>
    <w:p w14:paraId="6E250461" w14:textId="77777777" w:rsidR="003670E8" w:rsidRPr="00DC26FE" w:rsidRDefault="003670E8" w:rsidP="003670E8">
      <w:pPr>
        <w:numPr>
          <w:ilvl w:val="5"/>
          <w:numId w:val="9"/>
        </w:numPr>
        <w:tabs>
          <w:tab w:val="left" w:pos="1701"/>
        </w:tabs>
        <w:spacing w:after="120"/>
        <w:ind w:left="1134" w:right="1134"/>
        <w:jc w:val="both"/>
      </w:pPr>
      <w:r w:rsidRPr="00DC26FE">
        <w:rPr>
          <w:i/>
          <w:iCs/>
        </w:rPr>
        <w:t>Also recalls</w:t>
      </w:r>
      <w:r w:rsidRPr="00DC26FE">
        <w:t xml:space="preserve"> that the Article 6 database, through the submission portal of the centralized accounting and reporting platform, shall make available to participating Parties a pre-submission consistency check option for draft annual information for voluntary use by Parties</w:t>
      </w:r>
      <w:r>
        <w:t>;</w:t>
      </w:r>
    </w:p>
    <w:p w14:paraId="1D25E730" w14:textId="77777777" w:rsidR="003670E8" w:rsidRPr="00DC26FE" w:rsidRDefault="003670E8" w:rsidP="003670E8">
      <w:pPr>
        <w:numPr>
          <w:ilvl w:val="5"/>
          <w:numId w:val="9"/>
        </w:numPr>
        <w:tabs>
          <w:tab w:val="left" w:pos="1701"/>
        </w:tabs>
        <w:spacing w:after="120"/>
        <w:ind w:left="1134" w:right="1134"/>
        <w:jc w:val="both"/>
      </w:pPr>
      <w:r w:rsidRPr="00DC26FE">
        <w:rPr>
          <w:i/>
          <w:iCs/>
        </w:rPr>
        <w:t>Strongly encourages</w:t>
      </w:r>
      <w:r w:rsidRPr="00DC26FE">
        <w:t xml:space="preserve"> participating Parties, prior to the submission of annual quantitative information as per decision 2/CMA.3, annex, paragraphs 20 and 23, to use the pre-consistency check function of the centralized accounting and reporting platform when it is made available, which shall not supersede the performance of the consistency check after this information is submitted</w:t>
      </w:r>
      <w:r>
        <w:t>;</w:t>
      </w:r>
    </w:p>
    <w:p w14:paraId="5222F048" w14:textId="77777777" w:rsidR="003670E8" w:rsidRPr="00DC26FE" w:rsidRDefault="003670E8" w:rsidP="003670E8">
      <w:pPr>
        <w:numPr>
          <w:ilvl w:val="5"/>
          <w:numId w:val="9"/>
        </w:numPr>
        <w:tabs>
          <w:tab w:val="left" w:pos="1701"/>
        </w:tabs>
        <w:spacing w:after="120"/>
        <w:ind w:left="1134" w:right="1134"/>
        <w:jc w:val="both"/>
      </w:pPr>
      <w:r w:rsidRPr="00DC26FE">
        <w:rPr>
          <w:i/>
          <w:iCs/>
        </w:rPr>
        <w:t>Decides</w:t>
      </w:r>
      <w:r w:rsidRPr="00DC26FE">
        <w:t xml:space="preserve"> that inconsistencies in relation to the consistency check referred to in decision 2/CMA.3, annex, paragraph 33(a) shall be corrected by the relevant participating Party submitting revised agreed electronic formats, until consistency is achieved and verified through performance of another consistency check</w:t>
      </w:r>
      <w:r>
        <w:t>;</w:t>
      </w:r>
    </w:p>
    <w:p w14:paraId="2168DDD0" w14:textId="77777777" w:rsidR="003670E8" w:rsidRPr="00DC26FE" w:rsidRDefault="003670E8" w:rsidP="003670E8">
      <w:pPr>
        <w:numPr>
          <w:ilvl w:val="5"/>
          <w:numId w:val="9"/>
        </w:numPr>
        <w:tabs>
          <w:tab w:val="left" w:pos="1701"/>
        </w:tabs>
        <w:spacing w:after="120"/>
        <w:ind w:left="1134" w:right="1134"/>
        <w:jc w:val="both"/>
      </w:pPr>
      <w:r w:rsidRPr="00DC26FE">
        <w:rPr>
          <w:i/>
          <w:iCs/>
        </w:rPr>
        <w:t>Also decides</w:t>
      </w:r>
      <w:r w:rsidRPr="00DC26FE">
        <w:t xml:space="preserve"> that to ensure that double counting is avoided in accordance with paragraph 36 of decision 1/CP.21, internationally transferred mitigation outcomes where the consistency check has identified inconsistencies that have an impact on the adjusted emissions balance, shall be marked as a significant inconsistency, and[should] [shall] not be used towards achievement of NDCs and for other international mitigation purposes</w:t>
      </w:r>
      <w:r>
        <w:t xml:space="preserve"> </w:t>
      </w:r>
      <w:r w:rsidRPr="00DC26FE">
        <w:t xml:space="preserve">until the </w:t>
      </w:r>
      <w:r w:rsidRPr="00DC26FE">
        <w:lastRenderedPageBreak/>
        <w:t>consistency check of quantitative information is complete, and identified inconsistencies are resolved</w:t>
      </w:r>
      <w:r>
        <w:t>;</w:t>
      </w:r>
    </w:p>
    <w:p w14:paraId="4F123E5E" w14:textId="77777777" w:rsidR="003670E8" w:rsidRPr="00DC26FE" w:rsidRDefault="003670E8" w:rsidP="003670E8">
      <w:pPr>
        <w:tabs>
          <w:tab w:val="left" w:pos="1701"/>
        </w:tabs>
        <w:spacing w:after="120"/>
        <w:ind w:left="1135" w:right="1134"/>
        <w:jc w:val="both"/>
        <w:rPr>
          <w:b/>
          <w:bCs/>
        </w:rPr>
      </w:pPr>
      <w:r>
        <w:rPr>
          <w:b/>
          <w:bCs/>
        </w:rPr>
        <w:t>Option 2</w:t>
      </w:r>
    </w:p>
    <w:p w14:paraId="09EF72C5" w14:textId="77777777" w:rsidR="003670E8" w:rsidRPr="00667BE9" w:rsidRDefault="003670E8" w:rsidP="003670E8">
      <w:pPr>
        <w:numPr>
          <w:ilvl w:val="5"/>
          <w:numId w:val="9"/>
        </w:numPr>
        <w:tabs>
          <w:tab w:val="left" w:pos="1701"/>
        </w:tabs>
        <w:spacing w:after="120"/>
        <w:ind w:left="1134" w:right="1134"/>
        <w:jc w:val="both"/>
      </w:pPr>
      <w:r w:rsidRPr="00677E16">
        <w:rPr>
          <w:rFonts w:eastAsia="Times New Roman"/>
          <w:i/>
          <w:iCs/>
          <w:color w:val="000000" w:themeColor="text1"/>
        </w:rPr>
        <w:t>Clarifies</w:t>
      </w:r>
      <w:r w:rsidRPr="00677E16">
        <w:rPr>
          <w:rFonts w:eastAsia="Times New Roman"/>
          <w:color w:val="000000" w:themeColor="text1"/>
        </w:rPr>
        <w:t xml:space="preserve"> that </w:t>
      </w:r>
      <w:r w:rsidRPr="00677E16">
        <w:t>inconsistencies</w:t>
      </w:r>
      <w:r w:rsidRPr="00677E16">
        <w:rPr>
          <w:rFonts w:eastAsia="Times New Roman"/>
          <w:color w:val="000000" w:themeColor="text1"/>
        </w:rPr>
        <w:t xml:space="preserve"> identified during the consistency check referred to in decision 2/CMA.3, annex, paragraph 33(a), and in decision 6/CMA.4, annex I, paragraph 39, [may][should] be</w:t>
      </w:r>
      <w:r w:rsidRPr="00677E16" w:rsidDel="007B46F3">
        <w:rPr>
          <w:rFonts w:eastAsia="Times New Roman"/>
          <w:color w:val="000000" w:themeColor="text1"/>
        </w:rPr>
        <w:t xml:space="preserve"> </w:t>
      </w:r>
      <w:r w:rsidRPr="00677E16">
        <w:rPr>
          <w:rFonts w:eastAsia="Times New Roman"/>
          <w:color w:val="000000" w:themeColor="text1"/>
        </w:rPr>
        <w:t>addressed,[ where appropriate] by the relevant participating Parties submitting revised agreed electronic formats, as required, followed by the performance of a consistency check</w:t>
      </w:r>
      <w:r w:rsidRPr="00677E16">
        <w:t xml:space="preserve"> that finds no inconsistencies [</w:t>
      </w:r>
      <w:r w:rsidRPr="00677E16">
        <w:rPr>
          <w:rFonts w:eastAsia="Times New Roman"/>
          <w:color w:val="000000" w:themeColor="text1"/>
        </w:rPr>
        <w:t>and/or may be addressed in the recommended actions to be taken by a participating Party that are specified by an Article 6 technical expert review team pursuant to decision 6/CMA.4, annex II, paragraph 5(b)]];</w:t>
      </w:r>
    </w:p>
    <w:p w14:paraId="4212A225" w14:textId="77777777" w:rsidR="003670E8" w:rsidRPr="00667BE9" w:rsidRDefault="003670E8" w:rsidP="003670E8">
      <w:pPr>
        <w:tabs>
          <w:tab w:val="left" w:pos="1701"/>
        </w:tabs>
        <w:spacing w:after="120"/>
        <w:ind w:left="1134" w:right="1134"/>
        <w:jc w:val="both"/>
      </w:pPr>
      <w:r w:rsidRPr="001D3BB3">
        <w:rPr>
          <w:rFonts w:eastAsia="Times New Roman"/>
          <w:b/>
          <w:bCs/>
          <w:i/>
          <w:iCs/>
          <w:color w:val="000000" w:themeColor="text1"/>
        </w:rPr>
        <w:t>{Implications from</w:t>
      </w:r>
      <w:r>
        <w:rPr>
          <w:rFonts w:eastAsia="Times New Roman"/>
          <w:i/>
          <w:iCs/>
          <w:color w:val="000000" w:themeColor="text1"/>
        </w:rPr>
        <w:t xml:space="preserve"> </w:t>
      </w:r>
      <w:r w:rsidRPr="00677E16">
        <w:rPr>
          <w:b/>
          <w:i/>
        </w:rPr>
        <w:t>identified inconsistencies</w:t>
      </w:r>
      <w:r>
        <w:rPr>
          <w:b/>
          <w:i/>
        </w:rPr>
        <w:t xml:space="preserve"> through the automated consistency check}</w:t>
      </w:r>
    </w:p>
    <w:p w14:paraId="5FE33038" w14:textId="77777777" w:rsidR="003670E8" w:rsidRPr="00821371" w:rsidRDefault="003670E8" w:rsidP="003670E8">
      <w:pPr>
        <w:numPr>
          <w:ilvl w:val="5"/>
          <w:numId w:val="9"/>
        </w:numPr>
        <w:tabs>
          <w:tab w:val="left" w:pos="1701"/>
        </w:tabs>
        <w:spacing w:after="120"/>
        <w:ind w:left="1134" w:right="1134"/>
        <w:jc w:val="both"/>
        <w:rPr>
          <w:rFonts w:eastAsia="Times New Roman"/>
        </w:rPr>
      </w:pPr>
      <w:r w:rsidRPr="00677E16">
        <w:t>[</w:t>
      </w:r>
      <w:r w:rsidRPr="00677E16">
        <w:rPr>
          <w:i/>
          <w:iCs/>
        </w:rPr>
        <w:t xml:space="preserve">Decides </w:t>
      </w:r>
      <w:r w:rsidRPr="00677E16">
        <w:t xml:space="preserve">that </w:t>
      </w:r>
      <w:r>
        <w:t>ITMOs</w:t>
      </w:r>
      <w:r w:rsidRPr="00677E16">
        <w:t xml:space="preserve"> identified as inconsistent as per </w:t>
      </w:r>
      <w:r w:rsidRPr="00A90119">
        <w:t xml:space="preserve">to </w:t>
      </w:r>
      <w:r w:rsidRPr="00821371">
        <w:t>paragraph [881][89] below shall not be transferred and used towards achievement of nationally determined contributions or other international mitigation purposes until the identified inconsistencies are resolved, noting decision 6/CMA.4, paragraph 14;]</w:t>
      </w:r>
    </w:p>
    <w:p w14:paraId="29BDB8D3" w14:textId="77777777" w:rsidR="003670E8" w:rsidRPr="00821371" w:rsidRDefault="003670E8" w:rsidP="003670E8">
      <w:pPr>
        <w:tabs>
          <w:tab w:val="left" w:pos="1701"/>
        </w:tabs>
        <w:spacing w:after="120"/>
        <w:ind w:left="1135" w:right="1134"/>
        <w:jc w:val="both"/>
        <w:rPr>
          <w:b/>
        </w:rPr>
      </w:pPr>
      <w:r w:rsidRPr="00821371">
        <w:rPr>
          <w:b/>
        </w:rPr>
        <w:t>{</w:t>
      </w:r>
      <w:r w:rsidRPr="00821371">
        <w:rPr>
          <w:b/>
          <w:i/>
        </w:rPr>
        <w:t>Link to review status</w:t>
      </w:r>
      <w:r w:rsidRPr="00821371">
        <w:rPr>
          <w:b/>
        </w:rPr>
        <w:t>}</w:t>
      </w:r>
    </w:p>
    <w:p w14:paraId="6E684061" w14:textId="77777777" w:rsidR="003670E8" w:rsidRPr="00821371" w:rsidRDefault="003670E8" w:rsidP="003670E8">
      <w:pPr>
        <w:tabs>
          <w:tab w:val="left" w:pos="1701"/>
        </w:tabs>
        <w:spacing w:after="120"/>
        <w:ind w:left="1135" w:right="1134"/>
        <w:jc w:val="both"/>
        <w:rPr>
          <w:b/>
        </w:rPr>
      </w:pPr>
      <w:r w:rsidRPr="00821371">
        <w:rPr>
          <w:b/>
        </w:rPr>
        <w:t>Option 1</w:t>
      </w:r>
    </w:p>
    <w:p w14:paraId="307ABF40" w14:textId="77777777" w:rsidR="003670E8" w:rsidRPr="00821371" w:rsidRDefault="003670E8" w:rsidP="003670E8">
      <w:pPr>
        <w:numPr>
          <w:ilvl w:val="5"/>
          <w:numId w:val="9"/>
        </w:numPr>
        <w:tabs>
          <w:tab w:val="left" w:pos="1701"/>
        </w:tabs>
        <w:spacing w:after="120"/>
        <w:ind w:left="1134" w:right="1134"/>
        <w:jc w:val="both"/>
        <w:rPr>
          <w:i/>
          <w:iCs/>
        </w:rPr>
      </w:pPr>
      <w:r w:rsidRPr="00821371">
        <w:t>[</w:t>
      </w:r>
      <w:r w:rsidRPr="00821371">
        <w:rPr>
          <w:i/>
          <w:iCs/>
        </w:rPr>
        <w:t xml:space="preserve">Decides </w:t>
      </w:r>
      <w:r w:rsidRPr="00821371">
        <w:t>that, when the annual information on internationally transferred mitigation outcomes for which the report on the review on the initial report or updated initial report has not yet been published, the Article 6 database shall include the additional notation “[initial report review pending][in progress]” in the results of the consistency check referred to in decision 2/CMA.3, annex, paragraph 33(a);]</w:t>
      </w:r>
    </w:p>
    <w:p w14:paraId="7007D762" w14:textId="77777777" w:rsidR="003670E8" w:rsidRPr="00821371" w:rsidRDefault="003670E8" w:rsidP="003670E8">
      <w:pPr>
        <w:tabs>
          <w:tab w:val="left" w:pos="1701"/>
        </w:tabs>
        <w:spacing w:after="120"/>
        <w:ind w:left="1134" w:right="1134"/>
        <w:jc w:val="both"/>
        <w:rPr>
          <w:b/>
          <w:bCs/>
          <w:i/>
          <w:iCs/>
        </w:rPr>
      </w:pPr>
      <w:r w:rsidRPr="00821371">
        <w:rPr>
          <w:b/>
          <w:bCs/>
        </w:rPr>
        <w:t>Option 2</w:t>
      </w:r>
    </w:p>
    <w:p w14:paraId="77DEC255" w14:textId="77777777" w:rsidR="003670E8" w:rsidRPr="00D52196" w:rsidRDefault="003670E8" w:rsidP="003670E8">
      <w:pPr>
        <w:numPr>
          <w:ilvl w:val="5"/>
          <w:numId w:val="9"/>
        </w:numPr>
        <w:tabs>
          <w:tab w:val="left" w:pos="1701"/>
        </w:tabs>
        <w:spacing w:after="120"/>
        <w:ind w:left="1134" w:right="1134"/>
        <w:jc w:val="both"/>
      </w:pPr>
      <w:r w:rsidRPr="00821371">
        <w:rPr>
          <w:i/>
          <w:iCs/>
        </w:rPr>
        <w:t>Clarifies</w:t>
      </w:r>
      <w:r w:rsidRPr="00821371">
        <w:t xml:space="preserve"> that the automated consistency check as referred to in paragraph 87 above</w:t>
      </w:r>
      <w:r w:rsidRPr="0061785E">
        <w:t xml:space="preserve"> shall apply and </w:t>
      </w:r>
      <w:r>
        <w:t xml:space="preserve">its results </w:t>
      </w:r>
      <w:r w:rsidRPr="0061785E">
        <w:t xml:space="preserve">be publicly displayed on the </w:t>
      </w:r>
      <w:r w:rsidRPr="000E2F60">
        <w:t>CARP</w:t>
      </w:r>
      <w:r w:rsidRPr="0061785E">
        <w:t xml:space="preserve"> regardless of the availability of  </w:t>
      </w:r>
      <w:r>
        <w:t xml:space="preserve">relevant </w:t>
      </w:r>
      <w:r w:rsidRPr="0061785E">
        <w:t xml:space="preserve">data, </w:t>
      </w:r>
      <w:r>
        <w:t>r</w:t>
      </w:r>
      <w:r w:rsidRPr="00E25315">
        <w:t>eports</w:t>
      </w:r>
      <w:r w:rsidRPr="0061785E">
        <w:t xml:space="preserve"> submitted and</w:t>
      </w:r>
      <w:r w:rsidRPr="000B1FA6">
        <w:t xml:space="preserve"> </w:t>
      </w:r>
      <w:r w:rsidRPr="0061785E">
        <w:t xml:space="preserve">status of the </w:t>
      </w:r>
      <w:r>
        <w:t xml:space="preserve">Article 6 </w:t>
      </w:r>
      <w:r w:rsidRPr="0061785E">
        <w:t>technical expert review</w:t>
      </w:r>
      <w:r>
        <w:t xml:space="preserve"> </w:t>
      </w:r>
      <w:r w:rsidRPr="00075EED">
        <w:t>and</w:t>
      </w:r>
      <w:r w:rsidRPr="0061785E">
        <w:t xml:space="preserve"> the </w:t>
      </w:r>
      <w:r>
        <w:t>results</w:t>
      </w:r>
      <w:r w:rsidRPr="0061785E">
        <w:t xml:space="preserve"> of the </w:t>
      </w:r>
      <w:r>
        <w:t xml:space="preserve">automated </w:t>
      </w:r>
      <w:r w:rsidRPr="0061785E">
        <w:t xml:space="preserve">consistency check shall be marked with the appropriate notation denoting the status of the initial report, updated initial report, </w:t>
      </w:r>
      <w:r>
        <w:t xml:space="preserve">Article 6 </w:t>
      </w:r>
      <w:r w:rsidRPr="0061785E">
        <w:t xml:space="preserve">technical expert review, and </w:t>
      </w:r>
      <w:r>
        <w:t xml:space="preserve">Article 6 </w:t>
      </w:r>
      <w:r w:rsidRPr="0061785E">
        <w:t xml:space="preserve">technical expert review report, to be developed by the </w:t>
      </w:r>
      <w:r>
        <w:t>s</w:t>
      </w:r>
      <w:r w:rsidRPr="0061785E">
        <w:t>ecretariat</w:t>
      </w:r>
      <w:r>
        <w:t>;]</w:t>
      </w:r>
      <w:r w:rsidRPr="00E25315">
        <w:t xml:space="preserve"> </w:t>
      </w:r>
    </w:p>
    <w:p w14:paraId="37D24146" w14:textId="77777777" w:rsidR="003670E8" w:rsidRPr="00694758"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694758">
        <w:rPr>
          <w:b/>
          <w:bCs/>
          <w:sz w:val="28"/>
          <w:szCs w:val="28"/>
        </w:rPr>
        <w:t xml:space="preserve">Inconsistencies identified in Article 6 technical expert reviews </w:t>
      </w:r>
    </w:p>
    <w:p w14:paraId="181EE0CA" w14:textId="77777777" w:rsidR="003670E8" w:rsidRPr="00677E16" w:rsidRDefault="003670E8" w:rsidP="003670E8">
      <w:pPr>
        <w:tabs>
          <w:tab w:val="left" w:pos="1701"/>
        </w:tabs>
        <w:spacing w:after="120"/>
        <w:ind w:left="1135" w:right="1134"/>
        <w:jc w:val="both"/>
        <w:rPr>
          <w:b/>
        </w:rPr>
      </w:pPr>
      <w:r w:rsidRPr="00677E16">
        <w:rPr>
          <w:b/>
        </w:rPr>
        <w:t>{</w:t>
      </w:r>
      <w:r w:rsidRPr="007A6242">
        <w:rPr>
          <w:b/>
          <w:i/>
          <w:u w:val="single"/>
        </w:rPr>
        <w:t>Review practice guidance</w:t>
      </w:r>
      <w:r w:rsidRPr="00677E16">
        <w:rPr>
          <w:b/>
        </w:rPr>
        <w:t>}</w:t>
      </w:r>
    </w:p>
    <w:p w14:paraId="73A26E5C" w14:textId="77777777" w:rsidR="003670E8" w:rsidRPr="00677E16" w:rsidRDefault="003670E8" w:rsidP="003670E8">
      <w:pPr>
        <w:tabs>
          <w:tab w:val="left" w:pos="1701"/>
        </w:tabs>
        <w:spacing w:after="120"/>
        <w:ind w:left="1135" w:right="1134"/>
        <w:jc w:val="both"/>
        <w:rPr>
          <w:b/>
          <w:bCs/>
        </w:rPr>
      </w:pPr>
      <w:r w:rsidRPr="00677E16">
        <w:rPr>
          <w:b/>
          <w:bCs/>
        </w:rPr>
        <w:t>Option 1</w:t>
      </w:r>
    </w:p>
    <w:p w14:paraId="3970BC7A"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Recalls</w:t>
      </w:r>
      <w:r w:rsidRPr="00677E16">
        <w:t xml:space="preserve"> that the report referred to in decision 2/CMA.3, annex, paragraph 28, is to be considered </w:t>
      </w:r>
      <w:r>
        <w:t>by the technical expert review referred to in</w:t>
      </w:r>
      <w:r w:rsidRPr="00677E16">
        <w:t xml:space="preserve">decision 18/CMA.1, annex, </w:t>
      </w:r>
      <w:r w:rsidRPr="00C046CC">
        <w:t>chapter VII</w:t>
      </w:r>
      <w:r w:rsidRPr="00677E16">
        <w:t>;]</w:t>
      </w:r>
    </w:p>
    <w:p w14:paraId="34FB744E"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Recalls</w:t>
      </w:r>
      <w:r w:rsidRPr="00677E16">
        <w:t xml:space="preserve"> that, pursuant to decision 2/CMA.3, annex, paragraph 22(c), where a mitigation outcome is measured and transferred in tonnes of carbon dioxide equivalent, Parties should provide information on how each cooperative approach provides for the measurement of mitigation outcomes in accordance with the methodologies and metrics assessed by the Intergovernmental Panel on Climate Change and adopted by the CMA;</w:t>
      </w:r>
    </w:p>
    <w:p w14:paraId="2DA9A1F7" w14:textId="77777777" w:rsidR="003670E8" w:rsidRPr="00677E16" w:rsidRDefault="003670E8" w:rsidP="003670E8">
      <w:pPr>
        <w:numPr>
          <w:ilvl w:val="5"/>
          <w:numId w:val="9"/>
        </w:numPr>
        <w:tabs>
          <w:tab w:val="left" w:pos="1701"/>
        </w:tabs>
        <w:spacing w:after="120"/>
        <w:ind w:left="1134" w:right="1134"/>
        <w:jc w:val="both"/>
      </w:pPr>
      <w:r w:rsidRPr="00677E16">
        <w:rPr>
          <w:i/>
          <w:iCs/>
        </w:rPr>
        <w:t>Requests</w:t>
      </w:r>
      <w:r w:rsidRPr="00677E16">
        <w:t xml:space="preserve"> Article 6 technical expert review teams to </w:t>
      </w:r>
      <w:r w:rsidRPr="00D31321">
        <w:t>assess</w:t>
      </w:r>
      <w:r w:rsidRPr="00677E16">
        <w:t xml:space="preserve"> if the measurement reported for the cooperative approach is consistent with the methodologies and metrics applied by the participating Parties in the accounting approach for their nationally determined contribution;</w:t>
      </w:r>
    </w:p>
    <w:p w14:paraId="5FB73B19" w14:textId="77777777" w:rsidR="003670E8" w:rsidRPr="00677E16" w:rsidRDefault="003670E8" w:rsidP="003670E8">
      <w:pPr>
        <w:numPr>
          <w:ilvl w:val="5"/>
          <w:numId w:val="9"/>
        </w:numPr>
        <w:tabs>
          <w:tab w:val="left" w:pos="1701"/>
        </w:tabs>
        <w:spacing w:after="120"/>
        <w:ind w:left="1134" w:right="1134"/>
        <w:jc w:val="both"/>
      </w:pPr>
      <w:r w:rsidRPr="00677E16">
        <w:rPr>
          <w:i/>
          <w:iCs/>
        </w:rPr>
        <w:t>Recalls</w:t>
      </w:r>
      <w:r w:rsidRPr="00677E16">
        <w:t xml:space="preserve"> that, pursuant to decision 2/CMA.3, annex, paragraph 18(h)(ii), and other relevant provisions, the initial report shall contain a comprehensive description of how the cooperative approach ensures environmental integrity through robust, transparent governance and the quality of mitigation outcomes, including through conservative reference levels and baselines set in a conservative way and below ‘business as usual’ emission </w:t>
      </w:r>
      <w:r w:rsidRPr="00677E16">
        <w:lastRenderedPageBreak/>
        <w:t xml:space="preserve">projections (including by taking into account all existing policies and addressing uncertainties in quantification and potential leakage); </w:t>
      </w:r>
    </w:p>
    <w:p w14:paraId="13631B08" w14:textId="77777777" w:rsidR="003670E8" w:rsidRPr="00677E16" w:rsidRDefault="003670E8" w:rsidP="003670E8">
      <w:pPr>
        <w:numPr>
          <w:ilvl w:val="5"/>
          <w:numId w:val="9"/>
        </w:numPr>
        <w:tabs>
          <w:tab w:val="left" w:pos="1701"/>
        </w:tabs>
        <w:spacing w:after="120"/>
        <w:ind w:left="1134" w:right="1134"/>
        <w:jc w:val="both"/>
      </w:pPr>
      <w:r w:rsidRPr="00677E16">
        <w:rPr>
          <w:i/>
          <w:iCs/>
        </w:rPr>
        <w:t>Requests</w:t>
      </w:r>
      <w:r w:rsidRPr="00677E16">
        <w:t xml:space="preserve"> the Article 6 technical expert review team to </w:t>
      </w:r>
      <w:r w:rsidRPr="00D31321">
        <w:t>assess</w:t>
      </w:r>
      <w:r w:rsidRPr="00677E16">
        <w:t xml:space="preserve"> whether the information provided on methodologies is consistent with decision 2/CMA.3, annex, paragraph 18(h)(ii), and other relevant provisions, [including encouraging comparability </w:t>
      </w:r>
      <w:r>
        <w:t xml:space="preserve">of reported methodological approaches </w:t>
      </w:r>
      <w:r w:rsidRPr="00677E16">
        <w:t xml:space="preserve">with </w:t>
      </w:r>
      <w:r w:rsidRPr="002222B2">
        <w:t xml:space="preserve">methodological approaches in use under the </w:t>
      </w:r>
      <w:r>
        <w:t>[</w:t>
      </w:r>
      <w:r w:rsidRPr="00525DF2">
        <w:t>clean development mechanism and</w:t>
      </w:r>
      <w:r w:rsidRPr="00677E16">
        <w:t xml:space="preserve"> the </w:t>
      </w:r>
      <w:r>
        <w:t>]</w:t>
      </w:r>
      <w:r w:rsidRPr="00677E16">
        <w:t xml:space="preserve">mechanism established by Article 6, paragraph 4, of the Paris Agreement, as </w:t>
      </w:r>
      <w:r>
        <w:t>relevant</w:t>
      </w:r>
      <w:r w:rsidRPr="00677E16">
        <w:t xml:space="preserve">;] </w:t>
      </w:r>
    </w:p>
    <w:p w14:paraId="5C10B96D" w14:textId="77777777" w:rsidR="003670E8" w:rsidRPr="00677E16" w:rsidRDefault="003670E8" w:rsidP="003670E8">
      <w:pPr>
        <w:numPr>
          <w:ilvl w:val="5"/>
          <w:numId w:val="9"/>
        </w:numPr>
        <w:tabs>
          <w:tab w:val="left" w:pos="1701"/>
        </w:tabs>
        <w:spacing w:after="120"/>
        <w:ind w:left="1134" w:right="1134"/>
        <w:jc w:val="both"/>
      </w:pPr>
      <w:r>
        <w:rPr>
          <w:i/>
          <w:iCs/>
        </w:rPr>
        <w:t>[</w:t>
      </w:r>
      <w:r w:rsidRPr="00677E16">
        <w:rPr>
          <w:i/>
          <w:iCs/>
        </w:rPr>
        <w:t>Recalls</w:t>
      </w:r>
      <w:r w:rsidRPr="00677E16">
        <w:t xml:space="preserve"> the guiding principles of the Article 6 technical expert reviews </w:t>
      </w:r>
      <w:r>
        <w:t>as referred to paragraph 1 of annex II to decision 6/CMA.4</w:t>
      </w:r>
      <w:r w:rsidRPr="00677E16">
        <w:t>;</w:t>
      </w:r>
    </w:p>
    <w:p w14:paraId="08A67B4B" w14:textId="77777777" w:rsidR="003670E8" w:rsidRPr="00677E16" w:rsidRDefault="003670E8" w:rsidP="003670E8">
      <w:pPr>
        <w:numPr>
          <w:ilvl w:val="5"/>
          <w:numId w:val="9"/>
        </w:numPr>
        <w:tabs>
          <w:tab w:val="left" w:pos="1701"/>
        </w:tabs>
        <w:spacing w:after="120"/>
        <w:ind w:left="1134" w:right="1134"/>
        <w:jc w:val="both"/>
        <w:rPr>
          <w:i/>
          <w:iCs/>
        </w:rPr>
      </w:pPr>
      <w:r w:rsidRPr="00677E16">
        <w:rPr>
          <w:i/>
          <w:iCs/>
        </w:rPr>
        <w:t>[Also] recalls</w:t>
      </w:r>
      <w:r w:rsidRPr="00677E16">
        <w:t xml:space="preserve"> that the technical analysis referred to in decision 14/CP.19, paragraph 11, shall be carried out concurrently with the technical expert review under the annex of decision 18/CMA.1;</w:t>
      </w:r>
    </w:p>
    <w:p w14:paraId="75D4A6E9"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for any reference level and baseline set in accordance with decision 2/CMA.3, annex, paragraph 22(b)(ii), a technical analysis similar to that referred to in paragraph </w:t>
      </w:r>
      <w:r w:rsidRPr="005B5CEE">
        <w:t>96 above</w:t>
      </w:r>
      <w:r w:rsidRPr="00677E16">
        <w:t xml:space="preserve"> shall apply, as defined by the CMA[ at its seventh session (November 2025);]</w:t>
      </w:r>
    </w:p>
    <w:p w14:paraId="7A144176" w14:textId="77777777" w:rsidR="003670E8" w:rsidRPr="00677E16" w:rsidRDefault="003670E8" w:rsidP="003670E8">
      <w:pPr>
        <w:tabs>
          <w:tab w:val="left" w:pos="1701"/>
        </w:tabs>
        <w:spacing w:after="120"/>
        <w:ind w:left="1135" w:right="1134"/>
        <w:jc w:val="both"/>
      </w:pPr>
      <w:r w:rsidRPr="00677E16">
        <w:rPr>
          <w:b/>
          <w:bCs/>
        </w:rPr>
        <w:t>Option 2:</w:t>
      </w:r>
      <w:r w:rsidRPr="00677E16">
        <w:t xml:space="preserve"> {</w:t>
      </w:r>
      <w:r w:rsidRPr="00677E16">
        <w:rPr>
          <w:i/>
          <w:iCs/>
        </w:rPr>
        <w:t>No text required</w:t>
      </w:r>
      <w:r w:rsidRPr="00677E16">
        <w:t>}</w:t>
      </w:r>
    </w:p>
    <w:p w14:paraId="76203FC7" w14:textId="77777777" w:rsidR="003670E8" w:rsidRPr="00677E16" w:rsidRDefault="003670E8" w:rsidP="003670E8">
      <w:pPr>
        <w:tabs>
          <w:tab w:val="left" w:pos="1701"/>
        </w:tabs>
        <w:spacing w:after="120"/>
        <w:ind w:left="1135" w:right="1134"/>
        <w:jc w:val="both"/>
        <w:rPr>
          <w:b/>
          <w:bCs/>
        </w:rPr>
      </w:pPr>
      <w:r w:rsidRPr="00677E16">
        <w:rPr>
          <w:b/>
        </w:rPr>
        <w:t>{</w:t>
      </w:r>
      <w:r w:rsidRPr="007A6242">
        <w:rPr>
          <w:b/>
          <w:i/>
          <w:u w:val="single"/>
        </w:rPr>
        <w:t>Identification of inconsistencies by the Article 6 TERT</w:t>
      </w:r>
      <w:r w:rsidRPr="00677E16">
        <w:rPr>
          <w:b/>
        </w:rPr>
        <w:t>}</w:t>
      </w:r>
    </w:p>
    <w:p w14:paraId="4E3BB57F" w14:textId="77777777" w:rsidR="003670E8" w:rsidRDefault="003670E8" w:rsidP="003670E8">
      <w:pPr>
        <w:numPr>
          <w:ilvl w:val="5"/>
          <w:numId w:val="9"/>
        </w:numPr>
        <w:tabs>
          <w:tab w:val="left" w:pos="1701"/>
        </w:tabs>
        <w:spacing w:after="120"/>
        <w:ind w:left="1134" w:right="1134"/>
        <w:jc w:val="both"/>
      </w:pPr>
      <w:r>
        <w:t>[</w:t>
      </w:r>
      <w:r w:rsidRPr="36F4C17D">
        <w:rPr>
          <w:i/>
          <w:iCs/>
        </w:rPr>
        <w:t>Recalls</w:t>
      </w:r>
      <w:r>
        <w:t xml:space="preserve"> decision 6/CMA.4, annex II, paragraph 49, that at the request of the Paris Agreement Implementation and Compliance Committee, Article 6 lead reviewers should liaise with the Paris Agreement Implementation and Compliance Committee in cases of significant and persistent inconsistencies in accordance with paragraph 17(f) of this decision, and decision 20/CMA.1, annex, paragraph 22(b);]</w:t>
      </w:r>
      <w:r w:rsidRPr="00D56831">
        <w:t xml:space="preserve"> </w:t>
      </w:r>
    </w:p>
    <w:p w14:paraId="63AE9AE2" w14:textId="77777777" w:rsidR="003670E8" w:rsidRDefault="003670E8" w:rsidP="003670E8">
      <w:pPr>
        <w:numPr>
          <w:ilvl w:val="5"/>
          <w:numId w:val="9"/>
        </w:numPr>
        <w:tabs>
          <w:tab w:val="left" w:pos="1701"/>
        </w:tabs>
        <w:spacing w:after="120"/>
        <w:ind w:left="1134" w:right="1134"/>
        <w:jc w:val="both"/>
      </w:pPr>
      <w:r w:rsidRPr="00677E16">
        <w:t>[</w:t>
      </w:r>
      <w:r w:rsidRPr="00677E16">
        <w:rPr>
          <w:i/>
          <w:iCs/>
        </w:rPr>
        <w:t>Recalls</w:t>
      </w:r>
      <w:r w:rsidRPr="00677E16">
        <w:t xml:space="preserve"> decision 6/CMA.4, annex II, paragraph 50, and </w:t>
      </w:r>
      <w:r w:rsidRPr="007F22E9">
        <w:rPr>
          <w:i/>
          <w:iCs/>
        </w:rPr>
        <w:t>encourages</w:t>
      </w:r>
      <w:r w:rsidRPr="00677E16">
        <w:t xml:space="preserve"> lead reviewers, when discussing how to improve the quality, efficiency and consistency of Article 6 technical expert reviews, to identify common and recurring situations across Parties of significant and persistent inconsistencies;</w:t>
      </w:r>
      <w:r>
        <w:t>]</w:t>
      </w:r>
    </w:p>
    <w:p w14:paraId="3C78B076" w14:textId="77777777" w:rsidR="003670E8" w:rsidRPr="0036508A" w:rsidDel="00107754" w:rsidRDefault="003670E8" w:rsidP="003670E8">
      <w:pPr>
        <w:spacing w:after="120"/>
        <w:ind w:left="1134" w:right="1134"/>
        <w:jc w:val="both"/>
        <w:rPr>
          <w:b/>
          <w:bCs/>
        </w:rPr>
      </w:pPr>
      <w:r w:rsidRPr="00677E16" w:rsidDel="00107754">
        <w:rPr>
          <w:b/>
          <w:bCs/>
        </w:rPr>
        <w:t xml:space="preserve">Option </w:t>
      </w:r>
      <w:r>
        <w:rPr>
          <w:b/>
          <w:bCs/>
        </w:rPr>
        <w:t>1</w:t>
      </w:r>
    </w:p>
    <w:p w14:paraId="7D1668F8" w14:textId="77777777" w:rsidR="003670E8" w:rsidRPr="0036508A" w:rsidDel="00107754" w:rsidRDefault="003670E8" w:rsidP="003670E8">
      <w:pPr>
        <w:numPr>
          <w:ilvl w:val="5"/>
          <w:numId w:val="9"/>
        </w:numPr>
        <w:tabs>
          <w:tab w:val="left" w:pos="1701"/>
        </w:tabs>
        <w:spacing w:after="120"/>
        <w:ind w:left="1134" w:right="1134"/>
        <w:jc w:val="both"/>
        <w:rPr>
          <w:i/>
          <w:iCs/>
        </w:rPr>
      </w:pPr>
      <w:r w:rsidRPr="0036508A" w:rsidDel="00107754">
        <w:rPr>
          <w:i/>
          <w:iCs/>
        </w:rPr>
        <w:t xml:space="preserve">Recalls </w:t>
      </w:r>
      <w:r w:rsidRPr="00940F55" w:rsidDel="00107754">
        <w:t>paragraphs 2 and 3 of annex</w:t>
      </w:r>
      <w:r>
        <w:t xml:space="preserve"> II</w:t>
      </w:r>
      <w:r w:rsidRPr="00940F55" w:rsidDel="00107754">
        <w:t xml:space="preserve"> to decision 6/CMA.4 that elaborate the content of the A</w:t>
      </w:r>
      <w:r>
        <w:t xml:space="preserve">rticle </w:t>
      </w:r>
      <w:r w:rsidRPr="00940F55" w:rsidDel="00107754">
        <w:t>6</w:t>
      </w:r>
      <w:r>
        <w:t xml:space="preserve"> </w:t>
      </w:r>
      <w:r w:rsidRPr="00940F55" w:rsidDel="00107754">
        <w:t xml:space="preserve">TER and the criteria </w:t>
      </w:r>
      <w:r>
        <w:t>for</w:t>
      </w:r>
      <w:r w:rsidRPr="00940F55" w:rsidDel="00107754">
        <w:t xml:space="preserve"> consistency</w:t>
      </w:r>
      <w:r>
        <w:t>;</w:t>
      </w:r>
    </w:p>
    <w:p w14:paraId="5FC5E495"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the Article 6 technical expert review team shall determine whether an identified inconsistency is significant and</w:t>
      </w:r>
      <w:r>
        <w:t>/or</w:t>
      </w:r>
      <w:r w:rsidRPr="00677E16">
        <w:t xml:space="preserve"> persistent pursuant to decision 6/CMA.4, paragraph 14;]</w:t>
      </w:r>
    </w:p>
    <w:p w14:paraId="45DF16F3" w14:textId="77777777" w:rsidR="003670E8" w:rsidDel="00107754" w:rsidRDefault="003670E8" w:rsidP="003670E8">
      <w:pPr>
        <w:numPr>
          <w:ilvl w:val="5"/>
          <w:numId w:val="9"/>
        </w:numPr>
        <w:tabs>
          <w:tab w:val="left" w:pos="1701"/>
        </w:tabs>
        <w:spacing w:after="120"/>
        <w:ind w:left="1134" w:right="1134"/>
        <w:jc w:val="both"/>
      </w:pPr>
      <w:r w:rsidRPr="0036508A" w:rsidDel="00107754">
        <w:rPr>
          <w:i/>
          <w:iCs/>
        </w:rPr>
        <w:t>Clarifies</w:t>
      </w:r>
      <w:r w:rsidDel="00107754">
        <w:t xml:space="preserve"> that:</w:t>
      </w:r>
    </w:p>
    <w:p w14:paraId="1A80348F" w14:textId="77777777" w:rsidR="003670E8" w:rsidDel="00107754" w:rsidRDefault="003670E8" w:rsidP="003C28AB">
      <w:pPr>
        <w:numPr>
          <w:ilvl w:val="6"/>
          <w:numId w:val="15"/>
        </w:numPr>
        <w:spacing w:after="120"/>
        <w:ind w:right="1134"/>
        <w:jc w:val="both"/>
      </w:pPr>
      <w:r>
        <w:t>“</w:t>
      </w:r>
      <w:r w:rsidDel="00107754">
        <w:t>Significant inconsistencies</w:t>
      </w:r>
      <w:r>
        <w:t>”</w:t>
      </w:r>
      <w:r w:rsidDel="00107754">
        <w:t xml:space="preserve">, for the purpose of decision 6/CMA.4, annex II, paragraph 49, mean quantitative inconsistencies that result in </w:t>
      </w:r>
      <w:r>
        <w:t xml:space="preserve">or increase </w:t>
      </w:r>
      <w:r w:rsidDel="00107754">
        <w:t>the risk of double counting, including those arising from the failure to submit information;</w:t>
      </w:r>
    </w:p>
    <w:p w14:paraId="436D01FA" w14:textId="77777777" w:rsidR="003670E8" w:rsidDel="00107754" w:rsidRDefault="003670E8" w:rsidP="003C28AB">
      <w:pPr>
        <w:numPr>
          <w:ilvl w:val="6"/>
          <w:numId w:val="15"/>
        </w:numPr>
        <w:spacing w:after="120"/>
        <w:ind w:right="1134"/>
        <w:jc w:val="both"/>
      </w:pPr>
      <w:r w:rsidDel="00107754">
        <w:t>“Persistent inconsistencies”, for the purpose of decision 6/CMA.4, annex II, paragraph 49, means inconsistencies that remain unresolved by the time of the review of the respective report following the one where the inconsistencies were identified</w:t>
      </w:r>
      <w:r>
        <w:t>;</w:t>
      </w:r>
    </w:p>
    <w:p w14:paraId="47F1BE38" w14:textId="77777777" w:rsidR="003670E8" w:rsidDel="006C530E" w:rsidRDefault="003670E8" w:rsidP="003670E8">
      <w:pPr>
        <w:tabs>
          <w:tab w:val="left" w:pos="1701"/>
        </w:tabs>
        <w:spacing w:after="120"/>
        <w:ind w:left="1135" w:right="1134"/>
        <w:jc w:val="both"/>
        <w:rPr>
          <w:b/>
        </w:rPr>
      </w:pPr>
      <w:r w:rsidRPr="00BB1759">
        <w:rPr>
          <w:b/>
        </w:rPr>
        <w:t xml:space="preserve">Option </w:t>
      </w:r>
      <w:r>
        <w:rPr>
          <w:b/>
        </w:rPr>
        <w:t>2</w:t>
      </w:r>
    </w:p>
    <w:p w14:paraId="201B417D" w14:textId="77777777" w:rsidR="003670E8" w:rsidRPr="008D1A56" w:rsidRDefault="003670E8" w:rsidP="003670E8">
      <w:pPr>
        <w:numPr>
          <w:ilvl w:val="5"/>
          <w:numId w:val="9"/>
        </w:numPr>
        <w:tabs>
          <w:tab w:val="left" w:pos="1701"/>
        </w:tabs>
        <w:spacing w:after="120"/>
        <w:ind w:left="1134" w:right="1134"/>
        <w:jc w:val="both"/>
        <w:rPr>
          <w:i/>
          <w:iCs/>
        </w:rPr>
      </w:pPr>
      <w:r w:rsidRPr="008D1A56">
        <w:rPr>
          <w:i/>
          <w:iCs/>
        </w:rPr>
        <w:t xml:space="preserve">Decides </w:t>
      </w:r>
      <w:r w:rsidRPr="008D1A56">
        <w:t>that a persistent inconsistency, is an inconsistency that remains unresolved at the time of completion of the next submission of information as per decision 2/CMA.3, annex, chapter IV (Reporting)</w:t>
      </w:r>
      <w:r w:rsidRPr="00D56831">
        <w:t xml:space="preserve"> </w:t>
      </w:r>
      <w:r>
        <w:t>;</w:t>
      </w:r>
    </w:p>
    <w:p w14:paraId="50AC1567" w14:textId="77777777" w:rsidR="003670E8" w:rsidRPr="00BB1759" w:rsidRDefault="003670E8" w:rsidP="003670E8">
      <w:pPr>
        <w:numPr>
          <w:ilvl w:val="5"/>
          <w:numId w:val="9"/>
        </w:numPr>
        <w:tabs>
          <w:tab w:val="left" w:pos="1701"/>
        </w:tabs>
        <w:spacing w:after="120"/>
        <w:ind w:left="1134" w:right="1134"/>
        <w:jc w:val="both"/>
        <w:rPr>
          <w:rFonts w:eastAsia="Times New Roman"/>
          <w:color w:val="000000" w:themeColor="text1"/>
        </w:rPr>
      </w:pPr>
      <w:r w:rsidRPr="00BB1759">
        <w:rPr>
          <w:rFonts w:eastAsia="Times New Roman"/>
          <w:i/>
          <w:iCs/>
        </w:rPr>
        <w:t>Decides</w:t>
      </w:r>
      <w:r w:rsidRPr="00BB1759">
        <w:rPr>
          <w:rFonts w:eastAsia="Times New Roman"/>
        </w:rPr>
        <w:t xml:space="preserve"> that significant inconsistencies include</w:t>
      </w:r>
      <w:r w:rsidRPr="00BB1759">
        <w:t xml:space="preserve"> inter alia: </w:t>
      </w:r>
    </w:p>
    <w:p w14:paraId="74BDE4B6" w14:textId="77777777" w:rsidR="003670E8" w:rsidRPr="00BB1759" w:rsidRDefault="003670E8" w:rsidP="003C28AB">
      <w:pPr>
        <w:numPr>
          <w:ilvl w:val="6"/>
          <w:numId w:val="16"/>
        </w:numPr>
        <w:spacing w:after="120"/>
        <w:ind w:right="1134"/>
        <w:jc w:val="both"/>
      </w:pPr>
      <w:r>
        <w:t>I</w:t>
      </w:r>
      <w:r w:rsidRPr="009D67D8">
        <w:t xml:space="preserve">nconsistencies that pose risks to avoiding double counting in accordance with paragraph 36 of decision 1/CP.21 and inconsistencies that pose risks to ensuring that participation in cooperative approaches does not lead to a net increase in emissions across </w:t>
      </w:r>
      <w:r w:rsidRPr="009D67D8">
        <w:lastRenderedPageBreak/>
        <w:t xml:space="preserve">participating Parties within and between NDC implementation periods </w:t>
      </w:r>
      <w:r w:rsidRPr="009D67D8">
        <w:rPr>
          <w:rFonts w:eastAsia="Times New Roman"/>
        </w:rPr>
        <w:t>and inconsistencies with decision 2/CMA.3, annex, paragraph 1</w:t>
      </w:r>
      <w:r>
        <w:rPr>
          <w:rFonts w:eastAsia="Times New Roman"/>
        </w:rPr>
        <w:t>;</w:t>
      </w:r>
    </w:p>
    <w:p w14:paraId="33FC0138" w14:textId="77777777" w:rsidR="003670E8" w:rsidRPr="00DC26FE" w:rsidRDefault="003670E8" w:rsidP="003C28AB">
      <w:pPr>
        <w:numPr>
          <w:ilvl w:val="6"/>
          <w:numId w:val="16"/>
        </w:numPr>
        <w:spacing w:after="120"/>
        <w:ind w:right="1134"/>
        <w:jc w:val="both"/>
      </w:pPr>
      <w:r>
        <w:t>A</w:t>
      </w:r>
      <w:r w:rsidRPr="009D67D8">
        <w:t>bsence of a report or source of information required to support a subsequent report or source of information</w:t>
      </w:r>
      <w:r>
        <w:t>;</w:t>
      </w:r>
    </w:p>
    <w:p w14:paraId="65C798C8" w14:textId="77777777" w:rsidR="003670E8" w:rsidRPr="009D67D8" w:rsidRDefault="003670E8" w:rsidP="003C28AB">
      <w:pPr>
        <w:numPr>
          <w:ilvl w:val="6"/>
          <w:numId w:val="16"/>
        </w:numPr>
        <w:spacing w:after="120"/>
        <w:ind w:right="1134"/>
        <w:jc w:val="both"/>
      </w:pPr>
      <w:r>
        <w:t>I</w:t>
      </w:r>
      <w:r w:rsidRPr="009D67D8">
        <w:t>nconsistency between at least two sources of information, including initial reports, annual information and regular information, provided by Parties participating in the same cooperative approach</w:t>
      </w:r>
      <w:r>
        <w:t>;</w:t>
      </w:r>
    </w:p>
    <w:p w14:paraId="353D2FE3" w14:textId="77777777" w:rsidR="003670E8" w:rsidRPr="00BB1759" w:rsidRDefault="003670E8" w:rsidP="003C28AB">
      <w:pPr>
        <w:numPr>
          <w:ilvl w:val="6"/>
          <w:numId w:val="16"/>
        </w:numPr>
        <w:spacing w:after="120"/>
        <w:ind w:right="1134"/>
        <w:jc w:val="both"/>
      </w:pPr>
      <w:r>
        <w:t>I</w:t>
      </w:r>
      <w:r w:rsidRPr="009D67D8">
        <w:t>nconsistencies identified as significant by lead reviewers</w:t>
      </w:r>
      <w:r>
        <w:t>;</w:t>
      </w:r>
    </w:p>
    <w:p w14:paraId="0762DB47" w14:textId="77777777" w:rsidR="003670E8" w:rsidRDefault="003670E8" w:rsidP="003670E8">
      <w:pPr>
        <w:spacing w:after="120"/>
        <w:ind w:left="1134" w:right="1134"/>
        <w:jc w:val="both"/>
        <w:rPr>
          <w:b/>
          <w:bCs/>
        </w:rPr>
      </w:pPr>
      <w:r>
        <w:rPr>
          <w:b/>
          <w:bCs/>
        </w:rPr>
        <w:t>{</w:t>
      </w:r>
      <w:r w:rsidRPr="007A6242">
        <w:rPr>
          <w:b/>
          <w:bCs/>
          <w:i/>
          <w:iCs/>
          <w:u w:val="single"/>
        </w:rPr>
        <w:t>Flagging inconsistencies</w:t>
      </w:r>
      <w:r>
        <w:rPr>
          <w:b/>
          <w:bCs/>
        </w:rPr>
        <w:t>}</w:t>
      </w:r>
    </w:p>
    <w:p w14:paraId="7682F507" w14:textId="77777777" w:rsidR="003670E8" w:rsidRDefault="003670E8" w:rsidP="003670E8">
      <w:pPr>
        <w:spacing w:after="120"/>
        <w:ind w:left="1134" w:right="1134"/>
        <w:jc w:val="both"/>
        <w:rPr>
          <w:b/>
          <w:bCs/>
        </w:rPr>
      </w:pPr>
      <w:r>
        <w:rPr>
          <w:b/>
          <w:bCs/>
        </w:rPr>
        <w:t>Option 1</w:t>
      </w:r>
    </w:p>
    <w:p w14:paraId="18FEFD44" w14:textId="0F507DB5" w:rsidR="003670E8" w:rsidRDefault="003670E8" w:rsidP="003670E8">
      <w:pPr>
        <w:numPr>
          <w:ilvl w:val="5"/>
          <w:numId w:val="9"/>
        </w:numPr>
        <w:tabs>
          <w:tab w:val="left" w:pos="1701"/>
        </w:tabs>
        <w:spacing w:after="120"/>
        <w:ind w:left="1134" w:right="1134"/>
        <w:jc w:val="both"/>
      </w:pPr>
      <w:r w:rsidRPr="000A4AB6">
        <w:rPr>
          <w:i/>
          <w:iCs/>
        </w:rPr>
        <w:t>Decides</w:t>
      </w:r>
      <w:r w:rsidRPr="000A4AB6">
        <w:t xml:space="preserve"> that, should </w:t>
      </w:r>
      <w:r>
        <w:t xml:space="preserve">no </w:t>
      </w:r>
      <w:r w:rsidRPr="000A4AB6">
        <w:t xml:space="preserve">inconsistencies be identified during </w:t>
      </w:r>
      <w:r w:rsidR="00972000">
        <w:t xml:space="preserve">the review </w:t>
      </w:r>
      <w:r>
        <w:t>by the Article 6 TERT</w:t>
      </w:r>
      <w:r w:rsidRPr="000A4AB6">
        <w:t>, the relevant information will be marked as “</w:t>
      </w:r>
      <w:r>
        <w:t>No i</w:t>
      </w:r>
      <w:r w:rsidRPr="000A4AB6">
        <w:t>nconsistencies identified</w:t>
      </w:r>
      <w:r w:rsidRPr="0068412E">
        <w:t>”</w:t>
      </w:r>
      <w:r>
        <w:t>;</w:t>
      </w:r>
    </w:p>
    <w:p w14:paraId="7B3D3AC3" w14:textId="59246DC4" w:rsidR="003670E8" w:rsidRDefault="003670E8" w:rsidP="003670E8">
      <w:pPr>
        <w:numPr>
          <w:ilvl w:val="5"/>
          <w:numId w:val="9"/>
        </w:numPr>
        <w:tabs>
          <w:tab w:val="left" w:pos="1701"/>
        </w:tabs>
        <w:spacing w:after="120"/>
        <w:ind w:left="1134" w:right="1134"/>
        <w:jc w:val="both"/>
      </w:pPr>
      <w:r w:rsidRPr="000A4AB6">
        <w:rPr>
          <w:i/>
          <w:iCs/>
        </w:rPr>
        <w:t>Decides</w:t>
      </w:r>
      <w:r w:rsidRPr="000A4AB6">
        <w:t xml:space="preserve"> that, should inconsistencies be identified during </w:t>
      </w:r>
      <w:r w:rsidR="00DD57D4">
        <w:t xml:space="preserve">the review </w:t>
      </w:r>
      <w:r>
        <w:t>by the Article 6 TERT</w:t>
      </w:r>
      <w:r w:rsidRPr="000A4AB6">
        <w:t>, the relevant information will be marked as “</w:t>
      </w:r>
      <w:r>
        <w:t>I</w:t>
      </w:r>
      <w:r w:rsidRPr="000A4AB6">
        <w:t>nconsistencies identified” or “</w:t>
      </w:r>
      <w:r>
        <w:t>I</w:t>
      </w:r>
      <w:r w:rsidRPr="000A4AB6">
        <w:t>nformation for check not available” in accordance with a procedure developed by the secretariat</w:t>
      </w:r>
      <w:r>
        <w:t xml:space="preserve"> in relation to the following:</w:t>
      </w:r>
    </w:p>
    <w:p w14:paraId="7704359C" w14:textId="77777777" w:rsidR="003670E8" w:rsidRDefault="003670E8" w:rsidP="003C28AB">
      <w:pPr>
        <w:numPr>
          <w:ilvl w:val="6"/>
          <w:numId w:val="44"/>
        </w:numPr>
        <w:spacing w:after="120"/>
        <w:ind w:right="1134"/>
        <w:jc w:val="both"/>
      </w:pPr>
      <w:r w:rsidRPr="00677E16">
        <w:t>Checks performed on the information submitted by the participating Party in its initial report indicate that the information submitted is not consistent with the requirements of decision 2/CMA.3, annex, paragraph 18, and decision 6/CMA.4, annex II, paragraph 3;</w:t>
      </w:r>
      <w:r w:rsidRPr="00677E16">
        <w:rPr>
          <w:rStyle w:val="FootnoteReference"/>
        </w:rPr>
        <w:footnoteReference w:id="6"/>
      </w:r>
    </w:p>
    <w:p w14:paraId="77899BBA" w14:textId="77777777" w:rsidR="003670E8" w:rsidRDefault="003670E8" w:rsidP="003C28AB">
      <w:pPr>
        <w:numPr>
          <w:ilvl w:val="6"/>
          <w:numId w:val="44"/>
        </w:numPr>
        <w:spacing w:after="120"/>
        <w:ind w:right="1134"/>
        <w:jc w:val="both"/>
      </w:pPr>
      <w:r w:rsidRPr="00677E16">
        <w:t>Checks performed on the information for each further cooperative approach indicate that the information is not consistent with the requirements of decision 2/CMA.3, annex, paragraph 18(g</w:t>
      </w:r>
      <w:r w:rsidRPr="00677E16">
        <w:rPr>
          <w:rFonts w:ascii="Arial" w:hAnsi="Arial" w:cs="Arial"/>
          <w:color w:val="0D405F"/>
          <w:shd w:val="clear" w:color="auto" w:fill="FFFFFF"/>
        </w:rPr>
        <w:t>–</w:t>
      </w:r>
      <w:r w:rsidRPr="00677E16">
        <w:t>i);</w:t>
      </w:r>
      <w:r w:rsidRPr="00677E16">
        <w:rPr>
          <w:rStyle w:val="FootnoteReference"/>
        </w:rPr>
        <w:footnoteReference w:id="7"/>
      </w:r>
    </w:p>
    <w:p w14:paraId="75282AB9" w14:textId="77777777" w:rsidR="003670E8" w:rsidRDefault="003670E8" w:rsidP="003C28AB">
      <w:pPr>
        <w:numPr>
          <w:ilvl w:val="6"/>
          <w:numId w:val="44"/>
        </w:numPr>
        <w:spacing w:after="120"/>
        <w:ind w:right="1134"/>
        <w:jc w:val="both"/>
      </w:pPr>
      <w:r w:rsidRPr="00677E16">
        <w:t>Checks performed on the information in relation to its participation, submitted in its regular information as an annex to the BTR, indicate this information is not consistent with the requirements of decision 2/CMA.3, annex, paragraphs 21</w:t>
      </w:r>
      <w:r w:rsidRPr="00677E16">
        <w:rPr>
          <w:rFonts w:ascii="Arial" w:hAnsi="Arial" w:cs="Arial"/>
          <w:color w:val="0D405F"/>
          <w:shd w:val="clear" w:color="auto" w:fill="FFFFFF"/>
        </w:rPr>
        <w:t>–</w:t>
      </w:r>
      <w:r w:rsidRPr="00677E16">
        <w:t>23;</w:t>
      </w:r>
      <w:r w:rsidRPr="00677E16">
        <w:rPr>
          <w:rStyle w:val="FootnoteReference"/>
        </w:rPr>
        <w:footnoteReference w:id="8"/>
      </w:r>
    </w:p>
    <w:p w14:paraId="20FBFAAA" w14:textId="77777777" w:rsidR="003670E8" w:rsidRDefault="003670E8" w:rsidP="003C28AB">
      <w:pPr>
        <w:numPr>
          <w:ilvl w:val="6"/>
          <w:numId w:val="44"/>
        </w:numPr>
        <w:spacing w:after="120"/>
        <w:ind w:right="1134"/>
        <w:jc w:val="both"/>
      </w:pPr>
      <w:r w:rsidRPr="00677E16">
        <w:t>Checks performed on the information in respect of internationally transferred mitigation outcomes referred to in decision 2/CMA.3, annex, paragraph 33(a), indicate inconsistencies or mismatches of information;</w:t>
      </w:r>
      <w:r w:rsidRPr="00677E16">
        <w:rPr>
          <w:rStyle w:val="FootnoteReference"/>
        </w:rPr>
        <w:footnoteReference w:id="9"/>
      </w:r>
    </w:p>
    <w:p w14:paraId="7DCBFE2E" w14:textId="77777777" w:rsidR="003670E8" w:rsidRPr="0086264A" w:rsidRDefault="003670E8" w:rsidP="003670E8">
      <w:pPr>
        <w:spacing w:after="120"/>
        <w:ind w:right="1134" w:firstLine="567"/>
        <w:jc w:val="both"/>
      </w:pPr>
      <w:r w:rsidRPr="0086264A">
        <w:rPr>
          <w:b/>
          <w:bCs/>
        </w:rPr>
        <w:t>Option 2</w:t>
      </w:r>
    </w:p>
    <w:p w14:paraId="15E33448" w14:textId="77777777" w:rsidR="003670E8" w:rsidRPr="00D56831" w:rsidRDefault="003670E8" w:rsidP="003670E8">
      <w:pPr>
        <w:numPr>
          <w:ilvl w:val="5"/>
          <w:numId w:val="9"/>
        </w:numPr>
        <w:tabs>
          <w:tab w:val="left" w:pos="1701"/>
        </w:tabs>
        <w:spacing w:after="120"/>
        <w:ind w:left="1134" w:right="1134"/>
        <w:jc w:val="both"/>
      </w:pPr>
      <w:r w:rsidRPr="007A02F5">
        <w:rPr>
          <w:i/>
          <w:iCs/>
        </w:rPr>
        <w:t>Decides</w:t>
      </w:r>
      <w:r>
        <w:t xml:space="preserve"> that the </w:t>
      </w:r>
      <w:r w:rsidRPr="00D56831">
        <w:t>duration and any non-responsiveness in relation to a persistent and significant inconsistency shall be publicly displayed on the CARP</w:t>
      </w:r>
      <w:r>
        <w:t>;</w:t>
      </w:r>
      <w:r w:rsidRPr="00D56831">
        <w:t xml:space="preserve">  </w:t>
      </w:r>
    </w:p>
    <w:p w14:paraId="48597484" w14:textId="77777777" w:rsidR="003670E8" w:rsidRDefault="003670E8" w:rsidP="003670E8">
      <w:pPr>
        <w:numPr>
          <w:ilvl w:val="5"/>
          <w:numId w:val="9"/>
        </w:numPr>
        <w:tabs>
          <w:tab w:val="left" w:pos="1701"/>
        </w:tabs>
        <w:spacing w:after="120"/>
        <w:ind w:left="1134" w:right="1134"/>
        <w:jc w:val="both"/>
      </w:pPr>
      <w:r w:rsidRPr="00D56831">
        <w:rPr>
          <w:i/>
          <w:iCs/>
        </w:rPr>
        <w:t>Decides</w:t>
      </w:r>
      <w:r w:rsidRPr="00D56831">
        <w:t xml:space="preserve"> that significant inconsistencies shall be identified and marked with a notation </w:t>
      </w:r>
      <w:r>
        <w:t>which shall be publicly displayed on the CARP;</w:t>
      </w:r>
    </w:p>
    <w:p w14:paraId="2AD7B4EF" w14:textId="77777777" w:rsidR="003670E8" w:rsidRPr="00F42B83" w:rsidRDefault="003670E8" w:rsidP="003670E8">
      <w:pPr>
        <w:tabs>
          <w:tab w:val="left" w:pos="1701"/>
        </w:tabs>
        <w:spacing w:after="120"/>
        <w:ind w:left="1135" w:right="1134"/>
        <w:jc w:val="both"/>
      </w:pPr>
      <w:r w:rsidRPr="002517C5">
        <w:rPr>
          <w:b/>
          <w:bCs/>
        </w:rPr>
        <w:t>Option 3</w:t>
      </w:r>
      <w:r>
        <w:t xml:space="preserve"> </w:t>
      </w:r>
      <w:r w:rsidRPr="002517C5">
        <w:rPr>
          <w:i/>
          <w:iCs/>
        </w:rPr>
        <w:t>{No text required}</w:t>
      </w:r>
    </w:p>
    <w:p w14:paraId="30450B84" w14:textId="77777777" w:rsidR="003670E8" w:rsidRDefault="003670E8" w:rsidP="003670E8">
      <w:pPr>
        <w:tabs>
          <w:tab w:val="left" w:pos="1701"/>
        </w:tabs>
        <w:spacing w:after="120"/>
        <w:ind w:left="1135" w:right="1134"/>
        <w:jc w:val="both"/>
        <w:rPr>
          <w:b/>
          <w:bCs/>
          <w:i/>
          <w:iCs/>
        </w:rPr>
      </w:pPr>
      <w:r w:rsidRPr="00C1090A">
        <w:rPr>
          <w:b/>
          <w:bCs/>
          <w:i/>
          <w:iCs/>
        </w:rPr>
        <w:t>{</w:t>
      </w:r>
      <w:r w:rsidRPr="007A6242">
        <w:rPr>
          <w:b/>
          <w:bCs/>
          <w:i/>
          <w:iCs/>
          <w:u w:val="single"/>
        </w:rPr>
        <w:t>Notations for the status of reviews</w:t>
      </w:r>
      <w:r w:rsidRPr="00C1090A">
        <w:rPr>
          <w:b/>
          <w:bCs/>
          <w:i/>
          <w:iCs/>
        </w:rPr>
        <w:t>}</w:t>
      </w:r>
    </w:p>
    <w:p w14:paraId="63D7A6DC" w14:textId="77777777" w:rsidR="003670E8" w:rsidRPr="00003AF1" w:rsidRDefault="003670E8" w:rsidP="003670E8">
      <w:pPr>
        <w:tabs>
          <w:tab w:val="left" w:pos="1701"/>
        </w:tabs>
        <w:spacing w:after="120"/>
        <w:ind w:left="1135" w:right="1134"/>
        <w:jc w:val="both"/>
        <w:rPr>
          <w:b/>
          <w:bCs/>
        </w:rPr>
      </w:pPr>
      <w:r w:rsidRPr="00003AF1">
        <w:rPr>
          <w:b/>
          <w:bCs/>
        </w:rPr>
        <w:t>Option 1</w:t>
      </w:r>
      <w:r>
        <w:rPr>
          <w:b/>
          <w:bCs/>
        </w:rPr>
        <w:t xml:space="preserve"> </w:t>
      </w:r>
      <w:r w:rsidRPr="007A6242">
        <w:rPr>
          <w:b/>
          <w:bCs/>
          <w:i/>
          <w:iCs/>
        </w:rPr>
        <w:t>{Initial report only}</w:t>
      </w:r>
    </w:p>
    <w:p w14:paraId="632932F1" w14:textId="77777777" w:rsidR="003670E8" w:rsidRPr="00677E16" w:rsidRDefault="003670E8" w:rsidP="003670E8">
      <w:pPr>
        <w:numPr>
          <w:ilvl w:val="5"/>
          <w:numId w:val="9"/>
        </w:numPr>
        <w:tabs>
          <w:tab w:val="left" w:pos="1701"/>
        </w:tabs>
        <w:spacing w:after="120"/>
        <w:ind w:left="1134" w:right="1134"/>
        <w:jc w:val="both"/>
        <w:rPr>
          <w:i/>
          <w:iCs/>
        </w:rPr>
      </w:pPr>
      <w:r w:rsidRPr="00677E16">
        <w:rPr>
          <w:i/>
          <w:iCs/>
        </w:rPr>
        <w:t xml:space="preserve">Decides </w:t>
      </w:r>
      <w:r w:rsidRPr="00677E16">
        <w:t>that the following information on the status of the review of the initial or updated initial report shall be made publicly available on the centralized accounting and reporting platform:</w:t>
      </w:r>
    </w:p>
    <w:p w14:paraId="3E942C68" w14:textId="77777777" w:rsidR="003670E8" w:rsidRPr="00677E16" w:rsidRDefault="003670E8" w:rsidP="003C28AB">
      <w:pPr>
        <w:numPr>
          <w:ilvl w:val="6"/>
          <w:numId w:val="14"/>
        </w:numPr>
        <w:spacing w:after="120"/>
        <w:ind w:right="1134"/>
        <w:jc w:val="both"/>
        <w:rPr>
          <w:i/>
          <w:iCs/>
        </w:rPr>
      </w:pPr>
      <w:r w:rsidRPr="00677E16">
        <w:t xml:space="preserve">“Initial report review </w:t>
      </w:r>
      <w:r>
        <w:t>[</w:t>
      </w:r>
      <w:r w:rsidRPr="00677E16">
        <w:t>pending</w:t>
      </w:r>
      <w:r>
        <w:t>][in progress]</w:t>
      </w:r>
      <w:r w:rsidRPr="00677E16">
        <w:t>”, when the report on the review of the initial or updated initial report has not yet been published;</w:t>
      </w:r>
    </w:p>
    <w:p w14:paraId="557857FD" w14:textId="77777777" w:rsidR="003670E8" w:rsidRPr="00677E16" w:rsidRDefault="003670E8" w:rsidP="003C28AB">
      <w:pPr>
        <w:numPr>
          <w:ilvl w:val="6"/>
          <w:numId w:val="14"/>
        </w:numPr>
        <w:spacing w:after="120"/>
        <w:ind w:right="1134"/>
        <w:jc w:val="both"/>
        <w:rPr>
          <w:i/>
          <w:iCs/>
        </w:rPr>
      </w:pPr>
      <w:r w:rsidRPr="00677E16">
        <w:lastRenderedPageBreak/>
        <w:t>“Initial report review finalized without inconsistencies”, when the report on the review of the initial or updated initial report has been published and no inconsistencies have been identified in the review report;</w:t>
      </w:r>
    </w:p>
    <w:p w14:paraId="04D46652" w14:textId="77777777" w:rsidR="003670E8" w:rsidRPr="00677E16" w:rsidRDefault="003670E8" w:rsidP="003C28AB">
      <w:pPr>
        <w:numPr>
          <w:ilvl w:val="6"/>
          <w:numId w:val="14"/>
        </w:numPr>
        <w:spacing w:after="120"/>
        <w:ind w:right="1134"/>
        <w:jc w:val="both"/>
        <w:rPr>
          <w:i/>
          <w:iCs/>
        </w:rPr>
      </w:pPr>
      <w:r w:rsidRPr="00677E16">
        <w:t>“Initial report review finalized with inconsistencies”, when the report on the review of the initial or updated initial report has been published and inconsistencies have been identified in the review report</w:t>
      </w:r>
      <w:r>
        <w:t xml:space="preserve"> [but none are significant or persistent]</w:t>
      </w:r>
      <w:r w:rsidRPr="00677E16">
        <w:t>;</w:t>
      </w:r>
    </w:p>
    <w:p w14:paraId="6366105C" w14:textId="77777777" w:rsidR="003670E8" w:rsidRPr="00677E16" w:rsidRDefault="003670E8" w:rsidP="003C28AB">
      <w:pPr>
        <w:numPr>
          <w:ilvl w:val="6"/>
          <w:numId w:val="14"/>
        </w:numPr>
        <w:spacing w:after="120"/>
        <w:ind w:right="1134"/>
        <w:jc w:val="both"/>
        <w:rPr>
          <w:i/>
          <w:iCs/>
        </w:rPr>
      </w:pPr>
      <w:r w:rsidRPr="00677E16">
        <w:t xml:space="preserve">“Initial report review finalized and </w:t>
      </w:r>
      <w:r>
        <w:t>[</w:t>
      </w:r>
      <w:r w:rsidRPr="00677E16">
        <w:t xml:space="preserve">significant and </w:t>
      </w:r>
      <w:r>
        <w:t>]</w:t>
      </w:r>
      <w:r w:rsidRPr="00677E16">
        <w:t xml:space="preserve">persistent inconsistencies identified”, when the report on the review of the initial or updated initial report has been published and cases of </w:t>
      </w:r>
      <w:r>
        <w:t>[</w:t>
      </w:r>
      <w:r w:rsidRPr="00677E16">
        <w:t xml:space="preserve">significant and </w:t>
      </w:r>
      <w:r>
        <w:t>]</w:t>
      </w:r>
      <w:r w:rsidRPr="00677E16">
        <w:t>persistent inconsistencies have been identified pursuant to decision 6/CMA.4, paragraph 14;</w:t>
      </w:r>
    </w:p>
    <w:p w14:paraId="5D8E7894" w14:textId="77777777" w:rsidR="003670E8" w:rsidRPr="00117B04" w:rsidRDefault="003670E8" w:rsidP="003C28AB">
      <w:pPr>
        <w:numPr>
          <w:ilvl w:val="6"/>
          <w:numId w:val="14"/>
        </w:numPr>
        <w:spacing w:after="120"/>
        <w:ind w:right="1134"/>
        <w:jc w:val="both"/>
      </w:pPr>
      <w:r>
        <w:t>[</w:t>
      </w:r>
      <w:r w:rsidRPr="00117B04">
        <w:t>“Review finalized and significant inconsistencies identified”, when the report on the review has been published and cases of significant inconsistencies have been identified</w:t>
      </w:r>
      <w:r>
        <w:t>;</w:t>
      </w:r>
    </w:p>
    <w:p w14:paraId="3DB4B9D4" w14:textId="77777777" w:rsidR="003670E8" w:rsidRPr="00117B04" w:rsidRDefault="003670E8" w:rsidP="003C28AB">
      <w:pPr>
        <w:numPr>
          <w:ilvl w:val="6"/>
          <w:numId w:val="14"/>
        </w:numPr>
        <w:spacing w:after="120"/>
        <w:ind w:right="1134"/>
        <w:jc w:val="both"/>
      </w:pPr>
      <w:r w:rsidRPr="00117B04">
        <w:t>“Review finalized and significant and persistent inconsistencies identified”, when the report on the review has been published and at least one persistent and at least one significant inconsistency has been identified</w:t>
      </w:r>
      <w:r>
        <w:t>;</w:t>
      </w:r>
    </w:p>
    <w:p w14:paraId="5949E1B7" w14:textId="77777777" w:rsidR="003670E8" w:rsidRPr="00117B04" w:rsidRDefault="003670E8" w:rsidP="003C28AB">
      <w:pPr>
        <w:numPr>
          <w:ilvl w:val="6"/>
          <w:numId w:val="14"/>
        </w:numPr>
        <w:spacing w:after="120"/>
        <w:ind w:right="1134"/>
        <w:jc w:val="both"/>
      </w:pPr>
      <w:r w:rsidRPr="00117B04">
        <w:t>“Review finalized and consistencies identified that are both significant and persistent”, when the report on the review has been published and at least one inconsistency has been identified as both persistent and significant</w:t>
      </w:r>
      <w:r>
        <w:t>;]</w:t>
      </w:r>
    </w:p>
    <w:p w14:paraId="0265124F" w14:textId="77777777" w:rsidR="003670E8" w:rsidRDefault="003670E8" w:rsidP="003670E8">
      <w:pPr>
        <w:tabs>
          <w:tab w:val="left" w:pos="1701"/>
        </w:tabs>
        <w:spacing w:after="120"/>
        <w:ind w:left="1135" w:right="1134"/>
        <w:jc w:val="both"/>
      </w:pPr>
      <w:r w:rsidRPr="00677E16">
        <w:rPr>
          <w:b/>
          <w:bCs/>
        </w:rPr>
        <w:t>Option 2</w:t>
      </w:r>
      <w:r w:rsidRPr="00677E16">
        <w:t xml:space="preserve"> </w:t>
      </w:r>
      <w:r w:rsidRPr="007A6242">
        <w:rPr>
          <w:b/>
          <w:bCs/>
          <w:i/>
          <w:iCs/>
        </w:rPr>
        <w:t>{All types of review}</w:t>
      </w:r>
    </w:p>
    <w:p w14:paraId="7A7C1898" w14:textId="77777777" w:rsidR="003670E8" w:rsidRPr="003F05DD" w:rsidRDefault="003670E8" w:rsidP="003670E8">
      <w:pPr>
        <w:numPr>
          <w:ilvl w:val="5"/>
          <w:numId w:val="9"/>
        </w:numPr>
        <w:tabs>
          <w:tab w:val="left" w:pos="1701"/>
        </w:tabs>
        <w:spacing w:after="120"/>
        <w:ind w:left="1134" w:right="1134"/>
        <w:jc w:val="both"/>
      </w:pPr>
      <w:r w:rsidRPr="003F05DD">
        <w:rPr>
          <w:i/>
          <w:iCs/>
        </w:rPr>
        <w:t xml:space="preserve">Decides </w:t>
      </w:r>
      <w:r w:rsidRPr="003F05DD">
        <w:t>that the following information on the status of the review shall be made publicly available on the centralized accounting and reporting platform:</w:t>
      </w:r>
    </w:p>
    <w:p w14:paraId="05C86C65" w14:textId="77777777" w:rsidR="003670E8" w:rsidRDefault="003670E8" w:rsidP="003C28AB">
      <w:pPr>
        <w:numPr>
          <w:ilvl w:val="6"/>
          <w:numId w:val="17"/>
        </w:numPr>
        <w:spacing w:after="120"/>
        <w:ind w:right="1134"/>
        <w:jc w:val="both"/>
      </w:pPr>
      <w:r w:rsidRPr="003F05DD">
        <w:t>“Review pending”, when the report on the review has not yet been published;</w:t>
      </w:r>
    </w:p>
    <w:p w14:paraId="74F31BC1" w14:textId="77777777" w:rsidR="003670E8" w:rsidRDefault="003670E8" w:rsidP="003C28AB">
      <w:pPr>
        <w:numPr>
          <w:ilvl w:val="6"/>
          <w:numId w:val="17"/>
        </w:numPr>
        <w:spacing w:after="120"/>
        <w:ind w:right="1134"/>
        <w:jc w:val="both"/>
      </w:pPr>
      <w:r w:rsidRPr="003F05DD">
        <w:t>“Review finalized without inconsistencies”, when the report on the review has been published and no inconsistencies have been identified in the review report;</w:t>
      </w:r>
    </w:p>
    <w:p w14:paraId="2D7CBCBE" w14:textId="77777777" w:rsidR="003670E8" w:rsidRDefault="003670E8" w:rsidP="003C28AB">
      <w:pPr>
        <w:numPr>
          <w:ilvl w:val="6"/>
          <w:numId w:val="17"/>
        </w:numPr>
        <w:spacing w:after="120"/>
        <w:ind w:right="1134"/>
        <w:jc w:val="both"/>
      </w:pPr>
      <w:r w:rsidRPr="003F05DD">
        <w:t>“Review finalized with inconsistencies”, when the report on the review has been published and inconsistencies have been identified in the review report;</w:t>
      </w:r>
    </w:p>
    <w:p w14:paraId="256181CB" w14:textId="77777777" w:rsidR="003670E8" w:rsidRPr="00777FED" w:rsidRDefault="003670E8" w:rsidP="003C28AB">
      <w:pPr>
        <w:numPr>
          <w:ilvl w:val="6"/>
          <w:numId w:val="17"/>
        </w:numPr>
        <w:spacing w:after="120"/>
        <w:ind w:right="1134"/>
        <w:jc w:val="both"/>
      </w:pPr>
      <w:r w:rsidRPr="003F05DD">
        <w:t>“Review finalized and significant and persistent inconsistencies identified”, when the report on the review has been published and cases of significant and persistent inconsistencies have been identified pursuant to decision 6/CMA.4, paragraph 14;</w:t>
      </w:r>
    </w:p>
    <w:p w14:paraId="28BD0823" w14:textId="77777777" w:rsidR="003670E8" w:rsidRPr="00DC26FE" w:rsidRDefault="003670E8" w:rsidP="003670E8">
      <w:pPr>
        <w:tabs>
          <w:tab w:val="left" w:pos="1701"/>
        </w:tabs>
        <w:spacing w:after="120"/>
        <w:ind w:left="1135" w:right="1134"/>
        <w:jc w:val="both"/>
      </w:pPr>
      <w:r w:rsidRPr="00431B1D">
        <w:rPr>
          <w:b/>
          <w:bCs/>
        </w:rPr>
        <w:t xml:space="preserve">Option </w:t>
      </w:r>
      <w:r>
        <w:rPr>
          <w:b/>
          <w:bCs/>
        </w:rPr>
        <w:t>3</w:t>
      </w:r>
      <w:r w:rsidRPr="00677E16">
        <w:t>{</w:t>
      </w:r>
      <w:r w:rsidRPr="00677E16">
        <w:rPr>
          <w:i/>
          <w:iCs/>
        </w:rPr>
        <w:t>No text required</w:t>
      </w:r>
      <w:r w:rsidRPr="00677E16">
        <w:t>}</w:t>
      </w:r>
    </w:p>
    <w:p w14:paraId="76EDF3D0" w14:textId="77777777" w:rsidR="003670E8" w:rsidRPr="00677E16" w:rsidRDefault="003670E8" w:rsidP="003670E8">
      <w:pPr>
        <w:tabs>
          <w:tab w:val="left" w:pos="1701"/>
        </w:tabs>
        <w:spacing w:after="120"/>
        <w:ind w:left="1135" w:right="1134"/>
        <w:jc w:val="both"/>
        <w:rPr>
          <w:b/>
        </w:rPr>
      </w:pPr>
      <w:r w:rsidRPr="007A6242">
        <w:rPr>
          <w:b/>
          <w:u w:val="single"/>
        </w:rPr>
        <w:t>{</w:t>
      </w:r>
      <w:r w:rsidRPr="007A6242">
        <w:rPr>
          <w:b/>
          <w:i/>
          <w:u w:val="single"/>
        </w:rPr>
        <w:t>Recommended actions by the Article 6 TERT for identified inconsistencies, including implications</w:t>
      </w:r>
      <w:r w:rsidRPr="00677E16">
        <w:rPr>
          <w:b/>
        </w:rPr>
        <w:t>}</w:t>
      </w:r>
    </w:p>
    <w:p w14:paraId="21AF6F3F" w14:textId="77777777" w:rsidR="003670E8" w:rsidRPr="00536E6F" w:rsidRDefault="003670E8" w:rsidP="003670E8">
      <w:pPr>
        <w:tabs>
          <w:tab w:val="left" w:pos="1701"/>
        </w:tabs>
        <w:spacing w:after="120"/>
        <w:ind w:left="1135" w:right="1134"/>
        <w:jc w:val="both"/>
        <w:rPr>
          <w:b/>
          <w:bCs/>
        </w:rPr>
      </w:pPr>
      <w:r w:rsidRPr="00536E6F">
        <w:rPr>
          <w:b/>
          <w:bCs/>
        </w:rPr>
        <w:t>Option 1</w:t>
      </w:r>
    </w:p>
    <w:p w14:paraId="624B80F4"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the reviews specifying recommended action to be taken </w:t>
      </w:r>
      <w:r>
        <w:t xml:space="preserve">by the participating Party </w:t>
      </w:r>
      <w:r w:rsidRPr="00677E16">
        <w:t xml:space="preserve">when inconsistencies are identified shall be guided by the type of inconsistency, considering that: </w:t>
      </w:r>
    </w:p>
    <w:p w14:paraId="059EEBE8" w14:textId="77777777" w:rsidR="003670E8" w:rsidRPr="00677E16" w:rsidRDefault="003670E8" w:rsidP="003C28AB">
      <w:pPr>
        <w:numPr>
          <w:ilvl w:val="6"/>
          <w:numId w:val="45"/>
        </w:numPr>
        <w:spacing w:after="120"/>
        <w:ind w:right="1134"/>
        <w:jc w:val="both"/>
      </w:pPr>
      <w:r>
        <w:t>I</w:t>
      </w:r>
      <w:r w:rsidRPr="00677E16">
        <w:t xml:space="preserve">nconsistencies, including minor mistakes with no implications for future actions, must be addressed and further actions and operations are not impeded; </w:t>
      </w:r>
    </w:p>
    <w:p w14:paraId="3CCCDFE6" w14:textId="77777777" w:rsidR="003670E8" w:rsidRPr="00677E16" w:rsidRDefault="003670E8" w:rsidP="003C28AB">
      <w:pPr>
        <w:numPr>
          <w:ilvl w:val="6"/>
          <w:numId w:val="45"/>
        </w:numPr>
        <w:spacing w:after="120"/>
        <w:ind w:right="1134"/>
        <w:jc w:val="both"/>
      </w:pPr>
      <w:r w:rsidRPr="00677E16">
        <w:t xml:space="preserve">For data inconsistencies, including outcomes of consistency checks by the secretariat: </w:t>
      </w:r>
    </w:p>
    <w:p w14:paraId="1AB65260" w14:textId="77777777" w:rsidR="003670E8" w:rsidRPr="00677E16" w:rsidRDefault="003670E8" w:rsidP="003C28AB">
      <w:pPr>
        <w:pStyle w:val="RegSingleTxtG3"/>
        <w:numPr>
          <w:ilvl w:val="7"/>
          <w:numId w:val="29"/>
        </w:numPr>
        <w:ind w:left="1701"/>
      </w:pPr>
      <w:r w:rsidRPr="00677E16">
        <w:t>They must be addressed and internationally transferred mitigation outcomes shall be marked as inconsistent</w:t>
      </w:r>
      <w:r>
        <w:t xml:space="preserve"> until addressed</w:t>
      </w:r>
      <w:r w:rsidRPr="00677E16">
        <w:t>;</w:t>
      </w:r>
    </w:p>
    <w:p w14:paraId="5F82DBDA" w14:textId="77777777" w:rsidR="003670E8" w:rsidRPr="00677E16" w:rsidRDefault="003670E8" w:rsidP="003C28AB">
      <w:pPr>
        <w:pStyle w:val="RegSingleTxtG3"/>
        <w:numPr>
          <w:ilvl w:val="7"/>
          <w:numId w:val="29"/>
        </w:numPr>
        <w:ind w:left="1701"/>
      </w:pPr>
      <w:r w:rsidRPr="00677E16">
        <w:t>Further actions and operations are not impeded;</w:t>
      </w:r>
    </w:p>
    <w:p w14:paraId="3A393621" w14:textId="77777777" w:rsidR="003670E8" w:rsidRPr="00677E16" w:rsidRDefault="003670E8" w:rsidP="003C28AB">
      <w:pPr>
        <w:pStyle w:val="RegSingleTxtG3"/>
        <w:numPr>
          <w:ilvl w:val="7"/>
          <w:numId w:val="29"/>
        </w:numPr>
        <w:ind w:left="1701"/>
      </w:pPr>
      <w:r w:rsidRPr="00677E16">
        <w:t>Recommendations shall be made pointing out the inconsistency and requesting clarification or correction;</w:t>
      </w:r>
    </w:p>
    <w:p w14:paraId="3FDE5419" w14:textId="77777777" w:rsidR="003670E8" w:rsidRPr="00677E16" w:rsidRDefault="003670E8" w:rsidP="003C28AB">
      <w:pPr>
        <w:numPr>
          <w:ilvl w:val="6"/>
          <w:numId w:val="29"/>
        </w:numPr>
        <w:spacing w:after="120"/>
        <w:ind w:left="1135" w:right="1134"/>
        <w:jc w:val="both"/>
      </w:pPr>
      <w:r w:rsidRPr="00677E16">
        <w:lastRenderedPageBreak/>
        <w:t xml:space="preserve">For </w:t>
      </w:r>
      <w:r>
        <w:t>significant</w:t>
      </w:r>
      <w:r w:rsidRPr="00677E16">
        <w:t xml:space="preserve"> inconsistencies, such as an internationally transferred mitigation outcome </w:t>
      </w:r>
      <w:r>
        <w:t>[use][action]</w:t>
      </w:r>
      <w:r w:rsidRPr="00677E16">
        <w:t xml:space="preserve"> that does not possess the minimum required elements for its eligibility:</w:t>
      </w:r>
    </w:p>
    <w:p w14:paraId="4F4D2131" w14:textId="77777777" w:rsidR="003670E8" w:rsidRPr="00677E16" w:rsidRDefault="003670E8" w:rsidP="003C28AB">
      <w:pPr>
        <w:pStyle w:val="RegSingleTxtG3"/>
        <w:numPr>
          <w:ilvl w:val="7"/>
          <w:numId w:val="29"/>
        </w:numPr>
        <w:ind w:left="1701"/>
      </w:pPr>
      <w:r w:rsidRPr="00677E16">
        <w:t>They must be addressed and the internationally transferred mitigation outcome shall be marked as inconsistent</w:t>
      </w:r>
      <w:r>
        <w:t xml:space="preserve"> until addressed</w:t>
      </w:r>
      <w:r w:rsidRPr="00677E16">
        <w:t>;</w:t>
      </w:r>
    </w:p>
    <w:p w14:paraId="5CFF3408" w14:textId="77777777" w:rsidR="003670E8" w:rsidRPr="00677E16" w:rsidRDefault="003670E8" w:rsidP="003C28AB">
      <w:pPr>
        <w:pStyle w:val="RegSingleTxtG3"/>
        <w:numPr>
          <w:ilvl w:val="7"/>
          <w:numId w:val="29"/>
        </w:numPr>
        <w:ind w:left="1701"/>
      </w:pPr>
      <w:r w:rsidRPr="00677E16">
        <w:t>Further actions and operations are impeded until correction of the inconsistency;</w:t>
      </w:r>
    </w:p>
    <w:p w14:paraId="457C11F0" w14:textId="77777777" w:rsidR="003670E8" w:rsidRPr="00677E16" w:rsidRDefault="003670E8" w:rsidP="003C28AB">
      <w:pPr>
        <w:pStyle w:val="RegSingleTxtG3"/>
        <w:numPr>
          <w:ilvl w:val="7"/>
          <w:numId w:val="29"/>
        </w:numPr>
        <w:ind w:left="1701"/>
      </w:pPr>
      <w:r w:rsidRPr="00677E16">
        <w:t>Recommendations may include a request for the submission of missing information, the replacement of the ITMO</w:t>
      </w:r>
      <w:r>
        <w:t>s</w:t>
      </w:r>
      <w:r w:rsidRPr="00677E16">
        <w:t xml:space="preserve"> or other actions, as applicable;</w:t>
      </w:r>
    </w:p>
    <w:p w14:paraId="43C907C4" w14:textId="77777777" w:rsidR="003670E8" w:rsidRPr="00677E16" w:rsidRDefault="003670E8" w:rsidP="003670E8">
      <w:pPr>
        <w:numPr>
          <w:ilvl w:val="5"/>
          <w:numId w:val="9"/>
        </w:numPr>
        <w:tabs>
          <w:tab w:val="left" w:pos="1701"/>
        </w:tabs>
        <w:spacing w:after="120"/>
        <w:ind w:left="1134" w:right="1134"/>
        <w:jc w:val="both"/>
      </w:pPr>
      <w:r w:rsidRPr="00677E16">
        <w:rPr>
          <w:i/>
          <w:iCs/>
        </w:rPr>
        <w:t>Recalls</w:t>
      </w:r>
      <w:r w:rsidRPr="00677E16">
        <w:t xml:space="preserve"> that the Article 6 technical expert review team shall also consider any recommendations concerning inconsistencies or areas for improvement identified in previous Article 6 technical expert review reports for the participating Party and reiterate those recommendations in cases of non-responsiveness of the participating Party in its latest submission; </w:t>
      </w:r>
    </w:p>
    <w:p w14:paraId="123BD368" w14:textId="77777777" w:rsidR="003670E8" w:rsidRPr="009C2CE6" w:rsidRDefault="003670E8" w:rsidP="003670E8">
      <w:pPr>
        <w:tabs>
          <w:tab w:val="left" w:pos="1701"/>
        </w:tabs>
        <w:spacing w:after="120"/>
        <w:ind w:left="1135" w:right="1134"/>
        <w:jc w:val="both"/>
        <w:rPr>
          <w:b/>
          <w:bCs/>
        </w:rPr>
      </w:pPr>
      <w:r w:rsidRPr="009C2CE6">
        <w:rPr>
          <w:b/>
          <w:bCs/>
        </w:rPr>
        <w:t>Option 2</w:t>
      </w:r>
    </w:p>
    <w:p w14:paraId="1C29F129" w14:textId="77777777" w:rsidR="003670E8" w:rsidRDefault="003670E8" w:rsidP="003670E8">
      <w:pPr>
        <w:numPr>
          <w:ilvl w:val="5"/>
          <w:numId w:val="9"/>
        </w:numPr>
        <w:tabs>
          <w:tab w:val="left" w:pos="1701"/>
        </w:tabs>
        <w:spacing w:after="120"/>
        <w:ind w:left="1134" w:right="1134"/>
        <w:jc w:val="both"/>
      </w:pPr>
      <w:r w:rsidRPr="00DE2176">
        <w:rPr>
          <w:i/>
        </w:rPr>
        <w:t>Decides</w:t>
      </w:r>
      <w:r w:rsidRPr="003F05DD">
        <w:t xml:space="preserve"> internationally transferred mitigation outcomes where significant and persistent inconsistencies are identified but not addressed, these shall not be transferred [and used towards achievement of NDCs and for other international mitigation purposes] until the </w:t>
      </w:r>
      <w:r w:rsidRPr="00DE2176">
        <w:t>significant</w:t>
      </w:r>
      <w:r w:rsidRPr="003F05DD">
        <w:t xml:space="preserve"> and persistent inconsistency is resolved. </w:t>
      </w:r>
    </w:p>
    <w:p w14:paraId="1015641A" w14:textId="77777777" w:rsidR="003670E8" w:rsidRPr="00944F62" w:rsidRDefault="003670E8" w:rsidP="003670E8">
      <w:pPr>
        <w:tabs>
          <w:tab w:val="left" w:pos="1701"/>
        </w:tabs>
        <w:spacing w:after="120"/>
        <w:ind w:left="1134" w:right="1134"/>
        <w:jc w:val="both"/>
        <w:rPr>
          <w:b/>
          <w:bCs/>
          <w:iCs/>
        </w:rPr>
      </w:pPr>
      <w:r w:rsidRPr="00944F62">
        <w:rPr>
          <w:b/>
          <w:bCs/>
          <w:iCs/>
        </w:rPr>
        <w:t>Option 3</w:t>
      </w:r>
    </w:p>
    <w:p w14:paraId="1FADE162" w14:textId="77777777" w:rsidR="003670E8" w:rsidRPr="00677E16" w:rsidDel="00670818" w:rsidRDefault="003670E8" w:rsidP="003670E8">
      <w:pPr>
        <w:numPr>
          <w:ilvl w:val="5"/>
          <w:numId w:val="9"/>
        </w:numPr>
        <w:tabs>
          <w:tab w:val="left" w:pos="1701"/>
        </w:tabs>
        <w:spacing w:after="120"/>
        <w:ind w:left="1134" w:right="1134"/>
        <w:jc w:val="both"/>
        <w:rPr>
          <w:i/>
          <w:iCs/>
        </w:rPr>
      </w:pPr>
      <w:r w:rsidRPr="00677E16" w:rsidDel="00670818">
        <w:t>[</w:t>
      </w:r>
      <w:r w:rsidRPr="00677E16" w:rsidDel="00670818">
        <w:rPr>
          <w:i/>
          <w:iCs/>
        </w:rPr>
        <w:t>Clarifies</w:t>
      </w:r>
      <w:r w:rsidRPr="00677E16" w:rsidDel="00670818">
        <w:t xml:space="preserve"> that a first transfer[ referred to in decision 2/CMA.3, annex, paragraph 2, in relation to an internationally transferred mitigation outcome] may only be effected after the [</w:t>
      </w:r>
      <w:r w:rsidRPr="00944F62" w:rsidDel="00670818">
        <w:t>achievement][verification] of the mitigation outcome[[ verified in the technical expert review report referred to in decision 18/CMA.1, annex, paragraph 1</w:t>
      </w:r>
      <w:r w:rsidRPr="00944F62">
        <w:t>87</w:t>
      </w:r>
      <w:r w:rsidRPr="00944F62" w:rsidDel="00670818">
        <w:t>,] in</w:t>
      </w:r>
      <w:r w:rsidRPr="00677E16" w:rsidDel="00670818">
        <w:t xml:space="preserve"> line with decision 2/CMA.3, annex, paragraph 1(a)];</w:t>
      </w:r>
    </w:p>
    <w:p w14:paraId="6CAC3F52" w14:textId="77777777" w:rsidR="003670E8" w:rsidRPr="00677E16" w:rsidRDefault="003670E8" w:rsidP="003670E8">
      <w:pPr>
        <w:tabs>
          <w:tab w:val="left" w:pos="1701"/>
        </w:tabs>
        <w:spacing w:after="120"/>
        <w:ind w:left="1135" w:right="1134"/>
        <w:jc w:val="both"/>
      </w:pPr>
      <w:r w:rsidRPr="00677E16">
        <w:rPr>
          <w:b/>
          <w:bCs/>
        </w:rPr>
        <w:t xml:space="preserve">Option </w:t>
      </w:r>
      <w:r>
        <w:rPr>
          <w:b/>
          <w:bCs/>
        </w:rPr>
        <w:t>4</w:t>
      </w:r>
      <w:r w:rsidRPr="00677E16">
        <w:rPr>
          <w:b/>
          <w:bCs/>
        </w:rPr>
        <w:t>:</w:t>
      </w:r>
      <w:r w:rsidRPr="00677E16">
        <w:t xml:space="preserve"> {</w:t>
      </w:r>
      <w:r w:rsidRPr="00677E16">
        <w:rPr>
          <w:i/>
          <w:iCs/>
        </w:rPr>
        <w:t>No text required</w:t>
      </w:r>
      <w:r w:rsidRPr="00677E16">
        <w:t>}</w:t>
      </w:r>
    </w:p>
    <w:p w14:paraId="27061B03" w14:textId="77777777" w:rsidR="003670E8" w:rsidRPr="00372989" w:rsidRDefault="003670E8" w:rsidP="003670E8">
      <w:pPr>
        <w:tabs>
          <w:tab w:val="left" w:pos="1701"/>
        </w:tabs>
        <w:spacing w:after="120"/>
        <w:ind w:left="1135" w:right="1134"/>
        <w:jc w:val="both"/>
        <w:rPr>
          <w:b/>
        </w:rPr>
      </w:pPr>
      <w:r w:rsidRPr="007A6242">
        <w:rPr>
          <w:b/>
          <w:u w:val="single"/>
        </w:rPr>
        <w:t>{</w:t>
      </w:r>
      <w:r w:rsidRPr="007A6242">
        <w:rPr>
          <w:b/>
          <w:i/>
          <w:u w:val="single"/>
        </w:rPr>
        <w:t>Implications of non-responsiveness</w:t>
      </w:r>
      <w:r w:rsidRPr="00677E16">
        <w:rPr>
          <w:b/>
        </w:rPr>
        <w:t>}</w:t>
      </w:r>
    </w:p>
    <w:p w14:paraId="3046FD0F"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the implications of non-responsiveness shall be guided by the type of inconsistency, considering that: </w:t>
      </w:r>
    </w:p>
    <w:p w14:paraId="2E67006B" w14:textId="77777777" w:rsidR="003670E8" w:rsidRPr="00677E16" w:rsidRDefault="003670E8" w:rsidP="003C28AB">
      <w:pPr>
        <w:numPr>
          <w:ilvl w:val="6"/>
          <w:numId w:val="13"/>
        </w:numPr>
        <w:spacing w:after="120"/>
        <w:ind w:right="1134"/>
        <w:jc w:val="both"/>
      </w:pPr>
      <w:r w:rsidRPr="00677E16">
        <w:t>For formal inconsistencies, they shall be pointed out in the report by the Article 6 technical expert review team with a request for correction;</w:t>
      </w:r>
    </w:p>
    <w:p w14:paraId="4087C5CA" w14:textId="77777777" w:rsidR="003670E8" w:rsidRPr="00677E16" w:rsidRDefault="003670E8" w:rsidP="003C28AB">
      <w:pPr>
        <w:numPr>
          <w:ilvl w:val="6"/>
          <w:numId w:val="13"/>
        </w:numPr>
        <w:spacing w:after="120"/>
        <w:ind w:right="1134"/>
        <w:jc w:val="both"/>
      </w:pPr>
      <w:r w:rsidRPr="00677E16">
        <w:t xml:space="preserve">For data inconsistencies: </w:t>
      </w:r>
    </w:p>
    <w:p w14:paraId="33BBA3B6" w14:textId="77777777" w:rsidR="003670E8" w:rsidRPr="00677E16" w:rsidRDefault="003670E8" w:rsidP="003C28AB">
      <w:pPr>
        <w:pStyle w:val="RegSingleTxtG3"/>
        <w:numPr>
          <w:ilvl w:val="7"/>
          <w:numId w:val="46"/>
        </w:numPr>
        <w:ind w:left="1701"/>
      </w:pPr>
      <w:r w:rsidRPr="00677E16">
        <w:t>They shall be pointed out in the report by the Article 6 technical expert review team;</w:t>
      </w:r>
    </w:p>
    <w:p w14:paraId="408441FA" w14:textId="77777777" w:rsidR="003670E8" w:rsidRPr="00677E16" w:rsidRDefault="003670E8" w:rsidP="003C28AB">
      <w:pPr>
        <w:pStyle w:val="RegSingleTxtG3"/>
        <w:numPr>
          <w:ilvl w:val="7"/>
          <w:numId w:val="46"/>
        </w:numPr>
        <w:ind w:left="1701"/>
      </w:pPr>
      <w:r w:rsidRPr="00677E16">
        <w:t>The internationally transferred mitigation outcome marked with data inconsistencies may be transacted, but shall not be used towards achievement of nationally determined contributions or for other international mitigation purposes;</w:t>
      </w:r>
    </w:p>
    <w:p w14:paraId="2CE3EAE3" w14:textId="77777777" w:rsidR="003670E8" w:rsidRPr="00677E16" w:rsidRDefault="003670E8" w:rsidP="003C28AB">
      <w:pPr>
        <w:numPr>
          <w:ilvl w:val="6"/>
          <w:numId w:val="13"/>
        </w:numPr>
        <w:spacing w:after="120"/>
        <w:ind w:right="1134"/>
        <w:jc w:val="both"/>
      </w:pPr>
      <w:r w:rsidRPr="00677E16">
        <w:t xml:space="preserve">For </w:t>
      </w:r>
      <w:r>
        <w:t>significant and persistent</w:t>
      </w:r>
      <w:r w:rsidRPr="00677E16">
        <w:t xml:space="preserve"> inconsistencies: </w:t>
      </w:r>
    </w:p>
    <w:p w14:paraId="3EB6E2DA" w14:textId="77777777" w:rsidR="003670E8" w:rsidRPr="00677E16" w:rsidRDefault="003670E8" w:rsidP="003C28AB">
      <w:pPr>
        <w:numPr>
          <w:ilvl w:val="6"/>
          <w:numId w:val="13"/>
        </w:numPr>
        <w:spacing w:after="120"/>
        <w:ind w:right="1134"/>
        <w:jc w:val="both"/>
      </w:pPr>
      <w:r w:rsidRPr="00677E16">
        <w:t>They shall be pointed out in the report by the Article 6 technical expert review team under a specific subheading, alongside the previous recommendation;</w:t>
      </w:r>
    </w:p>
    <w:p w14:paraId="09299D9D" w14:textId="77777777" w:rsidR="003670E8" w:rsidRPr="00677E16" w:rsidRDefault="003670E8" w:rsidP="003670E8">
      <w:pPr>
        <w:numPr>
          <w:ilvl w:val="5"/>
          <w:numId w:val="9"/>
        </w:numPr>
        <w:tabs>
          <w:tab w:val="left" w:pos="1701"/>
        </w:tabs>
        <w:spacing w:after="120"/>
        <w:ind w:left="1134" w:right="1134"/>
        <w:jc w:val="both"/>
      </w:pPr>
      <w:r w:rsidRPr="00677E16">
        <w:t>All actions and operations involving the internationally transferred mitigation outcome remain impeded until correction of the inconsistency;</w:t>
      </w:r>
    </w:p>
    <w:p w14:paraId="1C905067" w14:textId="77777777" w:rsidR="003670E8" w:rsidRPr="00677E16" w:rsidRDefault="003670E8" w:rsidP="003670E8">
      <w:pPr>
        <w:tabs>
          <w:tab w:val="left" w:pos="1701"/>
        </w:tabs>
        <w:spacing w:after="120"/>
        <w:ind w:left="1135" w:right="1134"/>
        <w:jc w:val="both"/>
        <w:rPr>
          <w:b/>
          <w:bCs/>
        </w:rPr>
      </w:pPr>
      <w:r w:rsidRPr="00677E16">
        <w:rPr>
          <w:b/>
          <w:bCs/>
        </w:rPr>
        <w:t xml:space="preserve">Option </w:t>
      </w:r>
      <w:r>
        <w:rPr>
          <w:b/>
          <w:bCs/>
        </w:rPr>
        <w:t>1</w:t>
      </w:r>
    </w:p>
    <w:p w14:paraId="67693404" w14:textId="77777777" w:rsidR="003670E8" w:rsidRPr="00677E16" w:rsidRDefault="003670E8" w:rsidP="003670E8">
      <w:pPr>
        <w:numPr>
          <w:ilvl w:val="5"/>
          <w:numId w:val="9"/>
        </w:numPr>
        <w:tabs>
          <w:tab w:val="left" w:pos="1701"/>
        </w:tabs>
        <w:spacing w:after="120"/>
        <w:ind w:left="1134" w:right="1134"/>
        <w:jc w:val="both"/>
      </w:pPr>
      <w:r w:rsidRPr="003F05DD">
        <w:rPr>
          <w:i/>
          <w:iCs/>
        </w:rPr>
        <w:t>Encourages</w:t>
      </w:r>
      <w:r w:rsidRPr="007D72FD">
        <w:t xml:space="preserve"> lead reviewers to liaise with the Paris Agreement Implementation and Compliance Committee with respect to the </w:t>
      </w:r>
      <w:r>
        <w:t>[</w:t>
      </w:r>
      <w:r w:rsidRPr="007D72FD">
        <w:t xml:space="preserve">significant and persistent </w:t>
      </w:r>
      <w:r>
        <w:t>]</w:t>
      </w:r>
      <w:r w:rsidRPr="007D72FD">
        <w:t>inconsistencies and non-responsiveness to the recommendations of the A6TER</w:t>
      </w:r>
      <w:r>
        <w:t>;</w:t>
      </w:r>
      <w:r w:rsidRPr="007D72FD">
        <w:t xml:space="preserve">  </w:t>
      </w:r>
    </w:p>
    <w:p w14:paraId="49FD6AEC" w14:textId="537A4DDC" w:rsidR="003670E8" w:rsidRPr="00677E16" w:rsidRDefault="003670E8" w:rsidP="003670E8">
      <w:pPr>
        <w:tabs>
          <w:tab w:val="left" w:pos="1701"/>
        </w:tabs>
        <w:spacing w:after="120"/>
        <w:ind w:left="1135" w:right="1134"/>
        <w:jc w:val="both"/>
      </w:pPr>
      <w:r w:rsidRPr="00677E16">
        <w:rPr>
          <w:b/>
          <w:bCs/>
        </w:rPr>
        <w:t xml:space="preserve">Option </w:t>
      </w:r>
      <w:r w:rsidR="00E9404C">
        <w:rPr>
          <w:b/>
          <w:bCs/>
        </w:rPr>
        <w:t>2</w:t>
      </w:r>
      <w:r w:rsidRPr="00677E16">
        <w:rPr>
          <w:b/>
          <w:bCs/>
        </w:rPr>
        <w:t xml:space="preserve"> </w:t>
      </w:r>
      <w:r w:rsidRPr="00677E16">
        <w:t>{</w:t>
      </w:r>
      <w:r w:rsidRPr="00677E16">
        <w:rPr>
          <w:i/>
        </w:rPr>
        <w:t xml:space="preserve">No text </w:t>
      </w:r>
      <w:r w:rsidRPr="00677E16">
        <w:rPr>
          <w:i/>
          <w:iCs/>
        </w:rPr>
        <w:t>required</w:t>
      </w:r>
      <w:r w:rsidRPr="00677E16">
        <w:t>}</w:t>
      </w:r>
    </w:p>
    <w:p w14:paraId="19FBC80A" w14:textId="77777777" w:rsidR="003670E8" w:rsidRPr="00677E16" w:rsidRDefault="003670E8" w:rsidP="003670E8">
      <w:pPr>
        <w:keepNext/>
        <w:tabs>
          <w:tab w:val="left" w:pos="1701"/>
        </w:tabs>
        <w:spacing w:after="120"/>
        <w:ind w:left="1134" w:right="1134"/>
        <w:jc w:val="both"/>
        <w:rPr>
          <w:b/>
        </w:rPr>
      </w:pPr>
      <w:r w:rsidRPr="007A6242">
        <w:rPr>
          <w:b/>
        </w:rPr>
        <w:lastRenderedPageBreak/>
        <w:t>{</w:t>
      </w:r>
      <w:r w:rsidRPr="007A6242">
        <w:rPr>
          <w:b/>
          <w:i/>
          <w:u w:val="single"/>
        </w:rPr>
        <w:t>Responses to the Article 6 TER identified inconsistencies</w:t>
      </w:r>
      <w:r w:rsidRPr="007A6242">
        <w:rPr>
          <w:b/>
        </w:rPr>
        <w:t>}</w:t>
      </w:r>
    </w:p>
    <w:p w14:paraId="6B35D51D" w14:textId="77777777" w:rsidR="003670E8" w:rsidRPr="00677E16" w:rsidRDefault="003670E8" w:rsidP="003670E8">
      <w:pPr>
        <w:keepNext/>
        <w:tabs>
          <w:tab w:val="left" w:pos="1701"/>
        </w:tabs>
        <w:spacing w:after="120"/>
        <w:ind w:left="1134" w:right="1134"/>
        <w:jc w:val="both"/>
        <w:rPr>
          <w:b/>
          <w:bCs/>
        </w:rPr>
      </w:pPr>
      <w:r w:rsidRPr="00677E16">
        <w:rPr>
          <w:b/>
          <w:bCs/>
        </w:rPr>
        <w:t>Option 1</w:t>
      </w:r>
    </w:p>
    <w:p w14:paraId="0B3D9D31" w14:textId="77777777" w:rsidR="003670E8" w:rsidRPr="00677E16" w:rsidRDefault="003670E8" w:rsidP="003670E8">
      <w:pPr>
        <w:numPr>
          <w:ilvl w:val="5"/>
          <w:numId w:val="9"/>
        </w:numPr>
        <w:tabs>
          <w:tab w:val="left" w:pos="1701"/>
        </w:tabs>
        <w:spacing w:after="120"/>
        <w:ind w:left="1134" w:right="1134"/>
        <w:jc w:val="both"/>
      </w:pPr>
      <w:r w:rsidRPr="00677E16">
        <w:rPr>
          <w:i/>
          <w:iCs/>
        </w:rPr>
        <w:t>Recalls</w:t>
      </w:r>
      <w:r w:rsidRPr="00677E16">
        <w:t xml:space="preserve"> that, pursuant to decision 6/CMA.4, annex II, paragraph 5, an Article 6 technical expert review team shall specify recommended actions to be taken by the participating Party, including recommendations on: </w:t>
      </w:r>
    </w:p>
    <w:p w14:paraId="55C42AC1" w14:textId="77777777" w:rsidR="003670E8" w:rsidRPr="00677E16" w:rsidRDefault="003670E8" w:rsidP="003C28AB">
      <w:pPr>
        <w:numPr>
          <w:ilvl w:val="6"/>
          <w:numId w:val="47"/>
        </w:numPr>
        <w:spacing w:after="120"/>
        <w:ind w:right="1134"/>
        <w:jc w:val="both"/>
      </w:pPr>
      <w:r w:rsidRPr="00677E16">
        <w:t>How to improve consistency with the requirements of the annex to decision 2/CMA.3 and any future relevant decisions of the CMA;</w:t>
      </w:r>
    </w:p>
    <w:p w14:paraId="61A912AA" w14:textId="77777777" w:rsidR="003670E8" w:rsidRPr="00677E16" w:rsidRDefault="003670E8" w:rsidP="003C28AB">
      <w:pPr>
        <w:numPr>
          <w:ilvl w:val="6"/>
          <w:numId w:val="47"/>
        </w:numPr>
        <w:spacing w:after="120"/>
        <w:ind w:left="1135" w:right="1134"/>
        <w:jc w:val="both"/>
      </w:pPr>
      <w:r w:rsidRPr="00677E16">
        <w:t xml:space="preserve">How to address identified inconsistencies in quantified information that is reported under chapter IV.B (Annual information) and IV.C (Regular information) of the annex to decision 2/CMA.3 and/or identified by the secretariat as part of the consistency check; </w:t>
      </w:r>
    </w:p>
    <w:p w14:paraId="2E3DFAD2" w14:textId="77777777" w:rsidR="003670E8" w:rsidRPr="00677E16" w:rsidRDefault="003670E8" w:rsidP="003670E8">
      <w:pPr>
        <w:numPr>
          <w:ilvl w:val="5"/>
          <w:numId w:val="9"/>
        </w:numPr>
        <w:tabs>
          <w:tab w:val="left" w:pos="1701"/>
        </w:tabs>
        <w:spacing w:after="120"/>
        <w:ind w:left="1134" w:right="1134"/>
        <w:jc w:val="both"/>
      </w:pPr>
      <w:r w:rsidRPr="00677E16">
        <w:rPr>
          <w:i/>
          <w:iCs/>
        </w:rPr>
        <w:t>Clarifies</w:t>
      </w:r>
      <w:r w:rsidRPr="00677E16">
        <w:t xml:space="preserve"> that a Party </w:t>
      </w:r>
      <w:r>
        <w:t>[</w:t>
      </w:r>
      <w:r w:rsidRPr="00372989">
        <w:t>should</w:t>
      </w:r>
      <w:r>
        <w:t>][shall]</w:t>
      </w:r>
      <w:r w:rsidRPr="00677E16">
        <w:t xml:space="preserve"> respond to recommendations by addressing the inconsistency and reporting back on how the inconsistency has been addressed, taking into account the time frames established for the review process; </w:t>
      </w:r>
    </w:p>
    <w:p w14:paraId="1ACC15D2" w14:textId="77777777" w:rsidR="003670E8" w:rsidRDefault="003670E8" w:rsidP="003670E8">
      <w:pPr>
        <w:numPr>
          <w:ilvl w:val="5"/>
          <w:numId w:val="9"/>
        </w:numPr>
        <w:tabs>
          <w:tab w:val="left" w:pos="1701"/>
        </w:tabs>
        <w:spacing w:after="120"/>
        <w:ind w:left="1134" w:right="1134"/>
        <w:jc w:val="both"/>
      </w:pPr>
      <w:r>
        <w:rPr>
          <w:i/>
          <w:iCs/>
        </w:rPr>
        <w:t>[</w:t>
      </w:r>
      <w:r w:rsidRPr="00F429FA">
        <w:rPr>
          <w:i/>
          <w:iCs/>
        </w:rPr>
        <w:t xml:space="preserve">Further </w:t>
      </w:r>
      <w:r w:rsidRPr="00A33360">
        <w:t>clarifies that the inconsistencies identified by the A</w:t>
      </w:r>
      <w:r>
        <w:t xml:space="preserve">rticle </w:t>
      </w:r>
      <w:r w:rsidRPr="00A33360">
        <w:t>6</w:t>
      </w:r>
      <w:r>
        <w:t xml:space="preserve"> </w:t>
      </w:r>
      <w:r w:rsidRPr="00A33360">
        <w:t>TERT can be corrected and the recommendations of the A</w:t>
      </w:r>
      <w:r>
        <w:t xml:space="preserve">rticle 6 </w:t>
      </w:r>
      <w:r w:rsidRPr="00A33360">
        <w:t>TERT addressed in the next respective report</w:t>
      </w:r>
      <w:r>
        <w:t>;]</w:t>
      </w:r>
    </w:p>
    <w:p w14:paraId="226DD05D" w14:textId="77777777" w:rsidR="003670E8" w:rsidRPr="00677E16" w:rsidRDefault="003670E8" w:rsidP="003670E8">
      <w:pPr>
        <w:tabs>
          <w:tab w:val="left" w:pos="1701"/>
        </w:tabs>
        <w:spacing w:after="120"/>
        <w:ind w:left="1135" w:right="1134"/>
        <w:jc w:val="both"/>
        <w:rPr>
          <w:i/>
          <w:iCs/>
        </w:rPr>
      </w:pPr>
      <w:r w:rsidRPr="00677E16">
        <w:rPr>
          <w:b/>
          <w:bCs/>
        </w:rPr>
        <w:t>Option 2:</w:t>
      </w:r>
      <w:r w:rsidRPr="00677E16">
        <w:t xml:space="preserve"> </w:t>
      </w:r>
      <w:r w:rsidRPr="00677E16">
        <w:rPr>
          <w:i/>
          <w:iCs/>
        </w:rPr>
        <w:t>{No text required}</w:t>
      </w:r>
    </w:p>
    <w:p w14:paraId="69DF46AA" w14:textId="77777777" w:rsidR="003670E8" w:rsidRDefault="003670E8" w:rsidP="003670E8">
      <w:pPr>
        <w:tabs>
          <w:tab w:val="left" w:pos="1701"/>
        </w:tabs>
        <w:spacing w:after="120"/>
        <w:ind w:left="1135" w:right="1134"/>
        <w:jc w:val="both"/>
      </w:pPr>
      <w:r w:rsidRPr="00677E16">
        <w:rPr>
          <w:b/>
        </w:rPr>
        <w:t>{</w:t>
      </w:r>
      <w:r w:rsidRPr="00677E16">
        <w:rPr>
          <w:b/>
          <w:i/>
        </w:rPr>
        <w:t xml:space="preserve">Publication of </w:t>
      </w:r>
      <w:r w:rsidRPr="00677E16">
        <w:rPr>
          <w:b/>
          <w:bCs/>
          <w:i/>
          <w:iCs/>
        </w:rPr>
        <w:t xml:space="preserve">Article 6 </w:t>
      </w:r>
      <w:r w:rsidRPr="00677E16">
        <w:rPr>
          <w:b/>
          <w:i/>
        </w:rPr>
        <w:t>TER report}</w:t>
      </w:r>
    </w:p>
    <w:p w14:paraId="35A6E184" w14:textId="77777777" w:rsidR="003670E8" w:rsidRDefault="003670E8" w:rsidP="003670E8">
      <w:pPr>
        <w:numPr>
          <w:ilvl w:val="5"/>
          <w:numId w:val="9"/>
        </w:numPr>
        <w:tabs>
          <w:tab w:val="left" w:pos="1701"/>
        </w:tabs>
        <w:spacing w:after="120"/>
        <w:ind w:left="1134" w:right="1134"/>
        <w:jc w:val="both"/>
      </w:pPr>
      <w:r w:rsidRPr="00677E16">
        <w:rPr>
          <w:bCs/>
        </w:rPr>
        <w:t>[</w:t>
      </w:r>
      <w:r w:rsidRPr="00677E16">
        <w:rPr>
          <w:bCs/>
          <w:i/>
          <w:iCs/>
        </w:rPr>
        <w:t xml:space="preserve">Recalls </w:t>
      </w:r>
      <w:r w:rsidRPr="00677E16">
        <w:rPr>
          <w:bCs/>
        </w:rPr>
        <w:t>that the Article 6 technical expert review report shall be published no later than the start of the technical expert review week referred to in decision 18/CMA.1 as per decision 6/CMA.4, annex II, paragraph 21(h);]</w:t>
      </w:r>
    </w:p>
    <w:p w14:paraId="5E266529" w14:textId="77777777" w:rsidR="003670E8" w:rsidRDefault="003670E8" w:rsidP="003670E8">
      <w:pPr>
        <w:keepNext/>
        <w:keepLines/>
        <w:numPr>
          <w:ilvl w:val="0"/>
          <w:numId w:val="1"/>
        </w:numPr>
        <w:tabs>
          <w:tab w:val="left" w:pos="1701"/>
        </w:tabs>
        <w:spacing w:before="360" w:after="240" w:line="300" w:lineRule="exact"/>
        <w:ind w:right="1134"/>
      </w:pPr>
      <w:r w:rsidRPr="003845BD">
        <w:rPr>
          <w:b/>
          <w:bCs/>
          <w:sz w:val="28"/>
          <w:szCs w:val="28"/>
        </w:rPr>
        <w:t>[Identifying, notifying and correcting inconsistencies</w:t>
      </w:r>
      <w:r>
        <w:br/>
      </w:r>
      <w:r w:rsidRPr="0037047A">
        <w:t>{</w:t>
      </w:r>
      <w:r w:rsidRPr="0037047A">
        <w:rPr>
          <w:b/>
          <w:bCs/>
          <w:i/>
        </w:rPr>
        <w:t xml:space="preserve">This section combines the content of the previous Sections </w:t>
      </w:r>
      <w:r w:rsidRPr="00CF53DA">
        <w:rPr>
          <w:b/>
          <w:bCs/>
          <w:i/>
        </w:rPr>
        <w:t>VIII and IX</w:t>
      </w:r>
      <w:r w:rsidRPr="0037047A">
        <w:rPr>
          <w:b/>
          <w:bCs/>
          <w:i/>
        </w:rPr>
        <w:t>, as an alternative</w:t>
      </w:r>
      <w:r w:rsidRPr="0037047A">
        <w:t>}</w:t>
      </w:r>
    </w:p>
    <w:p w14:paraId="0203B86E" w14:textId="77777777" w:rsidR="003670E8" w:rsidRPr="00637384" w:rsidRDefault="003670E8" w:rsidP="003670E8">
      <w:pPr>
        <w:keepNext/>
        <w:keepLines/>
        <w:numPr>
          <w:ilvl w:val="1"/>
          <w:numId w:val="1"/>
        </w:numPr>
        <w:tabs>
          <w:tab w:val="left" w:pos="1701"/>
        </w:tabs>
        <w:spacing w:before="360" w:after="240" w:line="300" w:lineRule="exact"/>
        <w:ind w:right="1134"/>
        <w:rPr>
          <w:b/>
          <w:bCs/>
          <w:sz w:val="24"/>
          <w:szCs w:val="24"/>
        </w:rPr>
      </w:pPr>
      <w:r w:rsidRPr="00637384">
        <w:rPr>
          <w:b/>
          <w:bCs/>
          <w:sz w:val="24"/>
          <w:szCs w:val="24"/>
        </w:rPr>
        <w:t>Flagging of inconsistencies</w:t>
      </w:r>
    </w:p>
    <w:p w14:paraId="63C701F7" w14:textId="77777777" w:rsidR="003670E8" w:rsidRPr="007D51B9" w:rsidRDefault="003670E8" w:rsidP="003670E8">
      <w:pPr>
        <w:numPr>
          <w:ilvl w:val="5"/>
          <w:numId w:val="9"/>
        </w:numPr>
        <w:tabs>
          <w:tab w:val="left" w:pos="1701"/>
        </w:tabs>
        <w:spacing w:after="120"/>
        <w:ind w:left="1134" w:right="1134"/>
        <w:jc w:val="both"/>
      </w:pPr>
      <w:r w:rsidRPr="00DC26FE">
        <w:rPr>
          <w:i/>
        </w:rPr>
        <w:t>Decides</w:t>
      </w:r>
      <w:r w:rsidRPr="00F23678">
        <w:t xml:space="preserve"> that the following information on the status of each of the reviews referred to in decision 6/CMA.4, annex II, paragraph 11 shall be made publicly available and flagged by the secretariat in the centralized accounting and reporting platform, for each relevant cooperative approach, and/or each relevant </w:t>
      </w:r>
      <w:r>
        <w:t>internationally transferred mitigation outcomes:</w:t>
      </w:r>
    </w:p>
    <w:p w14:paraId="64A34ECD" w14:textId="77777777" w:rsidR="003670E8" w:rsidRDefault="003670E8" w:rsidP="003C28AB">
      <w:pPr>
        <w:pStyle w:val="RegSingleTxtG2"/>
        <w:numPr>
          <w:ilvl w:val="6"/>
          <w:numId w:val="30"/>
        </w:numPr>
        <w:tabs>
          <w:tab w:val="clear" w:pos="1418"/>
          <w:tab w:val="num" w:pos="1702"/>
        </w:tabs>
        <w:ind w:left="1134"/>
      </w:pPr>
      <w:r>
        <w:t>“review pending”, when the report has not yet been published;</w:t>
      </w:r>
    </w:p>
    <w:p w14:paraId="6812F8CB" w14:textId="77777777" w:rsidR="003670E8" w:rsidRDefault="003670E8" w:rsidP="003C28AB">
      <w:pPr>
        <w:pStyle w:val="RegSingleTxtG2"/>
        <w:numPr>
          <w:ilvl w:val="6"/>
          <w:numId w:val="30"/>
        </w:numPr>
        <w:tabs>
          <w:tab w:val="clear" w:pos="1418"/>
          <w:tab w:val="num" w:pos="1702"/>
        </w:tabs>
        <w:ind w:left="1134"/>
      </w:pPr>
      <w:r>
        <w:t>“review finalized without inconsistencies”, when the report has been published and no inconsistencies have been identified;</w:t>
      </w:r>
    </w:p>
    <w:p w14:paraId="3ADF7A49" w14:textId="77777777" w:rsidR="003670E8" w:rsidRDefault="003670E8" w:rsidP="003C28AB">
      <w:pPr>
        <w:pStyle w:val="RegSingleTxtG2"/>
        <w:numPr>
          <w:ilvl w:val="6"/>
          <w:numId w:val="30"/>
        </w:numPr>
        <w:tabs>
          <w:tab w:val="clear" w:pos="1418"/>
          <w:tab w:val="num" w:pos="1702"/>
        </w:tabs>
        <w:ind w:left="1134"/>
      </w:pPr>
      <w:r>
        <w:t>“review finalized with inconsistencies”, when the report has been published and at least one inconsistency has been identified but none of the identified inconsistencies are significant or persistent;</w:t>
      </w:r>
    </w:p>
    <w:p w14:paraId="2A6303A2" w14:textId="77777777" w:rsidR="003670E8" w:rsidRDefault="003670E8" w:rsidP="003C28AB">
      <w:pPr>
        <w:pStyle w:val="RegSingleTxtG2"/>
        <w:numPr>
          <w:ilvl w:val="6"/>
          <w:numId w:val="30"/>
        </w:numPr>
        <w:tabs>
          <w:tab w:val="clear" w:pos="1418"/>
          <w:tab w:val="num" w:pos="1702"/>
        </w:tabs>
        <w:ind w:left="1134"/>
      </w:pPr>
      <w:r>
        <w:t>“review finalized and significant inconsistencies identified”, when the report has been published and at least one significant inconsistency has been identified but none of the significant inconsistencies are also identified as persistent;</w:t>
      </w:r>
    </w:p>
    <w:p w14:paraId="338F31C6" w14:textId="77777777" w:rsidR="003670E8" w:rsidRDefault="003670E8" w:rsidP="003C28AB">
      <w:pPr>
        <w:pStyle w:val="RegSingleTxtG2"/>
        <w:numPr>
          <w:ilvl w:val="6"/>
          <w:numId w:val="30"/>
        </w:numPr>
        <w:tabs>
          <w:tab w:val="clear" w:pos="1418"/>
          <w:tab w:val="num" w:pos="1702"/>
        </w:tabs>
        <w:ind w:left="1134"/>
      </w:pPr>
      <w:r>
        <w:t>“review finalized and persistent inconsistencies identified”, when the report has been published and at least one persistent inconsistency has been identified but none of the persistent inconsistencies are also identified as significant;</w:t>
      </w:r>
    </w:p>
    <w:p w14:paraId="17753D31" w14:textId="77777777" w:rsidR="003670E8" w:rsidRDefault="003670E8" w:rsidP="003C28AB">
      <w:pPr>
        <w:pStyle w:val="RegSingleTxtG2"/>
        <w:numPr>
          <w:ilvl w:val="6"/>
          <w:numId w:val="30"/>
        </w:numPr>
        <w:tabs>
          <w:tab w:val="clear" w:pos="1418"/>
          <w:tab w:val="num" w:pos="1702"/>
        </w:tabs>
        <w:ind w:left="1134"/>
      </w:pPr>
      <w:r>
        <w:t>“review finalized and significant inconsistencies and persistent inconsistencies identified”, when the report has been published and at least one persistent inconsistency and at least one significant inconsistency has been identified but the persistent inconsistencies pertain to different matters than the significant inconsistencies;</w:t>
      </w:r>
    </w:p>
    <w:p w14:paraId="07B9467D" w14:textId="77777777" w:rsidR="003670E8" w:rsidRDefault="003670E8" w:rsidP="003C28AB">
      <w:pPr>
        <w:pStyle w:val="RegSingleTxtG2"/>
        <w:numPr>
          <w:ilvl w:val="6"/>
          <w:numId w:val="30"/>
        </w:numPr>
        <w:tabs>
          <w:tab w:val="clear" w:pos="1418"/>
          <w:tab w:val="num" w:pos="1702"/>
        </w:tabs>
        <w:ind w:left="1134"/>
      </w:pPr>
      <w:r>
        <w:lastRenderedPageBreak/>
        <w:t>“review finalized and consistencies identified that are both significant and persistent”, when the report has been published and at least one inconsistency has been identified as both persistent and significant;</w:t>
      </w:r>
    </w:p>
    <w:p w14:paraId="69D1DA09" w14:textId="77777777" w:rsidR="003670E8" w:rsidRDefault="003670E8" w:rsidP="003670E8">
      <w:pPr>
        <w:numPr>
          <w:ilvl w:val="5"/>
          <w:numId w:val="9"/>
        </w:numPr>
        <w:tabs>
          <w:tab w:val="left" w:pos="1701"/>
        </w:tabs>
        <w:spacing w:after="120"/>
        <w:ind w:left="1134" w:right="1134"/>
        <w:jc w:val="both"/>
      </w:pPr>
      <w:r w:rsidRPr="00DC26FE">
        <w:rPr>
          <w:i/>
          <w:iCs/>
        </w:rPr>
        <w:t>Also decides</w:t>
      </w:r>
      <w:r w:rsidRPr="0030323B">
        <w:t xml:space="preserve"> that the following information on the status of each consistency check referred to in decision 2/CMA.3, annex, paragraph 33(a), shall be made publicly available and flagged by the secretariat in the Article 6 database, being part of the centralized accounting and reporting platform, for the </w:t>
      </w:r>
      <w:r>
        <w:t>agreed electronic format</w:t>
      </w:r>
      <w:r w:rsidRPr="0030323B">
        <w:t xml:space="preserve"> and each relevant </w:t>
      </w:r>
      <w:r>
        <w:t>internationally transferred mitigation outcome:</w:t>
      </w:r>
    </w:p>
    <w:p w14:paraId="32A6870D" w14:textId="77777777" w:rsidR="003670E8" w:rsidRDefault="003670E8" w:rsidP="003C28AB">
      <w:pPr>
        <w:pStyle w:val="RegSingleTxtG2"/>
        <w:numPr>
          <w:ilvl w:val="6"/>
          <w:numId w:val="31"/>
        </w:numPr>
        <w:tabs>
          <w:tab w:val="clear" w:pos="1418"/>
          <w:tab w:val="num" w:pos="1702"/>
        </w:tabs>
        <w:ind w:left="1134"/>
      </w:pPr>
      <w:r>
        <w:t>“consistency check pending”, when the check has not yet been finalized;</w:t>
      </w:r>
    </w:p>
    <w:p w14:paraId="3997DA43" w14:textId="77777777" w:rsidR="003670E8" w:rsidRDefault="003670E8" w:rsidP="003C28AB">
      <w:pPr>
        <w:pStyle w:val="RegSingleTxtG2"/>
        <w:numPr>
          <w:ilvl w:val="6"/>
          <w:numId w:val="31"/>
        </w:numPr>
        <w:tabs>
          <w:tab w:val="clear" w:pos="1418"/>
          <w:tab w:val="num" w:pos="1702"/>
        </w:tabs>
        <w:ind w:left="1134"/>
      </w:pPr>
      <w:r>
        <w:t>“consistency check finalized without inconsistencies”, when the check has been finalized and no inconsistencies have been identified;</w:t>
      </w:r>
    </w:p>
    <w:p w14:paraId="119CFC55" w14:textId="77777777" w:rsidR="003670E8" w:rsidRDefault="003670E8" w:rsidP="003C28AB">
      <w:pPr>
        <w:pStyle w:val="RegSingleTxtG2"/>
        <w:numPr>
          <w:ilvl w:val="6"/>
          <w:numId w:val="31"/>
        </w:numPr>
        <w:tabs>
          <w:tab w:val="clear" w:pos="1418"/>
          <w:tab w:val="num" w:pos="1702"/>
        </w:tabs>
        <w:ind w:left="1134"/>
      </w:pPr>
      <w:r>
        <w:t>“consistency check finalized with inconsistencies”, when the check has been finalized and at least one inconsistency has been identified but none of the identified inconsistencies are significant or persistent;</w:t>
      </w:r>
    </w:p>
    <w:p w14:paraId="4E890100" w14:textId="77777777" w:rsidR="003670E8" w:rsidRDefault="003670E8" w:rsidP="003C28AB">
      <w:pPr>
        <w:pStyle w:val="RegSingleTxtG2"/>
        <w:numPr>
          <w:ilvl w:val="6"/>
          <w:numId w:val="31"/>
        </w:numPr>
        <w:tabs>
          <w:tab w:val="clear" w:pos="1418"/>
          <w:tab w:val="num" w:pos="1702"/>
        </w:tabs>
        <w:ind w:left="1134"/>
      </w:pPr>
      <w:r>
        <w:t>“consistency check finalized and significant inconsistencies identified”, when the check has been finalized and at least one significant inconsistency has been identified but none of the significant inconsistencies are also identified as persistent;</w:t>
      </w:r>
    </w:p>
    <w:p w14:paraId="78F838B6" w14:textId="77777777" w:rsidR="003670E8" w:rsidRDefault="003670E8" w:rsidP="003C28AB">
      <w:pPr>
        <w:pStyle w:val="RegSingleTxtG2"/>
        <w:numPr>
          <w:ilvl w:val="6"/>
          <w:numId w:val="31"/>
        </w:numPr>
        <w:tabs>
          <w:tab w:val="clear" w:pos="1418"/>
          <w:tab w:val="num" w:pos="1702"/>
        </w:tabs>
        <w:ind w:left="1134"/>
      </w:pPr>
      <w:r>
        <w:t>“consistency check finalized and persistent inconsistencies identified”, when the check has been finalized and at least one persistent inconsistency has been identified but none of the persistent inconsistencies are also identified as significant;</w:t>
      </w:r>
    </w:p>
    <w:p w14:paraId="65A4848B" w14:textId="77777777" w:rsidR="003670E8" w:rsidRDefault="003670E8" w:rsidP="003C28AB">
      <w:pPr>
        <w:pStyle w:val="RegSingleTxtG2"/>
        <w:numPr>
          <w:ilvl w:val="6"/>
          <w:numId w:val="31"/>
        </w:numPr>
        <w:tabs>
          <w:tab w:val="clear" w:pos="1418"/>
          <w:tab w:val="num" w:pos="1702"/>
        </w:tabs>
        <w:ind w:left="1134"/>
      </w:pPr>
      <w:r>
        <w:t>“consistency check finalized and significant inconsistencies and persistent inconsistencies identified”, when the report has been published and at least one persistent inconsistency and at least one significant inconsistency has been identified but the persistent inconsistencies pertain to different matters than the significant inconsistencies;</w:t>
      </w:r>
    </w:p>
    <w:p w14:paraId="737DAE05" w14:textId="77777777" w:rsidR="003670E8" w:rsidRDefault="003670E8" w:rsidP="003C28AB">
      <w:pPr>
        <w:pStyle w:val="RegSingleTxtG2"/>
        <w:numPr>
          <w:ilvl w:val="6"/>
          <w:numId w:val="31"/>
        </w:numPr>
        <w:tabs>
          <w:tab w:val="clear" w:pos="1418"/>
          <w:tab w:val="num" w:pos="1702"/>
        </w:tabs>
        <w:ind w:left="1134"/>
      </w:pPr>
      <w:r>
        <w:t>“consistency check finalized and consistencies identified that are both significant and persistent”, when the check has been finalized and at least one inconsistency has been identified as persistent and significant;</w:t>
      </w:r>
    </w:p>
    <w:p w14:paraId="3789FABD" w14:textId="77777777" w:rsidR="003670E8" w:rsidRDefault="003670E8" w:rsidP="003670E8">
      <w:pPr>
        <w:numPr>
          <w:ilvl w:val="5"/>
          <w:numId w:val="9"/>
        </w:numPr>
        <w:tabs>
          <w:tab w:val="left" w:pos="1701"/>
        </w:tabs>
        <w:spacing w:after="120"/>
        <w:ind w:left="1134" w:right="1134"/>
        <w:jc w:val="both"/>
      </w:pPr>
      <w:r>
        <w:rPr>
          <w:i/>
          <w:iCs/>
        </w:rPr>
        <w:t xml:space="preserve">Further </w:t>
      </w:r>
      <w:r w:rsidRPr="0026350C">
        <w:rPr>
          <w:i/>
          <w:iCs/>
        </w:rPr>
        <w:t>d</w:t>
      </w:r>
      <w:r w:rsidRPr="00DC26FE">
        <w:rPr>
          <w:i/>
          <w:iCs/>
        </w:rPr>
        <w:t>ecides</w:t>
      </w:r>
      <w:r w:rsidRPr="000E3EA0">
        <w:t xml:space="preserve"> that for each inconsistency identified and flagged pursuant to paragraph </w:t>
      </w:r>
      <w:r>
        <w:t>122</w:t>
      </w:r>
      <w:r w:rsidRPr="000E3EA0">
        <w:t xml:space="preserve"> or </w:t>
      </w:r>
      <w:r>
        <w:t>123</w:t>
      </w:r>
      <w:r w:rsidRPr="000E3EA0">
        <w:t xml:space="preserve"> above the Secretariat shall record the date when the inconsistency was identified, in which document (the </w:t>
      </w:r>
      <w:r>
        <w:t>initial report</w:t>
      </w:r>
      <w:r w:rsidRPr="000E3EA0">
        <w:t xml:space="preserve">, </w:t>
      </w:r>
      <w:r>
        <w:t>updated initial report</w:t>
      </w:r>
      <w:r w:rsidRPr="000E3EA0">
        <w:t xml:space="preserve">, </w:t>
      </w:r>
      <w:r>
        <w:t>agreed electronic format</w:t>
      </w:r>
      <w:r w:rsidRPr="000E3EA0">
        <w:t xml:space="preserve"> or </w:t>
      </w:r>
      <w:r>
        <w:t>regular information report</w:t>
      </w:r>
      <w:r w:rsidRPr="000E3EA0">
        <w:t>) the inconsistency was identified, as well as any non-responsiveness in relation to a persistent and significant inconsistency</w:t>
      </w:r>
      <w:r>
        <w:t>;</w:t>
      </w:r>
    </w:p>
    <w:p w14:paraId="4365077E" w14:textId="77777777" w:rsidR="003670E8" w:rsidRDefault="003670E8" w:rsidP="003670E8">
      <w:pPr>
        <w:numPr>
          <w:ilvl w:val="5"/>
          <w:numId w:val="9"/>
        </w:numPr>
        <w:tabs>
          <w:tab w:val="left" w:pos="1701"/>
        </w:tabs>
        <w:spacing w:after="120"/>
        <w:ind w:left="1134" w:right="1134"/>
        <w:jc w:val="both"/>
      </w:pPr>
      <w:r w:rsidRPr="00DC26FE">
        <w:rPr>
          <w:i/>
        </w:rPr>
        <w:t>Decides</w:t>
      </w:r>
      <w:r w:rsidRPr="000F5831">
        <w:t xml:space="preserve"> that an inconsistency shall be identified and flagged as “significant” when it corresponds to at least one of the following cases</w:t>
      </w:r>
      <w:r>
        <w:t>:</w:t>
      </w:r>
    </w:p>
    <w:p w14:paraId="15DD36A8" w14:textId="77777777" w:rsidR="003670E8" w:rsidRDefault="003670E8" w:rsidP="003C28AB">
      <w:pPr>
        <w:pStyle w:val="RegSingleTxtG2"/>
        <w:numPr>
          <w:ilvl w:val="6"/>
          <w:numId w:val="32"/>
        </w:numPr>
        <w:tabs>
          <w:tab w:val="clear" w:pos="1418"/>
          <w:tab w:val="num" w:pos="1702"/>
        </w:tabs>
        <w:ind w:left="1134"/>
      </w:pPr>
      <w:r>
        <w:t>Inconsistency identified during the consistency check and that poses a risk of double counting;</w:t>
      </w:r>
    </w:p>
    <w:p w14:paraId="62868240" w14:textId="77777777" w:rsidR="003670E8" w:rsidRDefault="003670E8" w:rsidP="003C28AB">
      <w:pPr>
        <w:pStyle w:val="RegSingleTxtG2"/>
        <w:numPr>
          <w:ilvl w:val="6"/>
          <w:numId w:val="32"/>
        </w:numPr>
        <w:tabs>
          <w:tab w:val="clear" w:pos="1418"/>
          <w:tab w:val="num" w:pos="1702"/>
        </w:tabs>
        <w:ind w:left="1134"/>
      </w:pPr>
      <w:r>
        <w:t>Inconsistency identified during a review referred to in decision 6/CMA.4, annex II, paragraph 11 that has been identified as significant by the Article 6 lead reviewers, or that poses a risk of double counting, or that poses risks to ensuring that participation in cooperative approaches does not lead to a net increase in emissions across participating Parties within and between NDC implementation periods;</w:t>
      </w:r>
    </w:p>
    <w:p w14:paraId="5D3FCC6E" w14:textId="77777777" w:rsidR="003670E8" w:rsidRPr="00875F46" w:rsidRDefault="003670E8" w:rsidP="003C28AB">
      <w:pPr>
        <w:pStyle w:val="RegSingleTxtG2"/>
        <w:numPr>
          <w:ilvl w:val="6"/>
          <w:numId w:val="32"/>
        </w:numPr>
        <w:tabs>
          <w:tab w:val="clear" w:pos="1418"/>
          <w:tab w:val="num" w:pos="1702"/>
        </w:tabs>
        <w:ind w:left="1134"/>
      </w:pPr>
      <w:r>
        <w:t xml:space="preserve">Inconsistency between the initial report or updated initial report and the </w:t>
      </w:r>
      <w:r w:rsidRPr="00875F46">
        <w:t>Article 6.2 guidance and relevant decisions of the CMA;</w:t>
      </w:r>
    </w:p>
    <w:p w14:paraId="73928979" w14:textId="77777777" w:rsidR="003670E8" w:rsidRDefault="003670E8" w:rsidP="003C28AB">
      <w:pPr>
        <w:pStyle w:val="RegSingleTxtG2"/>
        <w:numPr>
          <w:ilvl w:val="6"/>
          <w:numId w:val="32"/>
        </w:numPr>
        <w:tabs>
          <w:tab w:val="clear" w:pos="1418"/>
          <w:tab w:val="num" w:pos="1702"/>
        </w:tabs>
        <w:ind w:left="1134"/>
      </w:pPr>
      <w:r>
        <w:t>Inconsistency between at least two sources of information, including initial reports, annual information and regular information, provided by Parties participating in the same cooperative approach, including but not limited to the definition of first transfer, the approach taken as regards accounting or registries, the arrangements for changes and revocations, the arrangements for sharing responsibility for addressing and accounting potentials reversals, the proposed use of internationally transferred mitigation outcomes and the corresponding first transfer or corresponding adjustment;</w:t>
      </w:r>
    </w:p>
    <w:p w14:paraId="57B0EE47" w14:textId="77777777" w:rsidR="003670E8" w:rsidRDefault="003670E8" w:rsidP="003C28AB">
      <w:pPr>
        <w:pStyle w:val="RegSingleTxtG2"/>
        <w:numPr>
          <w:ilvl w:val="6"/>
          <w:numId w:val="32"/>
        </w:numPr>
        <w:tabs>
          <w:tab w:val="clear" w:pos="1418"/>
          <w:tab w:val="num" w:pos="1702"/>
        </w:tabs>
        <w:ind w:left="1134"/>
      </w:pPr>
      <w:r>
        <w:lastRenderedPageBreak/>
        <w:t>Absence of a report or source of information required to support a subsequent report or source of information;</w:t>
      </w:r>
    </w:p>
    <w:p w14:paraId="39B1F56E" w14:textId="77777777" w:rsidR="003670E8" w:rsidRDefault="003670E8" w:rsidP="003670E8">
      <w:pPr>
        <w:numPr>
          <w:ilvl w:val="5"/>
          <w:numId w:val="9"/>
        </w:numPr>
        <w:tabs>
          <w:tab w:val="left" w:pos="1701"/>
        </w:tabs>
        <w:spacing w:after="120"/>
        <w:ind w:left="1134" w:right="1134"/>
        <w:jc w:val="both"/>
      </w:pPr>
      <w:r>
        <w:rPr>
          <w:i/>
          <w:iCs/>
        </w:rPr>
        <w:t>D</w:t>
      </w:r>
      <w:r w:rsidRPr="00DC26FE">
        <w:rPr>
          <w:i/>
          <w:iCs/>
        </w:rPr>
        <w:t>ecides</w:t>
      </w:r>
      <w:r w:rsidRPr="0026350C">
        <w:t xml:space="preserve"> that an inconsistency shall be identified and flagged as persistent when it is unresolved by the time of the next submission of information as per decision 2/CMA.3, annex, chapter IV (Reporting)</w:t>
      </w:r>
      <w:r>
        <w:t>;</w:t>
      </w:r>
    </w:p>
    <w:p w14:paraId="7B215C6B" w14:textId="77777777" w:rsidR="003670E8" w:rsidRPr="00C80273" w:rsidRDefault="003670E8" w:rsidP="003670E8">
      <w:pPr>
        <w:pStyle w:val="RegH1G"/>
        <w:numPr>
          <w:ilvl w:val="1"/>
          <w:numId w:val="8"/>
        </w:numPr>
      </w:pPr>
      <w:r w:rsidRPr="00C80273">
        <w:t>Remediation of inconsistencies</w:t>
      </w:r>
    </w:p>
    <w:p w14:paraId="49E35E72" w14:textId="77777777" w:rsidR="003670E8" w:rsidRDefault="003670E8" w:rsidP="003670E8">
      <w:pPr>
        <w:numPr>
          <w:ilvl w:val="5"/>
          <w:numId w:val="9"/>
        </w:numPr>
        <w:tabs>
          <w:tab w:val="left" w:pos="1701"/>
        </w:tabs>
        <w:spacing w:after="120"/>
        <w:ind w:left="1134" w:right="1134"/>
        <w:jc w:val="both"/>
      </w:pPr>
      <w:r>
        <w:rPr>
          <w:i/>
          <w:iCs/>
        </w:rPr>
        <w:t>D</w:t>
      </w:r>
      <w:r w:rsidRPr="00DC26FE">
        <w:rPr>
          <w:i/>
          <w:iCs/>
        </w:rPr>
        <w:t>ecides</w:t>
      </w:r>
      <w:r w:rsidRPr="00A56788">
        <w:t xml:space="preserve"> that in the case of a unilateral cooperative approach, any inconsistencies shall be notified to the authorised entities</w:t>
      </w:r>
      <w:r>
        <w:t>,</w:t>
      </w:r>
      <w:r w:rsidRPr="00A56788">
        <w:t xml:space="preserve"> </w:t>
      </w:r>
      <w:r>
        <w:t>t</w:t>
      </w:r>
      <w:r w:rsidRPr="00A56788">
        <w:t>he authorised entity shall describe the measures being taken to resolve the inconsistencies before the next submission of information</w:t>
      </w:r>
      <w:r>
        <w:t>;</w:t>
      </w:r>
    </w:p>
    <w:p w14:paraId="32AB12B5" w14:textId="77777777" w:rsidR="003670E8" w:rsidRDefault="003670E8" w:rsidP="003670E8">
      <w:pPr>
        <w:numPr>
          <w:ilvl w:val="5"/>
          <w:numId w:val="9"/>
        </w:numPr>
        <w:tabs>
          <w:tab w:val="left" w:pos="1701"/>
        </w:tabs>
        <w:spacing w:after="120"/>
        <w:ind w:left="1134" w:right="1134"/>
        <w:jc w:val="both"/>
      </w:pPr>
      <w:r>
        <w:rPr>
          <w:i/>
          <w:iCs/>
        </w:rPr>
        <w:t>Also d</w:t>
      </w:r>
      <w:r w:rsidRPr="00DC26FE">
        <w:rPr>
          <w:i/>
          <w:iCs/>
        </w:rPr>
        <w:t>ecides</w:t>
      </w:r>
      <w:r w:rsidRPr="00946F84">
        <w:t xml:space="preserve"> that, where a “significant” or “persistent” inconsistency is identified</w:t>
      </w:r>
      <w:r>
        <w:t>:</w:t>
      </w:r>
    </w:p>
    <w:p w14:paraId="67F974AE" w14:textId="77777777" w:rsidR="003670E8" w:rsidRDefault="003670E8" w:rsidP="003C28AB">
      <w:pPr>
        <w:pStyle w:val="RegSingleTxtG2"/>
        <w:numPr>
          <w:ilvl w:val="6"/>
          <w:numId w:val="34"/>
        </w:numPr>
        <w:tabs>
          <w:tab w:val="clear" w:pos="1418"/>
          <w:tab w:val="num" w:pos="1702"/>
        </w:tabs>
        <w:ind w:left="1134"/>
      </w:pPr>
      <w:r>
        <w:t>The inconsistency shall be highlighted in up-front section of the relevant Article 6 technical expert review report for dedicated consideration by the Article 13 review team;</w:t>
      </w:r>
    </w:p>
    <w:p w14:paraId="67FE29A0" w14:textId="77777777" w:rsidR="003670E8" w:rsidRDefault="003670E8" w:rsidP="003C28AB">
      <w:pPr>
        <w:pStyle w:val="RegSingleTxtG2"/>
        <w:numPr>
          <w:ilvl w:val="6"/>
          <w:numId w:val="34"/>
        </w:numPr>
        <w:tabs>
          <w:tab w:val="clear" w:pos="1418"/>
          <w:tab w:val="num" w:pos="1702"/>
        </w:tabs>
        <w:ind w:left="1134"/>
      </w:pPr>
      <w:r>
        <w:t xml:space="preserve">It will be explicitly notified to the CMA for awareness in the secretariat’s annual report; </w:t>
      </w:r>
    </w:p>
    <w:p w14:paraId="1C8FC6FA" w14:textId="77777777" w:rsidR="003670E8" w:rsidRDefault="003670E8" w:rsidP="003C28AB">
      <w:pPr>
        <w:pStyle w:val="RegSingleTxtG2"/>
        <w:numPr>
          <w:ilvl w:val="6"/>
          <w:numId w:val="34"/>
        </w:numPr>
        <w:tabs>
          <w:tab w:val="clear" w:pos="1418"/>
          <w:tab w:val="num" w:pos="1702"/>
        </w:tabs>
        <w:ind w:left="1134"/>
      </w:pPr>
      <w:r>
        <w:t>The secretariat shall give public notice to the Parties and authorised entities participating in the cooperative approach;</w:t>
      </w:r>
    </w:p>
    <w:p w14:paraId="52D13538" w14:textId="77777777" w:rsidR="003670E8" w:rsidRDefault="003670E8" w:rsidP="003C28AB">
      <w:pPr>
        <w:pStyle w:val="RegSingleTxtG2"/>
        <w:numPr>
          <w:ilvl w:val="6"/>
          <w:numId w:val="34"/>
        </w:numPr>
        <w:tabs>
          <w:tab w:val="clear" w:pos="1418"/>
          <w:tab w:val="num" w:pos="1702"/>
        </w:tabs>
        <w:ind w:left="1134"/>
      </w:pPr>
      <w:r>
        <w:t>Any annual information submitted pursuant to decision 2/CMA.3, annex, paragraph 20 can be submitted for the purpose of resolving inconsistencies, but shall not be recorded in the article 6 database until the inconsistencies have been resolved;</w:t>
      </w:r>
    </w:p>
    <w:p w14:paraId="3EF37B5D" w14:textId="77777777" w:rsidR="003670E8" w:rsidRDefault="003670E8" w:rsidP="003670E8">
      <w:pPr>
        <w:numPr>
          <w:ilvl w:val="5"/>
          <w:numId w:val="9"/>
        </w:numPr>
        <w:tabs>
          <w:tab w:val="left" w:pos="1701"/>
        </w:tabs>
        <w:spacing w:after="120"/>
        <w:ind w:left="1134" w:right="1134"/>
        <w:jc w:val="both"/>
      </w:pPr>
      <w:r w:rsidRPr="00C97CD0">
        <w:rPr>
          <w:i/>
          <w:iCs/>
        </w:rPr>
        <w:t>Further</w:t>
      </w:r>
      <w:r w:rsidRPr="00DC26FE">
        <w:rPr>
          <w:i/>
          <w:iCs/>
        </w:rPr>
        <w:t xml:space="preserve"> decides</w:t>
      </w:r>
      <w:r w:rsidRPr="00207083">
        <w:t xml:space="preserve"> that the secretariat shall notify the PAICC (20/CMA.1, annex, paragraph 22b) when any significant and persistent inconsistencies are identified</w:t>
      </w:r>
      <w:r>
        <w:t>;</w:t>
      </w:r>
    </w:p>
    <w:p w14:paraId="1DD06658" w14:textId="77777777" w:rsidR="003670E8" w:rsidRDefault="003670E8" w:rsidP="003670E8">
      <w:pPr>
        <w:numPr>
          <w:ilvl w:val="5"/>
          <w:numId w:val="9"/>
        </w:numPr>
        <w:tabs>
          <w:tab w:val="left" w:pos="1701"/>
        </w:tabs>
        <w:spacing w:after="120"/>
        <w:ind w:left="1134" w:right="1134"/>
        <w:jc w:val="both"/>
      </w:pPr>
      <w:r>
        <w:rPr>
          <w:i/>
          <w:iCs/>
        </w:rPr>
        <w:t>D</w:t>
      </w:r>
      <w:r w:rsidRPr="00DC26FE">
        <w:rPr>
          <w:i/>
          <w:iCs/>
        </w:rPr>
        <w:t>ecides</w:t>
      </w:r>
      <w:r w:rsidRPr="00982697">
        <w:t xml:space="preserve"> that, where the consistency check has identified a significant and/or persistent inconsistency or where the Article 6 lead reviewers have identified a significant and/or persistent inconsistency</w:t>
      </w:r>
      <w:r>
        <w:t>:</w:t>
      </w:r>
    </w:p>
    <w:p w14:paraId="5EF3035A" w14:textId="77777777" w:rsidR="003670E8" w:rsidRDefault="003670E8" w:rsidP="003C28AB">
      <w:pPr>
        <w:pStyle w:val="RegSingleTxtG2"/>
        <w:numPr>
          <w:ilvl w:val="6"/>
          <w:numId w:val="33"/>
        </w:numPr>
        <w:tabs>
          <w:tab w:val="clear" w:pos="1418"/>
          <w:tab w:val="num" w:pos="1702"/>
        </w:tabs>
        <w:ind w:left="1134"/>
      </w:pPr>
      <w:r>
        <w:t xml:space="preserve">A Party [shall][should] not use the internationally transferred mitigation outcomes related to that inconsistency towards the achievement of its </w:t>
      </w:r>
      <w:r w:rsidRPr="00B3645B">
        <w:t>nationally determined contribution</w:t>
      </w:r>
      <w:r>
        <w:t>;</w:t>
      </w:r>
    </w:p>
    <w:p w14:paraId="2BD4752E" w14:textId="77777777" w:rsidR="003670E8" w:rsidRDefault="003670E8" w:rsidP="003C28AB">
      <w:pPr>
        <w:pStyle w:val="RegSingleTxtG2"/>
        <w:numPr>
          <w:ilvl w:val="6"/>
          <w:numId w:val="33"/>
        </w:numPr>
        <w:tabs>
          <w:tab w:val="clear" w:pos="1418"/>
          <w:tab w:val="num" w:pos="1702"/>
        </w:tabs>
        <w:ind w:left="1134"/>
      </w:pPr>
      <w:r>
        <w:t xml:space="preserve">A Party, when assessing whether it has achieved its </w:t>
      </w:r>
      <w:r w:rsidRPr="00B3645B">
        <w:t>nationally determined contribution</w:t>
      </w:r>
      <w:r>
        <w:t xml:space="preserve"> pursuant to paragraphs 70 and 77 of decision 18/CMA.1, [shall][should] not apply corresponding adjustment for the internationally transferred mitigation outcomes related to that inconsistency;</w:t>
      </w:r>
    </w:p>
    <w:p w14:paraId="10A02541" w14:textId="77777777" w:rsidR="003670E8" w:rsidRPr="00FE37D4" w:rsidRDefault="003670E8" w:rsidP="003C28AB">
      <w:pPr>
        <w:pStyle w:val="RegSingleTxtG2"/>
        <w:numPr>
          <w:ilvl w:val="6"/>
          <w:numId w:val="33"/>
        </w:numPr>
        <w:tabs>
          <w:tab w:val="clear" w:pos="1418"/>
          <w:tab w:val="num" w:pos="1702"/>
        </w:tabs>
        <w:ind w:left="1134"/>
      </w:pPr>
      <w:r>
        <w:t>A Party or authorised entity [shall][should] not use the internationally transferred mitigation outcomes related to that inconsistency for other international mitigation purposes;</w:t>
      </w:r>
      <w:r w:rsidRPr="00625A69">
        <w:t>]</w:t>
      </w:r>
    </w:p>
    <w:p w14:paraId="6AC1E349" w14:textId="77777777" w:rsidR="003670E8" w:rsidRPr="003F5D00" w:rsidRDefault="003670E8" w:rsidP="003670E8">
      <w:pPr>
        <w:keepNext/>
        <w:keepLines/>
        <w:numPr>
          <w:ilvl w:val="0"/>
          <w:numId w:val="1"/>
        </w:numPr>
        <w:tabs>
          <w:tab w:val="left" w:pos="1701"/>
        </w:tabs>
        <w:spacing w:before="360" w:after="240" w:line="300" w:lineRule="exact"/>
        <w:ind w:right="1134"/>
        <w:rPr>
          <w:b/>
          <w:bCs/>
          <w:sz w:val="28"/>
          <w:szCs w:val="28"/>
        </w:rPr>
      </w:pPr>
      <w:r w:rsidRPr="003F5D00">
        <w:rPr>
          <w:b/>
          <w:bCs/>
          <w:sz w:val="28"/>
          <w:szCs w:val="28"/>
        </w:rPr>
        <w:t xml:space="preserve">Special circumstances of the least developed countries and small island developing States </w:t>
      </w:r>
    </w:p>
    <w:p w14:paraId="2B395BF6" w14:textId="77777777" w:rsidR="003670E8" w:rsidRPr="00677E16" w:rsidRDefault="003670E8" w:rsidP="003670E8">
      <w:pPr>
        <w:tabs>
          <w:tab w:val="left" w:pos="1701"/>
        </w:tabs>
        <w:spacing w:after="120"/>
        <w:ind w:left="1135" w:right="1134"/>
        <w:jc w:val="both"/>
        <w:rPr>
          <w:b/>
        </w:rPr>
      </w:pPr>
      <w:r w:rsidRPr="00677E16">
        <w:rPr>
          <w:b/>
        </w:rPr>
        <w:t>Option 1</w:t>
      </w:r>
    </w:p>
    <w:p w14:paraId="5289AA2F" w14:textId="77777777" w:rsidR="003670E8" w:rsidRDefault="003670E8" w:rsidP="003670E8">
      <w:pPr>
        <w:numPr>
          <w:ilvl w:val="5"/>
          <w:numId w:val="9"/>
        </w:numPr>
        <w:tabs>
          <w:tab w:val="left" w:pos="1701"/>
        </w:tabs>
        <w:spacing w:after="120"/>
        <w:ind w:left="1134" w:right="1134"/>
        <w:jc w:val="both"/>
      </w:pPr>
      <w:r>
        <w:t>[</w:t>
      </w:r>
      <w:r w:rsidRPr="00C80273">
        <w:rPr>
          <w:i/>
          <w:iCs/>
        </w:rPr>
        <w:t>Reiterates</w:t>
      </w:r>
      <w:r>
        <w:t xml:space="preserve"> decision 2/CMA.3, paragraph 12(c), which requested the secretariat to design and, following consultation with Parties, implement a capacity-building programme to assist the least developed countries and small island developing states in meeting the participation requirements as set out in decision 2/CMA. 3, chapter II of the annex (Participation);] </w:t>
      </w:r>
    </w:p>
    <w:p w14:paraId="0652A14C"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Decides </w:t>
      </w:r>
      <w:r w:rsidRPr="00677E16">
        <w:t xml:space="preserve">to consider the special circumstances of the least developed countries and small island developing States in the context of Article 6, paragraph 2, without prejudice to decisions already adopted on the matter, at each of its sessions, including as part of the review </w:t>
      </w:r>
      <w:r w:rsidRPr="00677E16">
        <w:lastRenderedPageBreak/>
        <w:t>of the guidance on cooperative approaches</w:t>
      </w:r>
      <w:r w:rsidRPr="00677E16">
        <w:rPr>
          <w:rFonts w:eastAsia="Times New Roman"/>
          <w:lang w:eastAsia="en-GB"/>
        </w:rPr>
        <w:t xml:space="preserve"> and the </w:t>
      </w:r>
      <w:r w:rsidRPr="00677E16">
        <w:t>development of recommendations thereon</w:t>
      </w:r>
      <w:r w:rsidRPr="00677E16">
        <w:rPr>
          <w:rStyle w:val="FootnoteReference"/>
        </w:rPr>
        <w:footnoteReference w:id="10"/>
      </w:r>
      <w:r w:rsidRPr="00677E16">
        <w:t xml:space="preserve"> for consideration at its tenth session (2028);</w:t>
      </w:r>
    </w:p>
    <w:p w14:paraId="2B029A61" w14:textId="77777777" w:rsidR="003670E8" w:rsidRPr="00677E16" w:rsidRDefault="003670E8" w:rsidP="003670E8">
      <w:pPr>
        <w:tabs>
          <w:tab w:val="left" w:pos="1701"/>
        </w:tabs>
        <w:spacing w:after="120"/>
        <w:ind w:left="1135" w:right="1134"/>
        <w:jc w:val="both"/>
        <w:rPr>
          <w:b/>
        </w:rPr>
      </w:pPr>
      <w:r w:rsidRPr="00677E16">
        <w:rPr>
          <w:b/>
        </w:rPr>
        <w:t>Option 2</w:t>
      </w:r>
    </w:p>
    <w:p w14:paraId="1DE956CE" w14:textId="77777777" w:rsidR="003670E8" w:rsidRPr="00677E16" w:rsidRDefault="003670E8" w:rsidP="003670E8">
      <w:pPr>
        <w:numPr>
          <w:ilvl w:val="5"/>
          <w:numId w:val="9"/>
        </w:numPr>
        <w:tabs>
          <w:tab w:val="left" w:pos="1701"/>
        </w:tabs>
        <w:spacing w:after="120"/>
        <w:ind w:left="1134" w:right="1134"/>
        <w:jc w:val="both"/>
      </w:pPr>
      <w:r w:rsidRPr="00677E16">
        <w:rPr>
          <w:rFonts w:eastAsia="Arial"/>
          <w:i/>
        </w:rPr>
        <w:t xml:space="preserve">Recalls </w:t>
      </w:r>
      <w:r w:rsidRPr="00677E16">
        <w:rPr>
          <w:rFonts w:eastAsia="Arial"/>
          <w:iCs/>
        </w:rPr>
        <w:t>decision 2/CMA.3, annex, paragraph 5, which states that</w:t>
      </w:r>
      <w:r w:rsidRPr="00677E16">
        <w:rPr>
          <w:rFonts w:eastAsia="Arial"/>
        </w:rPr>
        <w:t xml:space="preserve"> the special circumstances of least developed countries and small island developing States shall be recognized where this guidance relates to NDCs, and other aspects of their special circumstances may be recognized in further decisions of the CMA;</w:t>
      </w:r>
    </w:p>
    <w:p w14:paraId="1BB3CEF7" w14:textId="77777777" w:rsidR="003670E8" w:rsidRPr="00677E16" w:rsidRDefault="003670E8" w:rsidP="003670E8">
      <w:pPr>
        <w:numPr>
          <w:ilvl w:val="5"/>
          <w:numId w:val="9"/>
        </w:numPr>
        <w:tabs>
          <w:tab w:val="left" w:pos="1701"/>
        </w:tabs>
        <w:spacing w:after="120"/>
        <w:ind w:left="1134" w:right="1134"/>
        <w:jc w:val="both"/>
      </w:pPr>
      <w:r w:rsidRPr="00677E16">
        <w:rPr>
          <w:i/>
          <w:iCs/>
        </w:rPr>
        <w:t>Resolves</w:t>
      </w:r>
      <w:r w:rsidRPr="00677E16">
        <w:t xml:space="preserve"> to continue consideration at its tenth session (2028) of the special circumstances of the least developed countries and small island developing States in the context of Article 6, paragraph 2, without prejudice to decisions already adopted on the matter;</w:t>
      </w:r>
    </w:p>
    <w:p w14:paraId="5C17A110" w14:textId="77777777" w:rsidR="003670E8" w:rsidRDefault="003670E8" w:rsidP="003670E8">
      <w:pPr>
        <w:numPr>
          <w:ilvl w:val="5"/>
          <w:numId w:val="9"/>
        </w:numPr>
        <w:tabs>
          <w:tab w:val="left" w:pos="1701"/>
        </w:tabs>
        <w:spacing w:after="120"/>
        <w:ind w:left="1134" w:right="1134"/>
        <w:jc w:val="both"/>
      </w:pPr>
      <w:r w:rsidRPr="005B089A">
        <w:t xml:space="preserve">[Notwithstanding </w:t>
      </w:r>
      <w:r w:rsidRPr="007C4622">
        <w:t xml:space="preserve">the paragraph </w:t>
      </w:r>
      <w:r w:rsidRPr="00DE197F">
        <w:t>134 above,</w:t>
      </w:r>
      <w:r w:rsidRPr="005B089A">
        <w:t xml:space="preserve"> CMA may consider the special circumstances of the least developed countries and small island developing States </w:t>
      </w:r>
      <w:r>
        <w:t>in the context of Article 6, paragraph 2 prior to</w:t>
      </w:r>
      <w:r w:rsidRPr="005B089A">
        <w:t xml:space="preserve"> its tenth session </w:t>
      </w:r>
      <w:r>
        <w:t xml:space="preserve">in </w:t>
      </w:r>
      <w:r w:rsidRPr="005B089A">
        <w:t>2028</w:t>
      </w:r>
      <w:r>
        <w:t>, as deemed appropriate;]</w:t>
      </w:r>
    </w:p>
    <w:p w14:paraId="118AB9A8" w14:textId="77777777" w:rsidR="003670E8" w:rsidRPr="003F5D00"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3F5D00">
        <w:rPr>
          <w:b/>
          <w:bCs/>
          <w:sz w:val="28"/>
          <w:szCs w:val="28"/>
        </w:rPr>
        <w:t>[Additional functionalities and procedures for the international registry] [Further guidance relating to tracking]</w:t>
      </w:r>
    </w:p>
    <w:p w14:paraId="12012984" w14:textId="77777777" w:rsidR="003670E8" w:rsidRPr="00EA6D56" w:rsidRDefault="003670E8" w:rsidP="003670E8">
      <w:pPr>
        <w:numPr>
          <w:ilvl w:val="5"/>
          <w:numId w:val="9"/>
        </w:numPr>
        <w:tabs>
          <w:tab w:val="left" w:pos="1701"/>
        </w:tabs>
        <w:spacing w:after="120"/>
        <w:ind w:left="1134" w:right="1134"/>
        <w:jc w:val="both"/>
        <w:rPr>
          <w:b/>
        </w:rPr>
      </w:pPr>
      <w:r>
        <w:rPr>
          <w:b/>
        </w:rPr>
        <w:t>[</w:t>
      </w:r>
      <w:r w:rsidRPr="00840119">
        <w:rPr>
          <w:i/>
        </w:rPr>
        <w:t>Confirms</w:t>
      </w:r>
      <w:r w:rsidRPr="00840119">
        <w:t xml:space="preserve"> that authorisation of </w:t>
      </w:r>
      <w:r>
        <w:t xml:space="preserve">specific </w:t>
      </w:r>
      <w:r w:rsidRPr="00840119">
        <w:t>ITMO</w:t>
      </w:r>
      <w:r>
        <w:t>s</w:t>
      </w:r>
      <w:r w:rsidRPr="00840119">
        <w:t xml:space="preserve"> in accordance with the copy of the authorisation referred to in decision 2/CMA.3, annex, paragraph 18(g), is </w:t>
      </w:r>
      <w:r>
        <w:t>finalized</w:t>
      </w:r>
      <w:r w:rsidRPr="00840119">
        <w:t xml:space="preserve">, at the latest, upon recording of these amounts in the </w:t>
      </w:r>
      <w:r>
        <w:t xml:space="preserve">Party </w:t>
      </w:r>
      <w:r w:rsidRPr="00840119">
        <w:t xml:space="preserve">registry, or the Party-specific section of the international registry of the first transferring Party, and contains </w:t>
      </w:r>
      <w:r w:rsidRPr="00C54CA0">
        <w:t>reference to the serial number of the underlying units</w:t>
      </w:r>
      <w:r>
        <w:t>;]</w:t>
      </w:r>
    </w:p>
    <w:p w14:paraId="51A26B5E" w14:textId="77777777" w:rsidR="003670E8" w:rsidRDefault="003670E8" w:rsidP="003670E8">
      <w:pPr>
        <w:pStyle w:val="RegH1G"/>
        <w:numPr>
          <w:ilvl w:val="1"/>
          <w:numId w:val="8"/>
        </w:numPr>
        <w:rPr>
          <w:b w:val="0"/>
        </w:rPr>
      </w:pPr>
      <w:r w:rsidRPr="002E3E4B">
        <w:rPr>
          <w:bCs/>
        </w:rPr>
        <w:t>Interoperability</w:t>
      </w:r>
    </w:p>
    <w:p w14:paraId="5EFDDAC0" w14:textId="77777777" w:rsidR="003670E8" w:rsidRPr="00677E16" w:rsidRDefault="003670E8" w:rsidP="003670E8">
      <w:pPr>
        <w:tabs>
          <w:tab w:val="left" w:pos="1701"/>
        </w:tabs>
        <w:spacing w:after="120"/>
        <w:ind w:left="1135" w:right="1134"/>
        <w:jc w:val="both"/>
        <w:rPr>
          <w:b/>
        </w:rPr>
      </w:pPr>
      <w:r w:rsidRPr="00677E16">
        <w:rPr>
          <w:b/>
        </w:rPr>
        <w:t>Option 1: {</w:t>
      </w:r>
      <w:r w:rsidRPr="00677E16">
        <w:rPr>
          <w:b/>
          <w:i/>
          <w:iCs/>
        </w:rPr>
        <w:t>transfers of ITMOs between registries</w:t>
      </w:r>
      <w:r w:rsidRPr="00677E16">
        <w:rPr>
          <w:b/>
        </w:rPr>
        <w:t>}</w:t>
      </w:r>
    </w:p>
    <w:p w14:paraId="4BBDDD47" w14:textId="77777777" w:rsidR="003670E8" w:rsidRPr="00677E16" w:rsidRDefault="003670E8" w:rsidP="003670E8">
      <w:pPr>
        <w:tabs>
          <w:tab w:val="left" w:pos="1701"/>
        </w:tabs>
        <w:spacing w:after="120"/>
        <w:ind w:left="1135" w:right="1134"/>
        <w:jc w:val="both"/>
        <w:rPr>
          <w:b/>
          <w:bCs/>
        </w:rPr>
      </w:pPr>
      <w:r w:rsidRPr="00677E16">
        <w:tab/>
      </w:r>
      <w:r w:rsidRPr="00677E16">
        <w:rPr>
          <w:b/>
          <w:bCs/>
        </w:rPr>
        <w:t>Option A</w:t>
      </w:r>
    </w:p>
    <w:p w14:paraId="4DDECB5A" w14:textId="77777777" w:rsidR="003670E8" w:rsidRPr="00677E16" w:rsidRDefault="003670E8" w:rsidP="003670E8">
      <w:pPr>
        <w:numPr>
          <w:ilvl w:val="5"/>
          <w:numId w:val="9"/>
        </w:numPr>
        <w:tabs>
          <w:tab w:val="left" w:pos="1701"/>
        </w:tabs>
        <w:spacing w:after="120"/>
        <w:ind w:left="1134" w:right="1134"/>
        <w:jc w:val="both"/>
      </w:pPr>
      <w:r w:rsidRPr="00677E16">
        <w:rPr>
          <w:i/>
          <w:iCs/>
        </w:rPr>
        <w:t>Recalls</w:t>
      </w:r>
      <w:r w:rsidRPr="00677E16">
        <w:t xml:space="preserve"> decision 6/CMA.4, annex I, paragraphs 9, 10 and 23, regarding the interoperability of participating Party registries and the connection of the Article 6, paragraph 4, mechanism registry to the international registry;</w:t>
      </w:r>
    </w:p>
    <w:p w14:paraId="772C1E5F"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in addition to enabling the ability to pull and view </w:t>
      </w:r>
      <w:r w:rsidRPr="00677E16">
        <w:rPr>
          <w:rFonts w:asciiTheme="majorBidi" w:eastAsia="Times New Roman" w:hAnsiTheme="majorBidi" w:cstheme="majorBidi"/>
        </w:rPr>
        <w:t>data and information</w:t>
      </w:r>
      <w:r w:rsidRPr="00677E16">
        <w:rPr>
          <w:rFonts w:eastAsia="Times New Roman" w:cstheme="majorBidi"/>
          <w:sz w:val="18"/>
          <w:vertAlign w:val="superscript"/>
        </w:rPr>
        <w:footnoteReference w:id="11"/>
      </w:r>
      <w:r w:rsidRPr="00677E16">
        <w:rPr>
          <w:rFonts w:asciiTheme="majorBidi" w:eastAsia="Times New Roman" w:hAnsiTheme="majorBidi" w:cstheme="majorBidi"/>
        </w:rPr>
        <w:t xml:space="preserve"> on holdings and the action history of authorized Article 6, paragraph 4, emission reductions, </w:t>
      </w:r>
      <w:r w:rsidRPr="00677E16">
        <w:t xml:space="preserve">the </w:t>
      </w:r>
      <w:r w:rsidRPr="00677E16">
        <w:rPr>
          <w:rFonts w:asciiTheme="majorBidi" w:eastAsia="Times New Roman" w:hAnsiTheme="majorBidi" w:cstheme="majorBidi"/>
        </w:rPr>
        <w:t xml:space="preserve">connection between the international registry and the </w:t>
      </w:r>
      <w:r w:rsidRPr="00677E16">
        <w:t xml:space="preserve">Article 6, paragraph 4, </w:t>
      </w:r>
      <w:r w:rsidRPr="00677E16">
        <w:rPr>
          <w:rFonts w:asciiTheme="majorBidi" w:eastAsia="Times New Roman" w:hAnsiTheme="majorBidi" w:cstheme="majorBidi"/>
        </w:rPr>
        <w:t>mechanism registry shall enable the transfer of</w:t>
      </w:r>
      <w:r w:rsidRPr="00677E16">
        <w:t xml:space="preserve"> [</w:t>
      </w:r>
      <w:r w:rsidRPr="00677E16">
        <w:rPr>
          <w:rFonts w:asciiTheme="majorBidi" w:eastAsia="Times New Roman" w:hAnsiTheme="majorBidi" w:cstheme="majorBidi"/>
        </w:rPr>
        <w:t xml:space="preserve">authorized Article 6, paragraph 4, emission reductions][all ITMOs (including authorized Article 6, paragraph 4, emission reductions)]  (being </w:t>
      </w:r>
      <w:r w:rsidRPr="00677E16">
        <w:t>internationally transferred mitigation outcomes</w:t>
      </w:r>
      <w:r w:rsidRPr="00677E16">
        <w:rPr>
          <w:rFonts w:asciiTheme="majorBidi" w:eastAsia="Times New Roman" w:hAnsiTheme="majorBidi" w:cstheme="majorBidi"/>
        </w:rPr>
        <w:t xml:space="preserve"> pursuant to decision 2/CMA.3[, annex, paragraph 1(g),] [and decision 18/CMA.1]) from </w:t>
      </w:r>
      <w:r w:rsidRPr="00677E16">
        <w:t xml:space="preserve">Article 6, paragraph 4, </w:t>
      </w:r>
      <w:r w:rsidRPr="00677E16">
        <w:rPr>
          <w:rFonts w:asciiTheme="majorBidi" w:eastAsia="Times New Roman" w:hAnsiTheme="majorBidi" w:cstheme="majorBidi"/>
        </w:rPr>
        <w:t xml:space="preserve">mechanism registry accounts to [the relevant [national][participating Party] registry or to] accounts within the </w:t>
      </w:r>
      <w:r w:rsidRPr="00677E16">
        <w:t>Party-specific sections of the international registry [where applicable]</w:t>
      </w:r>
      <w:r>
        <w:t xml:space="preserve"> [</w:t>
      </w:r>
      <w:r w:rsidRPr="001B13A4">
        <w:rPr>
          <w:rFonts w:asciiTheme="majorBidi" w:eastAsia="Times New Roman" w:hAnsiTheme="majorBidi" w:cstheme="majorBidi"/>
        </w:rPr>
        <w:t>once the Article 6, paragraph 2 review process is finalized]</w:t>
      </w:r>
      <w:r w:rsidRPr="00677E16">
        <w:rPr>
          <w:rFonts w:asciiTheme="majorBidi" w:eastAsia="Times New Roman" w:hAnsiTheme="majorBidi" w:cstheme="majorBidi"/>
        </w:rPr>
        <w:t>;</w:t>
      </w:r>
    </w:p>
    <w:p w14:paraId="72962B2E" w14:textId="77777777" w:rsidR="003670E8" w:rsidRPr="00677E16" w:rsidRDefault="003670E8" w:rsidP="003670E8">
      <w:pPr>
        <w:keepNext/>
        <w:tabs>
          <w:tab w:val="left" w:pos="1701"/>
        </w:tabs>
        <w:spacing w:after="120"/>
        <w:ind w:left="1134" w:right="1134"/>
        <w:jc w:val="both"/>
        <w:rPr>
          <w:b/>
          <w:bCs/>
        </w:rPr>
      </w:pPr>
      <w:r w:rsidRPr="00677E16">
        <w:rPr>
          <w:b/>
          <w:bCs/>
        </w:rPr>
        <w:tab/>
      </w:r>
      <w:r w:rsidRPr="00677E16">
        <w:rPr>
          <w:b/>
        </w:rPr>
        <w:t xml:space="preserve">Option </w:t>
      </w:r>
      <w:r w:rsidRPr="00677E16">
        <w:rPr>
          <w:b/>
          <w:bCs/>
        </w:rPr>
        <w:t>B</w:t>
      </w:r>
    </w:p>
    <w:p w14:paraId="0603698B" w14:textId="77777777" w:rsidR="003670E8" w:rsidRPr="00677E16" w:rsidRDefault="003670E8" w:rsidP="003670E8">
      <w:pPr>
        <w:numPr>
          <w:ilvl w:val="5"/>
          <w:numId w:val="9"/>
        </w:numPr>
        <w:tabs>
          <w:tab w:val="left" w:pos="1701"/>
        </w:tabs>
        <w:spacing w:after="120"/>
        <w:ind w:left="1134" w:right="1134"/>
        <w:jc w:val="both"/>
      </w:pPr>
      <w:r w:rsidRPr="00677E16">
        <w:rPr>
          <w:i/>
          <w:iCs/>
        </w:rPr>
        <w:t>Recalls</w:t>
      </w:r>
      <w:r w:rsidRPr="00677E16">
        <w:t xml:space="preserve"> decision 6/CMA.4, annex I, paragraph 23, which states that the mechanism registry shall be connected to the international registry referred to in decision 2/CMA.3, annex, paragraph 30, and that the connection shall, at a minimum, enable the functions referred to in decision 6/CMA.4, annex I, paragraphs 9–10;</w:t>
      </w:r>
    </w:p>
    <w:p w14:paraId="4BF4A747" w14:textId="77777777" w:rsidR="003670E8" w:rsidRPr="00677E16" w:rsidRDefault="003670E8" w:rsidP="003670E8">
      <w:pPr>
        <w:numPr>
          <w:ilvl w:val="5"/>
          <w:numId w:val="9"/>
        </w:numPr>
        <w:tabs>
          <w:tab w:val="left" w:pos="1701"/>
        </w:tabs>
        <w:spacing w:after="120"/>
        <w:ind w:left="1134" w:right="1134"/>
        <w:jc w:val="both"/>
      </w:pPr>
      <w:r w:rsidRPr="00677E16">
        <w:rPr>
          <w:i/>
          <w:iCs/>
        </w:rPr>
        <w:t>Clarifies</w:t>
      </w:r>
      <w:r w:rsidRPr="00677E16">
        <w:t xml:space="preserve"> that the Article 6.4 mechanism registry connection to the international </w:t>
      </w:r>
      <w:r w:rsidRPr="001B13A4">
        <w:t>registry</w:t>
      </w:r>
      <w:r w:rsidRPr="00677E16">
        <w:t xml:space="preserve"> shall enable the ability to pull and view data and information on holdings and the </w:t>
      </w:r>
      <w:r w:rsidRPr="00677E16">
        <w:lastRenderedPageBreak/>
        <w:t>action history of authorized A6.4ERs and on the transfer of authorized A6.4ERs (internationally transferred mitigation outcomes) to the international registry, consistent with the interoperability arrangements applicable to all registries described in decision 6/CMA.4, annex I, chapter I.B (Interoperability), and other relevant future decisions of the CMA;</w:t>
      </w:r>
    </w:p>
    <w:p w14:paraId="03C227F6" w14:textId="77777777" w:rsidR="003670E8" w:rsidRPr="00677E16" w:rsidRDefault="003670E8" w:rsidP="003670E8">
      <w:pPr>
        <w:numPr>
          <w:ilvl w:val="5"/>
          <w:numId w:val="9"/>
        </w:numPr>
        <w:tabs>
          <w:tab w:val="left" w:pos="1701"/>
        </w:tabs>
        <w:spacing w:after="120"/>
        <w:ind w:left="1134" w:right="1134"/>
        <w:jc w:val="both"/>
      </w:pPr>
      <w:r>
        <w:rPr>
          <w:i/>
          <w:iCs/>
        </w:rPr>
        <w:t>[</w:t>
      </w:r>
      <w:r w:rsidRPr="00677E16">
        <w:rPr>
          <w:i/>
          <w:iCs/>
        </w:rPr>
        <w:t>Decides</w:t>
      </w:r>
      <w:r w:rsidRPr="00677E16">
        <w:t xml:space="preserve"> that participating Party registries referred to in decision 2/CMA.3, annex paragraph 29, may voluntarily connect to the Article 6.4 mechanism registry, and the connection shall enable the transfer of authorized A6.4ERs, consistent with decision 6/CMA.4, annex I, chapter I.B (Interoperability), paragraphs 9–10</w:t>
      </w:r>
      <w:r>
        <w:t xml:space="preserve"> [while ensuring avoidance of double counting consistent with paragraph 18, Annex I of decision 6/CMA4]</w:t>
      </w:r>
      <w:r w:rsidRPr="00677E16">
        <w:t>, and the ability to pull and view data and information on holdings and the action history of authorized A6.4ERs;</w:t>
      </w:r>
      <w:r>
        <w:t>]</w:t>
      </w:r>
    </w:p>
    <w:p w14:paraId="4A83C1B0" w14:textId="77777777" w:rsidR="003670E8" w:rsidRPr="00554B16" w:rsidRDefault="003670E8" w:rsidP="003670E8">
      <w:pPr>
        <w:keepNext/>
        <w:tabs>
          <w:tab w:val="left" w:pos="1701"/>
        </w:tabs>
        <w:spacing w:after="120"/>
        <w:ind w:left="1134" w:right="1134"/>
        <w:jc w:val="both"/>
        <w:rPr>
          <w:b/>
          <w:lang w:val="en-US"/>
        </w:rPr>
      </w:pPr>
      <w:r w:rsidRPr="00677E16">
        <w:rPr>
          <w:b/>
        </w:rPr>
        <w:t>Option 2: {</w:t>
      </w:r>
      <w:r w:rsidRPr="00677E16">
        <w:rPr>
          <w:b/>
          <w:i/>
          <w:iCs/>
        </w:rPr>
        <w:t>extension of the international registry that functions as part of the Article 6, paragraph 4. mechanism registry</w:t>
      </w:r>
      <w:r w:rsidRPr="00677E16">
        <w:rPr>
          <w:b/>
        </w:rPr>
        <w:t>}</w:t>
      </w:r>
    </w:p>
    <w:p w14:paraId="3BAA550E" w14:textId="77777777" w:rsidR="003670E8" w:rsidRPr="00554B16" w:rsidRDefault="003670E8" w:rsidP="003670E8">
      <w:pPr>
        <w:numPr>
          <w:ilvl w:val="5"/>
          <w:numId w:val="9"/>
        </w:numPr>
        <w:tabs>
          <w:tab w:val="left" w:pos="1701"/>
        </w:tabs>
        <w:spacing w:after="120"/>
        <w:ind w:left="1134" w:right="1134"/>
        <w:jc w:val="both"/>
      </w:pPr>
      <w:r w:rsidRPr="00554B16">
        <w:rPr>
          <w:i/>
        </w:rPr>
        <w:t>Recalls</w:t>
      </w:r>
      <w:r w:rsidRPr="00554B16">
        <w:t xml:space="preserve"> decision 2/CMA3, annex, paragraph 29</w:t>
      </w:r>
      <w:r>
        <w:t>;</w:t>
      </w:r>
    </w:p>
    <w:p w14:paraId="108DC4F1" w14:textId="77777777" w:rsidR="003670E8" w:rsidRPr="00677E16" w:rsidRDefault="003670E8" w:rsidP="003670E8">
      <w:pPr>
        <w:numPr>
          <w:ilvl w:val="5"/>
          <w:numId w:val="9"/>
        </w:numPr>
        <w:tabs>
          <w:tab w:val="left" w:pos="1701"/>
        </w:tabs>
        <w:spacing w:after="120"/>
        <w:ind w:left="1134" w:right="1134"/>
        <w:jc w:val="both"/>
      </w:pPr>
      <w:r>
        <w:rPr>
          <w:i/>
          <w:iCs/>
        </w:rPr>
        <w:t>Further r</w:t>
      </w:r>
      <w:r w:rsidRPr="00677E16">
        <w:rPr>
          <w:i/>
          <w:iCs/>
        </w:rPr>
        <w:t>ecalls</w:t>
      </w:r>
      <w:r w:rsidRPr="00677E16">
        <w:t xml:space="preserve"> decision 6/CMA.4, annex I, paragraphs 9, 10</w:t>
      </w:r>
      <w:r>
        <w:t>, 18, 23</w:t>
      </w:r>
      <w:r w:rsidRPr="00677E16">
        <w:t xml:space="preserve"> and 2</w:t>
      </w:r>
      <w:r>
        <w:t>4</w:t>
      </w:r>
      <w:r w:rsidRPr="00677E16">
        <w:t xml:space="preserve">, and decision 7/CMA.4, annex I, paragraph 49, regarding the interoperability of participating Party registries and the connection of the Article 6, paragraph 4, mechanism registry to the international registry; </w:t>
      </w:r>
    </w:p>
    <w:p w14:paraId="29C916A3"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in addition to enabling the ability to pull and view data and information  on holdings and the action history of authorized Article 6, paragraph 4, emission reductions, the connection between the international registry and the Article 6, paragraph 4, mechanism registry shall enable the transfer of authorized Article 6, paragraph 4, emission reductions (being internationally transferred mitigation outcomes pursuant to decision 2/CMA.3, annex, paragraph 1(g)) from Article 6, paragraph 4, mechanism registry accounts to a Party-specific extension of the international registry that functions as part of the Article 6, paragraph 4. mechanism registry, which shall support the acquisition, holding, transfer and cancellation or retirement of authorized Article 6, paragraph 4, emission reductions for Parties that request such services and in accordance with the operations and procedures of the Article 6, paragraph 4, mechanism registry, including for Party authorization of account access;</w:t>
      </w:r>
    </w:p>
    <w:p w14:paraId="227630D3" w14:textId="77777777" w:rsidR="003670E8" w:rsidRPr="00677E16" w:rsidRDefault="003670E8" w:rsidP="003670E8">
      <w:pPr>
        <w:keepNext/>
        <w:tabs>
          <w:tab w:val="left" w:pos="1701"/>
        </w:tabs>
        <w:spacing w:after="120"/>
        <w:ind w:left="1134" w:right="1134"/>
        <w:jc w:val="both"/>
      </w:pPr>
      <w:r w:rsidRPr="00677E16">
        <w:rPr>
          <w:b/>
        </w:rPr>
        <w:t>Option</w:t>
      </w:r>
      <w:r w:rsidRPr="00677E16">
        <w:t xml:space="preserve"> </w:t>
      </w:r>
      <w:r w:rsidRPr="00677E16">
        <w:rPr>
          <w:b/>
          <w:bCs/>
        </w:rPr>
        <w:t>3: {</w:t>
      </w:r>
      <w:r w:rsidRPr="00677E16">
        <w:rPr>
          <w:b/>
          <w:i/>
        </w:rPr>
        <w:t xml:space="preserve">no </w:t>
      </w:r>
      <w:r w:rsidRPr="00677E16">
        <w:rPr>
          <w:b/>
          <w:bCs/>
          <w:i/>
          <w:iCs/>
        </w:rPr>
        <w:t>transfers</w:t>
      </w:r>
      <w:r w:rsidRPr="00677E16">
        <w:rPr>
          <w:b/>
          <w:bCs/>
        </w:rPr>
        <w:t>}</w:t>
      </w:r>
    </w:p>
    <w:p w14:paraId="2B3BDEAD" w14:textId="77777777" w:rsidR="003670E8" w:rsidRPr="00677E16" w:rsidRDefault="003670E8" w:rsidP="003670E8">
      <w:pPr>
        <w:numPr>
          <w:ilvl w:val="5"/>
          <w:numId w:val="9"/>
        </w:numPr>
        <w:tabs>
          <w:tab w:val="left" w:pos="1701"/>
        </w:tabs>
        <w:spacing w:after="120"/>
        <w:ind w:left="1134" w:right="1134"/>
        <w:jc w:val="both"/>
      </w:pPr>
      <w:r w:rsidRPr="00677E16">
        <w:rPr>
          <w:i/>
          <w:iCs/>
        </w:rPr>
        <w:t>Decides</w:t>
      </w:r>
      <w:r w:rsidRPr="00677E16">
        <w:t xml:space="preserve"> that the international registry will enable the ability to pull and view and no transfer of Article 6, paragraph 4, emission reductions or additional functionalities;</w:t>
      </w:r>
    </w:p>
    <w:p w14:paraId="32DA6C63" w14:textId="77777777" w:rsidR="003670E8" w:rsidRDefault="003670E8" w:rsidP="003670E8">
      <w:pPr>
        <w:tabs>
          <w:tab w:val="left" w:pos="1701"/>
        </w:tabs>
        <w:spacing w:after="120"/>
        <w:ind w:left="1135" w:right="1134"/>
        <w:jc w:val="both"/>
        <w:rPr>
          <w:sz w:val="22"/>
          <w:szCs w:val="22"/>
        </w:rPr>
      </w:pPr>
      <w:r w:rsidRPr="00677E16">
        <w:rPr>
          <w:b/>
          <w:bCs/>
        </w:rPr>
        <w:t xml:space="preserve">Option </w:t>
      </w:r>
      <w:r w:rsidRPr="00B73BD4">
        <w:rPr>
          <w:b/>
          <w:bCs/>
        </w:rPr>
        <w:t>4</w:t>
      </w:r>
      <w:r w:rsidRPr="00677E16">
        <w:t xml:space="preserve"> {</w:t>
      </w:r>
      <w:r w:rsidRPr="00677E16">
        <w:rPr>
          <w:i/>
          <w:iCs/>
        </w:rPr>
        <w:t>No text required</w:t>
      </w:r>
      <w:r w:rsidRPr="00677E16">
        <w:rPr>
          <w:sz w:val="22"/>
          <w:szCs w:val="22"/>
        </w:rPr>
        <w:t>}</w:t>
      </w:r>
    </w:p>
    <w:p w14:paraId="007CEE21" w14:textId="77777777" w:rsidR="003670E8" w:rsidRDefault="003670E8" w:rsidP="003670E8">
      <w:pPr>
        <w:pStyle w:val="RegH1G"/>
        <w:numPr>
          <w:ilvl w:val="1"/>
          <w:numId w:val="8"/>
        </w:numPr>
        <w:rPr>
          <w:b w:val="0"/>
        </w:rPr>
      </w:pPr>
      <w:r w:rsidRPr="008F7A3E">
        <w:rPr>
          <w:bCs/>
          <w:szCs w:val="24"/>
        </w:rPr>
        <w:t>Form, functions</w:t>
      </w:r>
      <w:r>
        <w:rPr>
          <w:bCs/>
          <w:szCs w:val="24"/>
        </w:rPr>
        <w:t xml:space="preserve">, </w:t>
      </w:r>
      <w:r w:rsidRPr="008F7A3E">
        <w:rPr>
          <w:bCs/>
          <w:szCs w:val="24"/>
        </w:rPr>
        <w:t>processes</w:t>
      </w:r>
      <w:r w:rsidRPr="008F7A3E">
        <w:rPr>
          <w:bCs/>
        </w:rPr>
        <w:t xml:space="preserve"> </w:t>
      </w:r>
      <w:r>
        <w:rPr>
          <w:bCs/>
        </w:rPr>
        <w:t>and additional functionality of the international registry</w:t>
      </w:r>
    </w:p>
    <w:p w14:paraId="41399A3A" w14:textId="77777777" w:rsidR="003670E8" w:rsidRPr="00036A38" w:rsidRDefault="003670E8" w:rsidP="003670E8">
      <w:pPr>
        <w:numPr>
          <w:ilvl w:val="5"/>
          <w:numId w:val="9"/>
        </w:numPr>
        <w:tabs>
          <w:tab w:val="left" w:pos="1701"/>
        </w:tabs>
        <w:spacing w:after="120"/>
        <w:ind w:left="1134" w:right="1134"/>
        <w:jc w:val="both"/>
      </w:pPr>
      <w:r w:rsidRPr="003845BD">
        <w:t>[</w:t>
      </w:r>
      <w:r w:rsidRPr="00036A38">
        <w:rPr>
          <w:i/>
          <w:iCs/>
        </w:rPr>
        <w:t>Recalls</w:t>
      </w:r>
      <w:r w:rsidRPr="00036A38">
        <w:t xml:space="preserve"> decision 6.CMA/4, Annex I.A, paragraph 1(e)</w:t>
      </w:r>
      <w:r>
        <w:t>;</w:t>
      </w:r>
    </w:p>
    <w:p w14:paraId="59DE885F" w14:textId="77777777" w:rsidR="003670E8" w:rsidRPr="00036A38" w:rsidRDefault="003670E8" w:rsidP="003670E8">
      <w:pPr>
        <w:numPr>
          <w:ilvl w:val="5"/>
          <w:numId w:val="9"/>
        </w:numPr>
        <w:tabs>
          <w:tab w:val="left" w:pos="1701"/>
        </w:tabs>
        <w:spacing w:after="120"/>
        <w:ind w:left="1134" w:right="1134"/>
        <w:jc w:val="both"/>
      </w:pPr>
      <w:r w:rsidRPr="00036A38">
        <w:rPr>
          <w:i/>
          <w:iCs/>
        </w:rPr>
        <w:t>Further recalls</w:t>
      </w:r>
      <w:r w:rsidRPr="00036A38">
        <w:t xml:space="preserve"> decision 6/CMA.4, annex 1, paragraph 11</w:t>
      </w:r>
      <w:r>
        <w:t>;</w:t>
      </w:r>
    </w:p>
    <w:p w14:paraId="49229487" w14:textId="77777777" w:rsidR="003670E8" w:rsidRPr="00036A38" w:rsidRDefault="003670E8" w:rsidP="003670E8">
      <w:pPr>
        <w:numPr>
          <w:ilvl w:val="5"/>
          <w:numId w:val="9"/>
        </w:numPr>
        <w:tabs>
          <w:tab w:val="left" w:pos="1701"/>
        </w:tabs>
        <w:spacing w:after="120"/>
        <w:ind w:left="1134" w:right="1134"/>
        <w:jc w:val="both"/>
      </w:pPr>
      <w:r w:rsidRPr="00036A38">
        <w:rPr>
          <w:i/>
          <w:iCs/>
        </w:rPr>
        <w:t>Also recalls</w:t>
      </w:r>
      <w:r w:rsidRPr="00036A38">
        <w:t xml:space="preserve"> decision 6/CMA.4, annex 1, paragraph 18</w:t>
      </w:r>
      <w:r>
        <w:t>;</w:t>
      </w:r>
    </w:p>
    <w:p w14:paraId="4EA8EE16" w14:textId="77777777" w:rsidR="003670E8" w:rsidRPr="00036A38" w:rsidRDefault="003670E8" w:rsidP="003670E8">
      <w:pPr>
        <w:numPr>
          <w:ilvl w:val="5"/>
          <w:numId w:val="9"/>
        </w:numPr>
        <w:tabs>
          <w:tab w:val="left" w:pos="1701"/>
        </w:tabs>
        <w:spacing w:after="120"/>
        <w:ind w:left="1134" w:right="1134"/>
        <w:jc w:val="both"/>
      </w:pPr>
      <w:r w:rsidRPr="00036A38">
        <w:rPr>
          <w:i/>
          <w:iCs/>
        </w:rPr>
        <w:t>Clarifies</w:t>
      </w:r>
      <w:r w:rsidRPr="00036A38">
        <w:t xml:space="preserve"> that each participating Party that uses the international registry shall nominate a designated registry administrator of participating Parties as referred decision 6/CMA.4 Annex I para 21</w:t>
      </w:r>
      <w:r>
        <w:t>;</w:t>
      </w:r>
    </w:p>
    <w:p w14:paraId="41C2A32D" w14:textId="77777777" w:rsidR="003670E8" w:rsidRPr="00036A38" w:rsidRDefault="003670E8" w:rsidP="003670E8">
      <w:pPr>
        <w:numPr>
          <w:ilvl w:val="5"/>
          <w:numId w:val="9"/>
        </w:numPr>
        <w:tabs>
          <w:tab w:val="left" w:pos="1701"/>
        </w:tabs>
        <w:spacing w:after="120"/>
        <w:ind w:left="1134" w:right="1134"/>
        <w:jc w:val="both"/>
      </w:pPr>
      <w:r w:rsidRPr="00036A38">
        <w:rPr>
          <w:i/>
          <w:iCs/>
        </w:rPr>
        <w:t>Clarifies</w:t>
      </w:r>
      <w:r w:rsidRPr="00036A38">
        <w:t xml:space="preserve"> that the international registry, consistent with decision 6/CMA.4, annex l</w:t>
      </w:r>
      <w:r>
        <w:t>,</w:t>
      </w:r>
      <w:r w:rsidRPr="00036A38">
        <w:t xml:space="preserve"> chapter I.A</w:t>
      </w:r>
      <w:r>
        <w:t xml:space="preserve">, </w:t>
      </w:r>
      <w:r w:rsidRPr="00036A38">
        <w:t>for the purpose of tracking, recording and transferring of the ITMOs shall, at a minimum, records the actions refer</w:t>
      </w:r>
      <w:r>
        <w:t>r</w:t>
      </w:r>
      <w:r w:rsidRPr="00036A38">
        <w:t>ed in:</w:t>
      </w:r>
    </w:p>
    <w:p w14:paraId="62FABF60" w14:textId="77777777" w:rsidR="003670E8" w:rsidRPr="00036A38" w:rsidRDefault="003670E8" w:rsidP="003C28AB">
      <w:pPr>
        <w:pStyle w:val="RegSingleTxtG3"/>
        <w:numPr>
          <w:ilvl w:val="6"/>
          <w:numId w:val="48"/>
        </w:numPr>
        <w:tabs>
          <w:tab w:val="clear" w:pos="1418"/>
          <w:tab w:val="left" w:pos="1701"/>
        </w:tabs>
        <w:ind w:left="1701" w:firstLine="0"/>
      </w:pPr>
      <w:r w:rsidRPr="00036A38">
        <w:t>Recording ITMOs</w:t>
      </w:r>
      <w:r>
        <w:t>;</w:t>
      </w:r>
    </w:p>
    <w:p w14:paraId="488CB166" w14:textId="77777777" w:rsidR="003670E8" w:rsidRPr="00036A38" w:rsidRDefault="003670E8" w:rsidP="003C28AB">
      <w:pPr>
        <w:pStyle w:val="RegSingleTxtG3"/>
        <w:numPr>
          <w:ilvl w:val="6"/>
          <w:numId w:val="48"/>
        </w:numPr>
        <w:tabs>
          <w:tab w:val="clear" w:pos="1418"/>
          <w:tab w:val="left" w:pos="1701"/>
        </w:tabs>
        <w:ind w:left="1701" w:firstLine="0"/>
      </w:pPr>
      <w:r w:rsidRPr="00036A38">
        <w:t>Authorization</w:t>
      </w:r>
      <w:r>
        <w:t>;</w:t>
      </w:r>
    </w:p>
    <w:p w14:paraId="587E62A1" w14:textId="77777777" w:rsidR="003670E8" w:rsidRPr="00036A38" w:rsidRDefault="003670E8" w:rsidP="003C28AB">
      <w:pPr>
        <w:pStyle w:val="RegSingleTxtG3"/>
        <w:numPr>
          <w:ilvl w:val="6"/>
          <w:numId w:val="48"/>
        </w:numPr>
        <w:tabs>
          <w:tab w:val="clear" w:pos="1418"/>
          <w:tab w:val="left" w:pos="1701"/>
        </w:tabs>
        <w:ind w:left="1701" w:firstLine="0"/>
      </w:pPr>
      <w:r w:rsidRPr="00036A38">
        <w:t>First transfer</w:t>
      </w:r>
      <w:r>
        <w:t>;</w:t>
      </w:r>
    </w:p>
    <w:p w14:paraId="039AACC2" w14:textId="77777777" w:rsidR="003670E8" w:rsidRPr="00036A38" w:rsidRDefault="003670E8" w:rsidP="003C28AB">
      <w:pPr>
        <w:pStyle w:val="RegSingleTxtG3"/>
        <w:numPr>
          <w:ilvl w:val="6"/>
          <w:numId w:val="48"/>
        </w:numPr>
        <w:tabs>
          <w:tab w:val="clear" w:pos="1418"/>
          <w:tab w:val="left" w:pos="1701"/>
        </w:tabs>
        <w:ind w:left="1701" w:firstLine="0"/>
      </w:pPr>
      <w:r w:rsidRPr="00036A38">
        <w:t>Transfer</w:t>
      </w:r>
      <w:r>
        <w:t>;</w:t>
      </w:r>
    </w:p>
    <w:p w14:paraId="5FE24207" w14:textId="77777777" w:rsidR="003670E8" w:rsidRPr="00036A38" w:rsidRDefault="003670E8" w:rsidP="003C28AB">
      <w:pPr>
        <w:pStyle w:val="RegSingleTxtG3"/>
        <w:numPr>
          <w:ilvl w:val="6"/>
          <w:numId w:val="48"/>
        </w:numPr>
        <w:tabs>
          <w:tab w:val="clear" w:pos="1418"/>
          <w:tab w:val="left" w:pos="1701"/>
        </w:tabs>
        <w:ind w:left="1701" w:firstLine="0"/>
      </w:pPr>
      <w:r w:rsidRPr="00036A38">
        <w:lastRenderedPageBreak/>
        <w:t>Acquisition</w:t>
      </w:r>
      <w:r>
        <w:t>;</w:t>
      </w:r>
      <w:r w:rsidRPr="00036A38">
        <w:t xml:space="preserve"> </w:t>
      </w:r>
    </w:p>
    <w:p w14:paraId="060BDF30" w14:textId="77777777" w:rsidR="003670E8" w:rsidRPr="00036A38" w:rsidRDefault="003670E8" w:rsidP="003C28AB">
      <w:pPr>
        <w:pStyle w:val="RegSingleTxtG3"/>
        <w:numPr>
          <w:ilvl w:val="6"/>
          <w:numId w:val="48"/>
        </w:numPr>
        <w:tabs>
          <w:tab w:val="clear" w:pos="1418"/>
          <w:tab w:val="left" w:pos="1701"/>
        </w:tabs>
        <w:ind w:left="1701" w:firstLine="0"/>
      </w:pPr>
      <w:r w:rsidRPr="00036A38">
        <w:t>Use towards NDC</w:t>
      </w:r>
      <w:r>
        <w:t>;</w:t>
      </w:r>
      <w:r w:rsidRPr="00036A38">
        <w:t xml:space="preserve"> </w:t>
      </w:r>
    </w:p>
    <w:p w14:paraId="107DE359" w14:textId="77777777" w:rsidR="003670E8" w:rsidRPr="00036A38" w:rsidRDefault="003670E8" w:rsidP="003C28AB">
      <w:pPr>
        <w:pStyle w:val="RegSingleTxtG3"/>
        <w:numPr>
          <w:ilvl w:val="6"/>
          <w:numId w:val="48"/>
        </w:numPr>
        <w:tabs>
          <w:tab w:val="clear" w:pos="1418"/>
          <w:tab w:val="left" w:pos="1701"/>
        </w:tabs>
        <w:ind w:left="1701" w:firstLine="0"/>
      </w:pPr>
      <w:r w:rsidRPr="00036A38">
        <w:t>Cancellation of authorized ITMOs used for other international mitigation purpose</w:t>
      </w:r>
      <w:r>
        <w:t>;</w:t>
      </w:r>
    </w:p>
    <w:p w14:paraId="48877591" w14:textId="77777777" w:rsidR="003670E8" w:rsidRPr="00036A38" w:rsidRDefault="003670E8" w:rsidP="003C28AB">
      <w:pPr>
        <w:pStyle w:val="RegSingleTxtG3"/>
        <w:numPr>
          <w:ilvl w:val="6"/>
          <w:numId w:val="48"/>
        </w:numPr>
        <w:tabs>
          <w:tab w:val="clear" w:pos="1418"/>
          <w:tab w:val="left" w:pos="1701"/>
        </w:tabs>
        <w:ind w:left="1701" w:firstLine="0"/>
      </w:pPr>
      <w:r w:rsidRPr="00036A38">
        <w:t>Administrative cancellation account</w:t>
      </w:r>
      <w:r>
        <w:t>;</w:t>
      </w:r>
      <w:r w:rsidRPr="00036A38">
        <w:t> </w:t>
      </w:r>
    </w:p>
    <w:p w14:paraId="0FB62A46" w14:textId="77777777" w:rsidR="003670E8" w:rsidRPr="00036A38" w:rsidRDefault="003670E8" w:rsidP="003C28AB">
      <w:pPr>
        <w:pStyle w:val="RegSingleTxtG3"/>
        <w:numPr>
          <w:ilvl w:val="6"/>
          <w:numId w:val="48"/>
        </w:numPr>
        <w:tabs>
          <w:tab w:val="clear" w:pos="1418"/>
          <w:tab w:val="left" w:pos="1701"/>
        </w:tabs>
        <w:ind w:left="1701" w:firstLine="0"/>
      </w:pPr>
      <w:r w:rsidRPr="00036A38">
        <w:t>Voluntary cancellation account</w:t>
      </w:r>
      <w:r>
        <w:t>;</w:t>
      </w:r>
      <w:r w:rsidRPr="000D3CFD">
        <w:t>]</w:t>
      </w:r>
    </w:p>
    <w:p w14:paraId="5A8076CD" w14:textId="77777777" w:rsidR="003670E8" w:rsidRPr="00990D29" w:rsidRDefault="003670E8" w:rsidP="003670E8">
      <w:pPr>
        <w:tabs>
          <w:tab w:val="left" w:pos="1701"/>
        </w:tabs>
        <w:spacing w:after="120"/>
        <w:ind w:left="1134" w:right="1134"/>
        <w:jc w:val="both"/>
        <w:rPr>
          <w:b/>
          <w:i/>
          <w:iCs/>
        </w:rPr>
      </w:pPr>
      <w:r w:rsidRPr="004F418D">
        <w:rPr>
          <w:b/>
        </w:rPr>
        <w:t xml:space="preserve">Option 1: </w:t>
      </w:r>
      <w:r>
        <w:rPr>
          <w:b/>
        </w:rPr>
        <w:t>{</w:t>
      </w:r>
      <w:r>
        <w:rPr>
          <w:b/>
          <w:i/>
          <w:iCs/>
        </w:rPr>
        <w:t>Additional service for issuance in pending registry and pulling and viewing until first transfer</w:t>
      </w:r>
      <w:r w:rsidRPr="000C20B7">
        <w:rPr>
          <w:b/>
        </w:rPr>
        <w:t>}</w:t>
      </w:r>
    </w:p>
    <w:p w14:paraId="0D5A793B" w14:textId="77777777" w:rsidR="003670E8" w:rsidRPr="00C935F6" w:rsidRDefault="003670E8" w:rsidP="003670E8">
      <w:pPr>
        <w:numPr>
          <w:ilvl w:val="5"/>
          <w:numId w:val="9"/>
        </w:numPr>
        <w:tabs>
          <w:tab w:val="left" w:pos="1701"/>
        </w:tabs>
        <w:spacing w:after="120"/>
        <w:ind w:left="1134" w:right="1134"/>
        <w:jc w:val="both"/>
        <w:rPr>
          <w:i/>
          <w:iCs/>
        </w:rPr>
      </w:pPr>
      <w:r w:rsidRPr="00A05296">
        <w:rPr>
          <w:i/>
          <w:iCs/>
        </w:rPr>
        <w:t>Decides</w:t>
      </w:r>
      <w:r>
        <w:t xml:space="preserve"> that the international registry may provide an additional service, for Parties that request it, of an isolated pending registry in which a Party may issue mitigation outcomes that in intends to, or has authorized prior but not yet first transferred;</w:t>
      </w:r>
    </w:p>
    <w:p w14:paraId="62E98F58" w14:textId="77777777" w:rsidR="003670E8" w:rsidRPr="00D02D42" w:rsidRDefault="003670E8" w:rsidP="003670E8">
      <w:pPr>
        <w:numPr>
          <w:ilvl w:val="5"/>
          <w:numId w:val="9"/>
        </w:numPr>
        <w:tabs>
          <w:tab w:val="left" w:pos="1701"/>
        </w:tabs>
        <w:spacing w:after="120"/>
        <w:ind w:left="1134" w:right="1134"/>
        <w:jc w:val="both"/>
        <w:rPr>
          <w:i/>
          <w:iCs/>
        </w:rPr>
      </w:pPr>
      <w:r>
        <w:rPr>
          <w:i/>
          <w:iCs/>
        </w:rPr>
        <w:t xml:space="preserve">Also decides </w:t>
      </w:r>
      <w:r w:rsidRPr="00CB4909">
        <w:t>that this</w:t>
      </w:r>
      <w:r>
        <w:t xml:space="preserve"> </w:t>
      </w:r>
      <w:r w:rsidRPr="00CB4909">
        <w:t>add</w:t>
      </w:r>
      <w:r>
        <w:t xml:space="preserve">itional service shall have </w:t>
      </w:r>
      <w:r w:rsidRPr="00D02D42">
        <w:t xml:space="preserve">interoperability arrangements </w:t>
      </w:r>
      <w:r>
        <w:t>with</w:t>
      </w:r>
      <w:r w:rsidRPr="00D02D42">
        <w:t xml:space="preserve"> the international registry specified in paragraph 24, annex I, decision 6/CMA.4 </w:t>
      </w:r>
      <w:r>
        <w:t>that</w:t>
      </w:r>
      <w:r w:rsidRPr="00D02D42">
        <w:t xml:space="preserve"> include the provision for pulling and viewing of data and information on holdings</w:t>
      </w:r>
      <w:r>
        <w:t>;</w:t>
      </w:r>
    </w:p>
    <w:p w14:paraId="352D04AD" w14:textId="77777777" w:rsidR="003670E8" w:rsidRDefault="003670E8" w:rsidP="003670E8">
      <w:pPr>
        <w:numPr>
          <w:ilvl w:val="5"/>
          <w:numId w:val="9"/>
        </w:numPr>
        <w:tabs>
          <w:tab w:val="left" w:pos="1701"/>
        </w:tabs>
        <w:spacing w:after="120"/>
        <w:ind w:left="1134" w:right="1134"/>
        <w:jc w:val="both"/>
        <w:rPr>
          <w:i/>
          <w:iCs/>
        </w:rPr>
      </w:pPr>
      <w:r>
        <w:rPr>
          <w:i/>
          <w:iCs/>
        </w:rPr>
        <w:t xml:space="preserve">Further decides </w:t>
      </w:r>
      <w:r w:rsidRPr="00D02D42">
        <w:t>that</w:t>
      </w:r>
      <w:r>
        <w:rPr>
          <w:i/>
          <w:iCs/>
        </w:rPr>
        <w:t xml:space="preserve"> </w:t>
      </w:r>
      <w:r w:rsidRPr="002C25C0">
        <w:t>authorised mitigation outcomes may be first transferred into the international registry,</w:t>
      </w:r>
      <w:r>
        <w:t xml:space="preserve"> and that once first transferred, all further actions referred to in decision 2/CMA.3, annex, paragraph 29 may be recorded in respect of those internationally transferred mitigation outcomes;</w:t>
      </w:r>
    </w:p>
    <w:p w14:paraId="1B19354B" w14:textId="77777777" w:rsidR="003670E8" w:rsidRPr="004F418D" w:rsidRDefault="003670E8" w:rsidP="003670E8">
      <w:pPr>
        <w:tabs>
          <w:tab w:val="left" w:pos="1701"/>
        </w:tabs>
        <w:spacing w:after="120"/>
        <w:ind w:left="1134" w:right="1134"/>
        <w:jc w:val="both"/>
        <w:rPr>
          <w:b/>
        </w:rPr>
      </w:pPr>
      <w:r w:rsidRPr="004F418D">
        <w:rPr>
          <w:b/>
        </w:rPr>
        <w:t xml:space="preserve">Option 2: </w:t>
      </w:r>
      <w:r>
        <w:rPr>
          <w:b/>
        </w:rPr>
        <w:t>{</w:t>
      </w:r>
      <w:r w:rsidRPr="003F5D00">
        <w:rPr>
          <w:b/>
          <w:i/>
          <w:iCs/>
        </w:rPr>
        <w:t>Additional capacity-building on registries</w:t>
      </w:r>
      <w:r>
        <w:rPr>
          <w:b/>
        </w:rPr>
        <w:t>}</w:t>
      </w:r>
    </w:p>
    <w:p w14:paraId="311E4CEC" w14:textId="77777777" w:rsidR="003670E8" w:rsidRPr="00481BE3" w:rsidRDefault="003670E8" w:rsidP="003670E8">
      <w:pPr>
        <w:tabs>
          <w:tab w:val="left" w:pos="1701"/>
        </w:tabs>
        <w:spacing w:after="120"/>
        <w:ind w:left="1134" w:right="1134"/>
        <w:jc w:val="both"/>
      </w:pPr>
      <w:r>
        <w:tab/>
      </w:r>
      <w:r w:rsidRPr="00840EC7">
        <w:rPr>
          <w:b/>
          <w:bCs/>
        </w:rPr>
        <w:t xml:space="preserve">Option </w:t>
      </w:r>
      <w:r>
        <w:rPr>
          <w:b/>
          <w:bCs/>
        </w:rPr>
        <w:t>A</w:t>
      </w:r>
      <w:r w:rsidRPr="00840EC7">
        <w:rPr>
          <w:b/>
          <w:bCs/>
        </w:rPr>
        <w:t>: {</w:t>
      </w:r>
      <w:r w:rsidRPr="00E00DC8">
        <w:rPr>
          <w:b/>
          <w:bCs/>
          <w:i/>
          <w:iCs/>
        </w:rPr>
        <w:t xml:space="preserve">No need for </w:t>
      </w:r>
      <w:r w:rsidRPr="00840EC7">
        <w:rPr>
          <w:b/>
          <w:bCs/>
          <w:i/>
          <w:iCs/>
        </w:rPr>
        <w:t>underlying cooperative approach registries</w:t>
      </w:r>
      <w:r w:rsidRPr="00840EC7">
        <w:rPr>
          <w:b/>
          <w:bCs/>
        </w:rPr>
        <w:t>}</w:t>
      </w:r>
    </w:p>
    <w:p w14:paraId="7279C8EE" w14:textId="77777777" w:rsidR="003670E8" w:rsidRPr="00481BE3" w:rsidRDefault="003670E8" w:rsidP="003670E8">
      <w:pPr>
        <w:numPr>
          <w:ilvl w:val="5"/>
          <w:numId w:val="9"/>
        </w:numPr>
        <w:tabs>
          <w:tab w:val="left" w:pos="1701"/>
        </w:tabs>
        <w:spacing w:after="120"/>
        <w:ind w:left="1134" w:right="1134"/>
        <w:jc w:val="both"/>
      </w:pPr>
      <w:r>
        <w:rPr>
          <w:i/>
          <w:iCs/>
        </w:rPr>
        <w:t xml:space="preserve">Confirms </w:t>
      </w:r>
      <w:r w:rsidRPr="004F418D">
        <w:t xml:space="preserve">that any Party participating in the international registry will not need to participate in </w:t>
      </w:r>
      <w:r>
        <w:t>underlying</w:t>
      </w:r>
      <w:r w:rsidRPr="004F418D">
        <w:t xml:space="preserve"> registry for engaging in a cooperative approach and that this Party can, besides from recording any other ITMO actions referred to in 2/CMA.3, annex I, paragraphs 29, record transfers of [ITMOs] [amounts of ITMOs] from or to another Party engaging in the cooperative approach or entity authorized by it through this international registry</w:t>
      </w:r>
      <w:r>
        <w:t>;</w:t>
      </w:r>
      <w:r w:rsidRPr="00D0306E">
        <w:rPr>
          <w:rFonts w:ascii="Calibri" w:hAnsi="Calibri" w:cs="Calibri"/>
          <w:sz w:val="22"/>
          <w:szCs w:val="22"/>
          <w:lang w:val="x-none"/>
        </w:rPr>
        <w:t>]</w:t>
      </w:r>
    </w:p>
    <w:p w14:paraId="451E5270" w14:textId="77777777" w:rsidR="003670E8" w:rsidRPr="00840EC7" w:rsidRDefault="003670E8" w:rsidP="003670E8">
      <w:pPr>
        <w:tabs>
          <w:tab w:val="left" w:pos="1701"/>
        </w:tabs>
        <w:spacing w:after="120"/>
        <w:ind w:left="1134" w:right="1134"/>
        <w:jc w:val="both"/>
        <w:rPr>
          <w:b/>
          <w:bCs/>
          <w:i/>
          <w:iCs/>
        </w:rPr>
      </w:pPr>
      <w:r w:rsidRPr="00840EC7">
        <w:rPr>
          <w:b/>
          <w:bCs/>
        </w:rPr>
        <w:t xml:space="preserve">Option </w:t>
      </w:r>
      <w:r>
        <w:rPr>
          <w:b/>
          <w:bCs/>
        </w:rPr>
        <w:t>B</w:t>
      </w:r>
      <w:r w:rsidRPr="00840EC7">
        <w:rPr>
          <w:b/>
          <w:bCs/>
        </w:rPr>
        <w:t>: {</w:t>
      </w:r>
      <w:r w:rsidRPr="00E00DC8">
        <w:rPr>
          <w:b/>
          <w:bCs/>
          <w:i/>
          <w:iCs/>
        </w:rPr>
        <w:t>U</w:t>
      </w:r>
      <w:r w:rsidRPr="00840EC7">
        <w:rPr>
          <w:b/>
          <w:bCs/>
          <w:i/>
          <w:iCs/>
        </w:rPr>
        <w:t>nderlying cooperative approach registries</w:t>
      </w:r>
      <w:r w:rsidRPr="00840EC7">
        <w:rPr>
          <w:b/>
          <w:bCs/>
        </w:rPr>
        <w:t>}</w:t>
      </w:r>
    </w:p>
    <w:p w14:paraId="374D75D2" w14:textId="77777777" w:rsidR="003670E8" w:rsidRDefault="003670E8" w:rsidP="003670E8">
      <w:pPr>
        <w:numPr>
          <w:ilvl w:val="5"/>
          <w:numId w:val="9"/>
        </w:numPr>
        <w:tabs>
          <w:tab w:val="left" w:pos="1701"/>
        </w:tabs>
        <w:spacing w:after="120"/>
        <w:ind w:left="1134" w:right="1134"/>
        <w:jc w:val="both"/>
      </w:pPr>
      <w:r w:rsidRPr="004F418D">
        <w:rPr>
          <w:i/>
        </w:rPr>
        <w:t>Requests</w:t>
      </w:r>
      <w:r w:rsidRPr="004F418D">
        <w:t xml:space="preserve"> the secretariat to take necessary steps to enable voluntary connections between the international registry and underlying cooperative approach registries, to allow for automated pulling and viewing of data and information on holdings and the action history of mitigation outcomes covered by authorization of the use of ITMOs under a relevant cooperative approach, for use by participating Parties that have a Party section in the international registry</w:t>
      </w:r>
      <w:r>
        <w:t>;</w:t>
      </w:r>
    </w:p>
    <w:p w14:paraId="31ADB8AE" w14:textId="77777777" w:rsidR="003670E8" w:rsidRDefault="003670E8" w:rsidP="003670E8">
      <w:pPr>
        <w:tabs>
          <w:tab w:val="left" w:pos="1701"/>
        </w:tabs>
        <w:spacing w:after="120"/>
        <w:ind w:left="1134" w:right="1134"/>
        <w:jc w:val="both"/>
      </w:pPr>
      <w:r>
        <w:rPr>
          <w:i/>
          <w:iCs/>
        </w:rPr>
        <w:t>{end of Option B}</w:t>
      </w:r>
    </w:p>
    <w:p w14:paraId="7092B84F" w14:textId="77777777" w:rsidR="003670E8" w:rsidRDefault="003670E8" w:rsidP="003670E8">
      <w:pPr>
        <w:numPr>
          <w:ilvl w:val="5"/>
          <w:numId w:val="9"/>
        </w:numPr>
        <w:tabs>
          <w:tab w:val="left" w:pos="1701"/>
        </w:tabs>
        <w:spacing w:after="120"/>
        <w:ind w:left="1134" w:right="1134"/>
        <w:jc w:val="both"/>
      </w:pPr>
      <w:r w:rsidRPr="00012D4C">
        <w:rPr>
          <w:i/>
          <w:iCs/>
        </w:rPr>
        <w:t xml:space="preserve">Requests </w:t>
      </w:r>
      <w:r w:rsidRPr="00AD62B3">
        <w:t>the secretariat in implementing the capacity-building programme referred to in decision 2/CMA.3, paragraph 12, programme, including through its regional collaboration centres, to assist Parties, particularly developing country Parties, intending to participate in cooperative approaches, in the identification and implementation of software resources to perform mechanism registry functions, if voluntarily requested by a participating Party, such as the issuance and transaction of mitigation outcomes as units under a national or bilateral mechanism</w:t>
      </w:r>
      <w:r>
        <w:t>;</w:t>
      </w:r>
    </w:p>
    <w:p w14:paraId="47B5AB61" w14:textId="77777777" w:rsidR="003670E8" w:rsidRPr="00C80273"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C80273">
        <w:rPr>
          <w:b/>
          <w:bCs/>
          <w:sz w:val="28"/>
          <w:szCs w:val="28"/>
        </w:rPr>
        <w:t>Work programme</w:t>
      </w:r>
    </w:p>
    <w:p w14:paraId="1F7C8BAC" w14:textId="77777777" w:rsidR="003670E8" w:rsidRPr="00677E16" w:rsidRDefault="003670E8" w:rsidP="003670E8">
      <w:pPr>
        <w:tabs>
          <w:tab w:val="left" w:pos="1701"/>
        </w:tabs>
        <w:spacing w:after="120"/>
        <w:ind w:left="1135" w:right="1134"/>
        <w:jc w:val="both"/>
        <w:rPr>
          <w:b/>
          <w:bCs/>
        </w:rPr>
      </w:pPr>
      <w:r w:rsidRPr="00677E16">
        <w:rPr>
          <w:b/>
          <w:bCs/>
        </w:rPr>
        <w:t>Option 1</w:t>
      </w:r>
    </w:p>
    <w:p w14:paraId="0806FA63" w14:textId="77777777" w:rsidR="003670E8" w:rsidRPr="00677E16" w:rsidRDefault="003670E8" w:rsidP="003670E8">
      <w:pPr>
        <w:numPr>
          <w:ilvl w:val="5"/>
          <w:numId w:val="9"/>
        </w:numPr>
        <w:tabs>
          <w:tab w:val="left" w:pos="1701"/>
        </w:tabs>
        <w:spacing w:after="120"/>
        <w:ind w:left="1134" w:right="1134"/>
        <w:jc w:val="both"/>
      </w:pPr>
      <w:r w:rsidRPr="00677E16">
        <w:rPr>
          <w:i/>
          <w:iCs/>
        </w:rPr>
        <w:t>Requests</w:t>
      </w:r>
      <w:r w:rsidRPr="00677E16">
        <w:t xml:space="preserve"> the Subsidiary Body for Scientific and Technological Advice to complete consideration of the need for additional guidance, if any, on the following remaining matters that were agreed for further work pursuant to decision 2/CMA.3, paragraph 3, with a view to making recommendations for consideration by the Conference of the Parties serving as the meeting of the Parties to the Paris Agreement at its seventh session (November 2025),  </w:t>
      </w:r>
      <w:r w:rsidRPr="00677E16">
        <w:lastRenderedPageBreak/>
        <w:t>elaboration of further guidance in relation to corresponding adjustments for multi-year and single-year nationally determined contributions, in a manner that ensures the avoidance of double counting, on:</w:t>
      </w:r>
    </w:p>
    <w:p w14:paraId="0EC06496" w14:textId="77777777" w:rsidR="003670E8" w:rsidRPr="00677E16" w:rsidRDefault="003670E8" w:rsidP="003670E8">
      <w:pPr>
        <w:numPr>
          <w:ilvl w:val="6"/>
          <w:numId w:val="10"/>
        </w:numPr>
        <w:spacing w:after="120"/>
        <w:ind w:right="1134"/>
        <w:jc w:val="both"/>
      </w:pPr>
      <w:r w:rsidRPr="00677E16">
        <w:t>Methods for establishing an indicative trajectory, trajectories or budget and for averaging, including with respect to relevant indicators, and for calculating cumulative emissions by sources and removals by sinks;</w:t>
      </w:r>
    </w:p>
    <w:p w14:paraId="05DF7FF3" w14:textId="77777777" w:rsidR="003670E8" w:rsidRPr="00677E16" w:rsidRDefault="003670E8" w:rsidP="003670E8">
      <w:pPr>
        <w:numPr>
          <w:ilvl w:val="6"/>
          <w:numId w:val="10"/>
        </w:numPr>
        <w:spacing w:after="120"/>
        <w:ind w:right="1134"/>
        <w:jc w:val="both"/>
      </w:pPr>
      <w:r w:rsidRPr="00677E16">
        <w:t>Methods for demonstrating the representativeness of averaging for corresponding adjustments by quantifying how much the yearly transaction volume differs from the average for the period;</w:t>
      </w:r>
    </w:p>
    <w:p w14:paraId="6A3C3C41"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Also requests</w:t>
      </w:r>
      <w:r w:rsidRPr="00677E16">
        <w:t xml:space="preserve"> the Subsidiary Body for Scientific and Technological Advice to consider the need for additional guidance on the application of decision 2/CMA 3, annex, paragraph 18(h)(iii), with a view to making recommendations for consideration by the Conference of the Parties serving as the meeting of the Parties to the Paris Agreement at its seventh session;]</w:t>
      </w:r>
    </w:p>
    <w:p w14:paraId="23E0858C" w14:textId="77777777" w:rsidR="003670E8" w:rsidRPr="00677E16" w:rsidRDefault="003670E8" w:rsidP="003670E8">
      <w:pPr>
        <w:numPr>
          <w:ilvl w:val="5"/>
          <w:numId w:val="9"/>
        </w:numPr>
        <w:tabs>
          <w:tab w:val="left" w:pos="1701"/>
        </w:tabs>
        <w:spacing w:after="120"/>
        <w:ind w:left="1134" w:right="1134"/>
        <w:jc w:val="both"/>
      </w:pPr>
      <w:r w:rsidRPr="00677E16">
        <w:rPr>
          <w:i/>
        </w:rPr>
        <w:t>Further requests</w:t>
      </w:r>
      <w:r w:rsidRPr="00677E16">
        <w:t xml:space="preserve"> the Subsidiary Body for Scientific and Technological Advice to consider the need for additional guidance, if any, on the application of decision 2/CMA.3, annex, paragraph 12, with a view to making recommendations for consideration by the Conference of the Parties serving as the meeting of the Parties to the Paris Agreement at its seventh session;</w:t>
      </w:r>
    </w:p>
    <w:p w14:paraId="77700FF7" w14:textId="77777777" w:rsidR="003670E8" w:rsidRPr="00677E16" w:rsidRDefault="003670E8" w:rsidP="003670E8">
      <w:pPr>
        <w:numPr>
          <w:ilvl w:val="5"/>
          <w:numId w:val="9"/>
        </w:numPr>
        <w:tabs>
          <w:tab w:val="left" w:pos="1701"/>
        </w:tabs>
        <w:spacing w:after="120"/>
        <w:ind w:left="1134" w:right="1134"/>
        <w:jc w:val="both"/>
      </w:pPr>
      <w:r w:rsidRPr="00677E16">
        <w:rPr>
          <w:i/>
          <w:iCs/>
        </w:rPr>
        <w:t>Invites</w:t>
      </w:r>
      <w:r w:rsidRPr="00677E16">
        <w:t xml:space="preserve"> Parties and observers to submit via the submission portal</w:t>
      </w:r>
      <w:r w:rsidRPr="00677E16">
        <w:rPr>
          <w:rStyle w:val="FootnoteReference"/>
        </w:rPr>
        <w:footnoteReference w:id="12"/>
      </w:r>
      <w:r w:rsidRPr="00677E16">
        <w:t xml:space="preserve"> by 15 March 2025 views on the matters referred to in paragraphs 81–83 above;</w:t>
      </w:r>
    </w:p>
    <w:p w14:paraId="21217B35" w14:textId="77777777" w:rsidR="003670E8" w:rsidRPr="005718CA" w:rsidRDefault="003670E8" w:rsidP="003670E8">
      <w:pPr>
        <w:numPr>
          <w:ilvl w:val="5"/>
          <w:numId w:val="9"/>
        </w:numPr>
        <w:tabs>
          <w:tab w:val="left" w:pos="1701"/>
        </w:tabs>
        <w:spacing w:after="120"/>
        <w:ind w:left="1134" w:right="1134"/>
        <w:jc w:val="both"/>
      </w:pPr>
      <w:r w:rsidRPr="00677E16">
        <w:rPr>
          <w:i/>
          <w:iCs/>
        </w:rPr>
        <w:t>Requests</w:t>
      </w:r>
      <w:r w:rsidRPr="00677E16">
        <w:t xml:space="preserve"> the Subsidiary Body for Scientific and Technological Advice Chair to prepare an informal document containing possible options and recommendations in relation to the matters referred to in </w:t>
      </w:r>
      <w:r w:rsidRPr="00C64936">
        <w:t>paragraphs 157–159 above, including textual proposals, to facilitate deliberations on further guidance on cooperative approaches, drawing on the submissions referred to in paragraph 160 above, for</w:t>
      </w:r>
      <w:r w:rsidRPr="00677E16">
        <w:t xml:space="preserve"> consideration by the Subsidiary Body for Scientific and Technological Advice at its sixty-second session (June 2025)</w:t>
      </w:r>
      <w:r w:rsidRPr="00677E16">
        <w:rPr>
          <w:iCs/>
        </w:rPr>
        <w:t>;</w:t>
      </w:r>
    </w:p>
    <w:p w14:paraId="1C805921" w14:textId="77777777" w:rsidR="003670E8" w:rsidRPr="00677E16" w:rsidRDefault="003670E8" w:rsidP="003670E8">
      <w:pPr>
        <w:tabs>
          <w:tab w:val="left" w:pos="1701"/>
        </w:tabs>
        <w:spacing w:after="120"/>
        <w:ind w:left="1135" w:right="1134"/>
        <w:jc w:val="both"/>
      </w:pPr>
      <w:r w:rsidRPr="00677E16">
        <w:rPr>
          <w:b/>
          <w:bCs/>
        </w:rPr>
        <w:t xml:space="preserve">Option 2: </w:t>
      </w:r>
      <w:r w:rsidRPr="00677E16">
        <w:t>{</w:t>
      </w:r>
      <w:r w:rsidRPr="00677E16">
        <w:rPr>
          <w:i/>
          <w:iCs/>
        </w:rPr>
        <w:t>No text required</w:t>
      </w:r>
      <w:r w:rsidRPr="00677E16">
        <w:t>}</w:t>
      </w:r>
    </w:p>
    <w:p w14:paraId="02E7F54C" w14:textId="77777777" w:rsidR="003670E8" w:rsidRPr="00C80273" w:rsidRDefault="003670E8" w:rsidP="003670E8">
      <w:pPr>
        <w:keepNext/>
        <w:keepLines/>
        <w:numPr>
          <w:ilvl w:val="0"/>
          <w:numId w:val="1"/>
        </w:numPr>
        <w:tabs>
          <w:tab w:val="left" w:pos="1701"/>
        </w:tabs>
        <w:spacing w:before="360" w:after="240" w:line="300" w:lineRule="exact"/>
        <w:ind w:right="1134"/>
        <w:jc w:val="both"/>
        <w:rPr>
          <w:b/>
          <w:bCs/>
          <w:sz w:val="28"/>
          <w:szCs w:val="28"/>
        </w:rPr>
      </w:pPr>
      <w:r w:rsidRPr="00C80273">
        <w:rPr>
          <w:b/>
          <w:bCs/>
          <w:sz w:val="28"/>
          <w:szCs w:val="28"/>
        </w:rPr>
        <w:t>Other matters</w:t>
      </w:r>
    </w:p>
    <w:p w14:paraId="17BA21D4" w14:textId="77777777" w:rsidR="003670E8" w:rsidRPr="00677E16" w:rsidRDefault="003670E8" w:rsidP="003670E8">
      <w:pPr>
        <w:numPr>
          <w:ilvl w:val="5"/>
          <w:numId w:val="9"/>
        </w:numPr>
        <w:tabs>
          <w:tab w:val="left" w:pos="1701"/>
        </w:tabs>
        <w:spacing w:after="120"/>
        <w:ind w:left="1134" w:right="1134"/>
        <w:jc w:val="both"/>
      </w:pPr>
      <w:r w:rsidRPr="00677E16">
        <w:rPr>
          <w:i/>
        </w:rPr>
        <w:t>Expresses concern</w:t>
      </w:r>
      <w:r w:rsidRPr="00677E16">
        <w:rPr>
          <w:iCs/>
        </w:rPr>
        <w:t xml:space="preserve"> about the current estimated USD X.X million shortfall in resources for work on</w:t>
      </w:r>
      <w:r w:rsidRPr="00677E16">
        <w:t xml:space="preserve"> mandated tasks relating to Article 6, paragraph 2;</w:t>
      </w:r>
      <w:r w:rsidRPr="00677E16">
        <w:rPr>
          <w:sz w:val="18"/>
          <w:vertAlign w:val="superscript"/>
        </w:rPr>
        <w:footnoteReference w:id="13"/>
      </w:r>
    </w:p>
    <w:p w14:paraId="5AB084DA"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Underscores</w:t>
      </w:r>
      <w:r w:rsidRPr="00677E16">
        <w:t xml:space="preserve"> the importance of adequate resources in supporting the technical expert review of submitted initial reports;]</w:t>
      </w:r>
    </w:p>
    <w:p w14:paraId="40E590F0" w14:textId="77777777" w:rsidR="003670E8" w:rsidRPr="00677E16" w:rsidRDefault="003670E8" w:rsidP="003670E8">
      <w:pPr>
        <w:numPr>
          <w:ilvl w:val="5"/>
          <w:numId w:val="9"/>
        </w:numPr>
        <w:tabs>
          <w:tab w:val="left" w:pos="1701"/>
        </w:tabs>
        <w:spacing w:after="120"/>
        <w:ind w:left="1134" w:right="1134"/>
        <w:jc w:val="both"/>
        <w:rPr>
          <w:i/>
          <w:iCs/>
        </w:rPr>
      </w:pPr>
      <w:r w:rsidRPr="00677E16">
        <w:rPr>
          <w:i/>
          <w:iCs/>
        </w:rPr>
        <w:t xml:space="preserve">Requests </w:t>
      </w:r>
      <w:r w:rsidRPr="00677E16">
        <w:t>the secretariat to revise the manual for the accounting, reporting and review of cooperative approaches</w:t>
      </w:r>
      <w:r w:rsidRPr="00677E16">
        <w:rPr>
          <w:rStyle w:val="FootnoteReference"/>
        </w:rPr>
        <w:footnoteReference w:id="14"/>
      </w:r>
      <w:r w:rsidRPr="00677E16">
        <w:t xml:space="preserve"> referred to in decision 6/CMA.4, paragraph 22, in order to assist Parties[, specifically developing country Parties, by easing their reporting burden by describing the sequencing and timing of reporting and review pursuant to decisions 2/CMA.3 and 6/CMA.4];</w:t>
      </w:r>
    </w:p>
    <w:p w14:paraId="41F616B0" w14:textId="77777777" w:rsidR="003670E8" w:rsidRPr="00677E16" w:rsidRDefault="003670E8" w:rsidP="003670E8">
      <w:pPr>
        <w:numPr>
          <w:ilvl w:val="5"/>
          <w:numId w:val="9"/>
        </w:numPr>
        <w:tabs>
          <w:tab w:val="left" w:pos="1701"/>
        </w:tabs>
        <w:spacing w:after="120"/>
        <w:ind w:left="1134" w:right="1134"/>
        <w:jc w:val="both"/>
      </w:pPr>
      <w:r w:rsidRPr="00677E16">
        <w:rPr>
          <w:i/>
        </w:rPr>
        <w:t>Also requests</w:t>
      </w:r>
      <w:r w:rsidRPr="00677E16">
        <w:rPr>
          <w:iCs/>
        </w:rPr>
        <w:t xml:space="preserve"> </w:t>
      </w:r>
      <w:r w:rsidRPr="00677E16">
        <w:t>Parties to urgently make voluntary contributions to the trust fund for supplementary activities in order to enable the full development, establishment and operation of the functions and components of the infrastructure and technical expert review under Article 6, paragraph 2;</w:t>
      </w:r>
      <w:r w:rsidRPr="00677E16">
        <w:rPr>
          <w:sz w:val="18"/>
          <w:vertAlign w:val="superscript"/>
        </w:rPr>
        <w:footnoteReference w:id="15"/>
      </w:r>
    </w:p>
    <w:p w14:paraId="18D12D11" w14:textId="77777777" w:rsidR="003670E8" w:rsidRPr="00677E16" w:rsidRDefault="003670E8" w:rsidP="003670E8">
      <w:pPr>
        <w:numPr>
          <w:ilvl w:val="5"/>
          <w:numId w:val="9"/>
        </w:numPr>
        <w:tabs>
          <w:tab w:val="left" w:pos="1701"/>
        </w:tabs>
        <w:spacing w:after="120"/>
        <w:ind w:left="1134" w:right="1134"/>
        <w:jc w:val="both"/>
      </w:pPr>
      <w:r w:rsidRPr="00677E16">
        <w:t>[</w:t>
      </w:r>
      <w:r w:rsidRPr="00677E16">
        <w:rPr>
          <w:i/>
          <w:iCs/>
        </w:rPr>
        <w:t>Requests</w:t>
      </w:r>
      <w:r w:rsidRPr="00677E16">
        <w:t xml:space="preserve"> the Subsidiary Body for Implementation at its sixty-second session to consider options for the predictable and sufficient provision of resources for the full </w:t>
      </w:r>
      <w:r w:rsidRPr="00677E16">
        <w:lastRenderedPageBreak/>
        <w:t>development, establishment and operation of the functions and components of the infrastructure and technical expert review under Article 6, paragraph 2, for the biennium 2026–2027 with a view to making a recommendation thereon for consideration by the Conference of the Parties serving as the meeting of the Parties to the Paris Agreement at its seventh session];</w:t>
      </w:r>
    </w:p>
    <w:p w14:paraId="2BBA9176" w14:textId="77777777" w:rsidR="003670E8" w:rsidRPr="00677E16" w:rsidRDefault="003670E8" w:rsidP="003670E8">
      <w:pPr>
        <w:numPr>
          <w:ilvl w:val="5"/>
          <w:numId w:val="9"/>
        </w:numPr>
        <w:tabs>
          <w:tab w:val="left" w:pos="1701"/>
        </w:tabs>
        <w:spacing w:after="120"/>
        <w:ind w:left="1134" w:right="1134"/>
        <w:jc w:val="both"/>
      </w:pPr>
      <w:r w:rsidRPr="00677E16">
        <w:rPr>
          <w:i/>
          <w:iCs/>
        </w:rPr>
        <w:t>[Also] requests</w:t>
      </w:r>
      <w:r w:rsidRPr="00677E16">
        <w:t xml:space="preserve"> the secretariat to further specify the resources required to enable the full development, establishment and operation of the functions and components of the infrastructure and technical expert review under Article 6, paragraph 2, for the biennium 2026–2027[, for consideration by the Subsidiary Body for Implementation at its sixty-first session (November 2024), in order to achieve the predictable and sufficient provision of these resources];</w:t>
      </w:r>
    </w:p>
    <w:p w14:paraId="2F6B1CC2" w14:textId="77777777" w:rsidR="003670E8" w:rsidRPr="00677E16" w:rsidRDefault="003670E8" w:rsidP="003670E8">
      <w:pPr>
        <w:numPr>
          <w:ilvl w:val="5"/>
          <w:numId w:val="9"/>
        </w:numPr>
        <w:tabs>
          <w:tab w:val="left" w:pos="1701"/>
        </w:tabs>
        <w:spacing w:after="120"/>
        <w:ind w:left="1134" w:right="1134"/>
        <w:jc w:val="both"/>
      </w:pPr>
      <w:r w:rsidRPr="00677E16">
        <w:rPr>
          <w:i/>
          <w:iCs/>
        </w:rPr>
        <w:t xml:space="preserve">Takes note </w:t>
      </w:r>
      <w:r w:rsidRPr="00677E16">
        <w:t xml:space="preserve">of the estimated budgetary implications of the activities to be undertaken by the secretariat referred to in </w:t>
      </w:r>
      <w:r w:rsidRPr="00677E16" w:rsidDel="000C7232">
        <w:t>this decision</w:t>
      </w:r>
      <w:r w:rsidRPr="00677E16">
        <w:t>;</w:t>
      </w:r>
    </w:p>
    <w:p w14:paraId="3B3AFD7E" w14:textId="77777777" w:rsidR="003670E8" w:rsidRPr="00677E16" w:rsidRDefault="003670E8" w:rsidP="003670E8">
      <w:pPr>
        <w:numPr>
          <w:ilvl w:val="5"/>
          <w:numId w:val="9"/>
        </w:numPr>
        <w:tabs>
          <w:tab w:val="left" w:pos="1701"/>
        </w:tabs>
        <w:spacing w:after="120"/>
        <w:ind w:left="1134" w:right="1134"/>
        <w:jc w:val="both"/>
      </w:pPr>
      <w:r w:rsidRPr="00677E16">
        <w:rPr>
          <w:i/>
          <w:iCs/>
        </w:rPr>
        <w:t>Requests</w:t>
      </w:r>
      <w:r w:rsidRPr="00677E16">
        <w:t xml:space="preserve"> that the actions of the secretariat called for in this decision be undertaken subject to the availability of financial resources.</w:t>
      </w:r>
    </w:p>
    <w:p w14:paraId="611B9B65" w14:textId="77777777" w:rsidR="003670E8" w:rsidRPr="00677E16" w:rsidRDefault="003670E8" w:rsidP="003C28AB">
      <w:pPr>
        <w:numPr>
          <w:ilvl w:val="5"/>
          <w:numId w:val="48"/>
        </w:numPr>
        <w:tabs>
          <w:tab w:val="left" w:pos="1701"/>
        </w:tabs>
        <w:spacing w:after="120"/>
        <w:ind w:right="1134"/>
        <w:jc w:val="both"/>
        <w:sectPr w:rsidR="003670E8" w:rsidRPr="00677E16" w:rsidSect="001953F0">
          <w:headerReference w:type="even" r:id="rId13"/>
          <w:headerReference w:type="default" r:id="rId14"/>
          <w:footerReference w:type="even" r:id="rId15"/>
          <w:footerReference w:type="default" r:id="rId16"/>
          <w:headerReference w:type="first" r:id="rId17"/>
          <w:footnotePr>
            <w:numRestart w:val="eachSect"/>
          </w:footnotePr>
          <w:type w:val="continuous"/>
          <w:pgSz w:w="11906" w:h="16838" w:code="9"/>
          <w:pgMar w:top="1560" w:right="1134" w:bottom="1134" w:left="1134" w:header="850" w:footer="567" w:gutter="0"/>
          <w:cols w:space="708"/>
          <w:titlePg/>
          <w:docGrid w:linePitch="360"/>
        </w:sectPr>
      </w:pPr>
    </w:p>
    <w:p w14:paraId="7B255C9C" w14:textId="77777777" w:rsidR="003670E8" w:rsidRPr="00677E16" w:rsidRDefault="003670E8" w:rsidP="003670E8">
      <w:pPr>
        <w:pStyle w:val="HChG"/>
        <w:spacing w:before="0"/>
      </w:pPr>
      <w:r w:rsidRPr="00677E16">
        <w:lastRenderedPageBreak/>
        <w:t>[Annex I</w:t>
      </w:r>
    </w:p>
    <w:p w14:paraId="635ED497" w14:textId="77777777" w:rsidR="003670E8" w:rsidRPr="00677E16" w:rsidRDefault="003670E8" w:rsidP="003670E8">
      <w:pPr>
        <w:pStyle w:val="AnnoHCHG"/>
        <w:numPr>
          <w:ilvl w:val="0"/>
          <w:numId w:val="0"/>
        </w:numPr>
        <w:ind w:left="568"/>
        <w:rPr>
          <w:sz w:val="18"/>
          <w:szCs w:val="18"/>
        </w:rPr>
      </w:pPr>
      <w:r w:rsidRPr="00677E16">
        <w:t>Tables for submitting the agreed electronic format referred to in decision 2/CMA.3, annex, chapter IV.B (Annual information)</w:t>
      </w:r>
    </w:p>
    <w:p w14:paraId="480E91E0" w14:textId="77777777" w:rsidR="003670E8" w:rsidRPr="00677E16" w:rsidRDefault="003670E8" w:rsidP="003670E8">
      <w:pPr>
        <w:pStyle w:val="AnnoSingleTxtG"/>
        <w:numPr>
          <w:ilvl w:val="0"/>
          <w:numId w:val="0"/>
        </w:numPr>
      </w:pPr>
      <w:r w:rsidRPr="00677E16">
        <w:rPr>
          <w:i/>
          <w:iCs/>
        </w:rPr>
        <w:t xml:space="preserve">An electronic version of the AEF can be found </w:t>
      </w:r>
      <w:hyperlink r:id="rId18" w:history="1">
        <w:r w:rsidRPr="00302D29">
          <w:rPr>
            <w:rStyle w:val="Hyperlink"/>
            <w:i/>
            <w:iCs/>
          </w:rPr>
          <w:t>here</w:t>
        </w:r>
        <w:r w:rsidRPr="00302D29">
          <w:rPr>
            <w:rStyle w:val="Hyperlink"/>
          </w:rPr>
          <w:t>.</w:t>
        </w:r>
      </w:hyperlink>
    </w:p>
    <w:p w14:paraId="71FF233A" w14:textId="77777777" w:rsidR="003670E8" w:rsidRPr="00677E16" w:rsidRDefault="003670E8" w:rsidP="003670E8">
      <w:pPr>
        <w:pStyle w:val="FC2"/>
        <w:spacing w:before="240"/>
        <w:rPr>
          <w:b/>
        </w:rPr>
      </w:pPr>
      <w:r w:rsidRPr="00677E16">
        <w:t>Table 1</w:t>
      </w:r>
      <w:r w:rsidRPr="00677E16">
        <w:rPr>
          <w:b/>
        </w:rPr>
        <w:br/>
        <w:t xml:space="preserve">Submissions </w:t>
      </w:r>
    </w:p>
    <w:tbl>
      <w:tblPr>
        <w:tblW w:w="7371" w:type="dxa"/>
        <w:tblInd w:w="1134" w:type="dxa"/>
        <w:tblLook w:val="04A0" w:firstRow="1" w:lastRow="0" w:firstColumn="1" w:lastColumn="0" w:noHBand="0" w:noVBand="1"/>
      </w:tblPr>
      <w:tblGrid>
        <w:gridCol w:w="5528"/>
        <w:gridCol w:w="1843"/>
      </w:tblGrid>
      <w:tr w:rsidR="003670E8" w:rsidRPr="00677E16" w14:paraId="493D9A5A" w14:textId="77777777" w:rsidTr="00EA194A">
        <w:trPr>
          <w:trHeight w:val="300"/>
        </w:trPr>
        <w:tc>
          <w:tcPr>
            <w:tcW w:w="4200" w:type="dxa"/>
            <w:tcBorders>
              <w:top w:val="nil"/>
              <w:left w:val="nil"/>
              <w:bottom w:val="nil"/>
              <w:right w:val="nil"/>
            </w:tcBorders>
            <w:shd w:val="clear" w:color="000000" w:fill="FFFFFF"/>
            <w:noWrap/>
            <w:vAlign w:val="center"/>
            <w:hideMark/>
          </w:tcPr>
          <w:p w14:paraId="63F754A4"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Party</w:t>
            </w:r>
            <w:r w:rsidRPr="00677E16">
              <w:rPr>
                <w:rStyle w:val="EndnoteReference"/>
                <w:rFonts w:eastAsia="Times New Roman"/>
                <w:b/>
                <w:bCs/>
                <w:color w:val="262626"/>
              </w:rPr>
              <w:endnoteReference w:id="2"/>
            </w:r>
          </w:p>
        </w:tc>
        <w:tc>
          <w:tcPr>
            <w:tcW w:w="1400" w:type="dxa"/>
            <w:tcBorders>
              <w:top w:val="nil"/>
              <w:left w:val="nil"/>
              <w:bottom w:val="nil"/>
              <w:right w:val="nil"/>
            </w:tcBorders>
            <w:shd w:val="clear" w:color="000000" w:fill="FFFFFF"/>
            <w:noWrap/>
            <w:vAlign w:val="center"/>
            <w:hideMark/>
          </w:tcPr>
          <w:p w14:paraId="2276F910"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Party</w:t>
            </w:r>
          </w:p>
        </w:tc>
      </w:tr>
      <w:tr w:rsidR="003670E8" w:rsidRPr="00677E16" w14:paraId="2D8743B1" w14:textId="77777777" w:rsidTr="00EA194A">
        <w:trPr>
          <w:trHeight w:val="288"/>
        </w:trPr>
        <w:tc>
          <w:tcPr>
            <w:tcW w:w="4200" w:type="dxa"/>
            <w:tcBorders>
              <w:top w:val="nil"/>
              <w:left w:val="nil"/>
              <w:bottom w:val="nil"/>
              <w:right w:val="nil"/>
            </w:tcBorders>
            <w:shd w:val="clear" w:color="000000" w:fill="FFFFFF"/>
            <w:noWrap/>
            <w:vAlign w:val="center"/>
            <w:hideMark/>
          </w:tcPr>
          <w:p w14:paraId="5B5749BB"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Version</w:t>
            </w:r>
          </w:p>
        </w:tc>
        <w:tc>
          <w:tcPr>
            <w:tcW w:w="1400" w:type="dxa"/>
            <w:tcBorders>
              <w:top w:val="nil"/>
              <w:left w:val="nil"/>
              <w:bottom w:val="nil"/>
              <w:right w:val="nil"/>
            </w:tcBorders>
            <w:shd w:val="clear" w:color="000000" w:fill="FFFFFF"/>
            <w:noWrap/>
            <w:vAlign w:val="center"/>
            <w:hideMark/>
          </w:tcPr>
          <w:p w14:paraId="3EB47F5F"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X.Y</w:t>
            </w:r>
          </w:p>
        </w:tc>
      </w:tr>
      <w:tr w:rsidR="003670E8" w:rsidRPr="00677E16" w14:paraId="22F0E658" w14:textId="77777777" w:rsidTr="00EA194A">
        <w:trPr>
          <w:trHeight w:val="288"/>
        </w:trPr>
        <w:tc>
          <w:tcPr>
            <w:tcW w:w="4200" w:type="dxa"/>
            <w:tcBorders>
              <w:top w:val="nil"/>
              <w:left w:val="nil"/>
              <w:bottom w:val="nil"/>
              <w:right w:val="nil"/>
            </w:tcBorders>
            <w:shd w:val="clear" w:color="000000" w:fill="FFFFFF"/>
            <w:noWrap/>
            <w:vAlign w:val="center"/>
            <w:hideMark/>
          </w:tcPr>
          <w:p w14:paraId="393CB185"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Reported year</w:t>
            </w:r>
            <w:r w:rsidRPr="00677E16">
              <w:rPr>
                <w:rStyle w:val="EndnoteReference"/>
                <w:rFonts w:eastAsia="Times New Roman"/>
                <w:b/>
                <w:bCs/>
                <w:color w:val="262626"/>
              </w:rPr>
              <w:endnoteReference w:id="3"/>
            </w:r>
          </w:p>
        </w:tc>
        <w:tc>
          <w:tcPr>
            <w:tcW w:w="1400" w:type="dxa"/>
            <w:tcBorders>
              <w:top w:val="nil"/>
              <w:left w:val="nil"/>
              <w:bottom w:val="nil"/>
              <w:right w:val="nil"/>
            </w:tcBorders>
            <w:shd w:val="clear" w:color="000000" w:fill="FFFFFF"/>
            <w:noWrap/>
            <w:vAlign w:val="center"/>
            <w:hideMark/>
          </w:tcPr>
          <w:p w14:paraId="68731B72"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Year</w:t>
            </w:r>
          </w:p>
        </w:tc>
      </w:tr>
      <w:tr w:rsidR="003670E8" w:rsidRPr="00677E16" w14:paraId="59925759" w14:textId="77777777" w:rsidTr="00EA194A">
        <w:trPr>
          <w:trHeight w:val="288"/>
        </w:trPr>
        <w:tc>
          <w:tcPr>
            <w:tcW w:w="4200" w:type="dxa"/>
            <w:tcBorders>
              <w:top w:val="nil"/>
              <w:left w:val="nil"/>
              <w:bottom w:val="nil"/>
              <w:right w:val="nil"/>
            </w:tcBorders>
            <w:shd w:val="clear" w:color="000000" w:fill="FFFFFF"/>
            <w:noWrap/>
            <w:vAlign w:val="center"/>
            <w:hideMark/>
          </w:tcPr>
          <w:p w14:paraId="0EC17019"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Date of submission</w:t>
            </w:r>
          </w:p>
        </w:tc>
        <w:tc>
          <w:tcPr>
            <w:tcW w:w="1400" w:type="dxa"/>
            <w:tcBorders>
              <w:top w:val="nil"/>
              <w:left w:val="nil"/>
              <w:bottom w:val="nil"/>
              <w:right w:val="nil"/>
            </w:tcBorders>
            <w:shd w:val="clear" w:color="000000" w:fill="FFFFFF"/>
            <w:noWrap/>
            <w:vAlign w:val="center"/>
            <w:hideMark/>
          </w:tcPr>
          <w:p w14:paraId="2DF6366A"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dd/mm/yyyy</w:t>
            </w:r>
          </w:p>
        </w:tc>
      </w:tr>
      <w:tr w:rsidR="003670E8" w:rsidRPr="00677E16" w14:paraId="0C0CFF3B" w14:textId="77777777" w:rsidTr="00EA194A">
        <w:trPr>
          <w:trHeight w:val="288"/>
        </w:trPr>
        <w:tc>
          <w:tcPr>
            <w:tcW w:w="4200" w:type="dxa"/>
            <w:tcBorders>
              <w:top w:val="nil"/>
              <w:left w:val="nil"/>
              <w:bottom w:val="nil"/>
              <w:right w:val="nil"/>
            </w:tcBorders>
            <w:shd w:val="clear" w:color="000000" w:fill="FFFFFF"/>
            <w:noWrap/>
            <w:vAlign w:val="center"/>
            <w:hideMark/>
          </w:tcPr>
          <w:p w14:paraId="5E2DDF2D"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[[Review] Status]</w:t>
            </w:r>
            <w:r w:rsidRPr="00677E16">
              <w:rPr>
                <w:rStyle w:val="EndnoteReference"/>
                <w:rFonts w:eastAsia="Times New Roman"/>
                <w:b/>
                <w:bCs/>
                <w:color w:val="262626"/>
              </w:rPr>
              <w:endnoteReference w:id="4"/>
            </w:r>
          </w:p>
        </w:tc>
        <w:tc>
          <w:tcPr>
            <w:tcW w:w="1400" w:type="dxa"/>
            <w:tcBorders>
              <w:top w:val="nil"/>
              <w:left w:val="nil"/>
              <w:bottom w:val="nil"/>
              <w:right w:val="nil"/>
            </w:tcBorders>
            <w:shd w:val="clear" w:color="000000" w:fill="FFFFFF"/>
            <w:noWrap/>
            <w:vAlign w:val="center"/>
            <w:hideMark/>
          </w:tcPr>
          <w:p w14:paraId="20D7A621"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[(Not) reviewed]</w:t>
            </w:r>
          </w:p>
        </w:tc>
      </w:tr>
      <w:tr w:rsidR="003670E8" w:rsidRPr="00677E16" w14:paraId="758524C1" w14:textId="77777777" w:rsidTr="00EA194A">
        <w:trPr>
          <w:trHeight w:val="288"/>
        </w:trPr>
        <w:tc>
          <w:tcPr>
            <w:tcW w:w="4200" w:type="dxa"/>
            <w:tcBorders>
              <w:top w:val="nil"/>
              <w:left w:val="nil"/>
              <w:bottom w:val="nil"/>
              <w:right w:val="nil"/>
            </w:tcBorders>
            <w:shd w:val="clear" w:color="000000" w:fill="FFFFFF"/>
            <w:noWrap/>
            <w:vAlign w:val="center"/>
            <w:hideMark/>
          </w:tcPr>
          <w:p w14:paraId="69A83999"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[Status of ]consistency check[s]</w:t>
            </w:r>
            <w:r w:rsidRPr="00677E16">
              <w:rPr>
                <w:rStyle w:val="EndnoteReference"/>
                <w:rFonts w:eastAsia="Times New Roman"/>
                <w:b/>
                <w:bCs/>
                <w:color w:val="262626"/>
              </w:rPr>
              <w:endnoteReference w:id="5"/>
            </w:r>
          </w:p>
        </w:tc>
        <w:tc>
          <w:tcPr>
            <w:tcW w:w="1400" w:type="dxa"/>
            <w:tcBorders>
              <w:top w:val="nil"/>
              <w:left w:val="nil"/>
              <w:bottom w:val="nil"/>
              <w:right w:val="nil"/>
            </w:tcBorders>
            <w:shd w:val="clear" w:color="000000" w:fill="FFFFFF"/>
            <w:noWrap/>
            <w:vAlign w:val="center"/>
            <w:hideMark/>
          </w:tcPr>
          <w:p w14:paraId="75B68123"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xml:space="preserve">(Not) consistent </w:t>
            </w:r>
          </w:p>
        </w:tc>
      </w:tr>
      <w:tr w:rsidR="003670E8" w:rsidRPr="00677E16" w14:paraId="19BDA0E1" w14:textId="77777777" w:rsidTr="00EA194A">
        <w:trPr>
          <w:trHeight w:val="288"/>
        </w:trPr>
        <w:tc>
          <w:tcPr>
            <w:tcW w:w="4200" w:type="dxa"/>
            <w:tcBorders>
              <w:top w:val="nil"/>
              <w:left w:val="nil"/>
              <w:bottom w:val="nil"/>
              <w:right w:val="nil"/>
            </w:tcBorders>
            <w:shd w:val="clear" w:color="000000" w:fill="FFFFFF"/>
            <w:noWrap/>
            <w:vAlign w:val="center"/>
            <w:hideMark/>
          </w:tcPr>
          <w:p w14:paraId="0FE008DC"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First year of the NDC implementation period</w:t>
            </w:r>
          </w:p>
        </w:tc>
        <w:tc>
          <w:tcPr>
            <w:tcW w:w="1400" w:type="dxa"/>
            <w:tcBorders>
              <w:top w:val="nil"/>
              <w:left w:val="nil"/>
              <w:bottom w:val="nil"/>
              <w:right w:val="nil"/>
            </w:tcBorders>
            <w:shd w:val="clear" w:color="000000" w:fill="FFFFFF"/>
            <w:noWrap/>
            <w:vAlign w:val="center"/>
            <w:hideMark/>
          </w:tcPr>
          <w:p w14:paraId="20C0A66E"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Year</w:t>
            </w:r>
          </w:p>
        </w:tc>
      </w:tr>
      <w:tr w:rsidR="003670E8" w:rsidRPr="00677E16" w14:paraId="1C305EB3" w14:textId="77777777" w:rsidTr="00EA194A">
        <w:trPr>
          <w:trHeight w:val="288"/>
        </w:trPr>
        <w:tc>
          <w:tcPr>
            <w:tcW w:w="4200" w:type="dxa"/>
            <w:tcBorders>
              <w:top w:val="nil"/>
              <w:left w:val="nil"/>
              <w:bottom w:val="nil"/>
              <w:right w:val="nil"/>
            </w:tcBorders>
            <w:shd w:val="clear" w:color="000000" w:fill="FFFFFF"/>
            <w:noWrap/>
            <w:vAlign w:val="center"/>
            <w:hideMark/>
          </w:tcPr>
          <w:p w14:paraId="1AD1A631"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Last year of the NDC implementation period</w:t>
            </w:r>
          </w:p>
        </w:tc>
        <w:tc>
          <w:tcPr>
            <w:tcW w:w="1400" w:type="dxa"/>
            <w:tcBorders>
              <w:top w:val="nil"/>
              <w:left w:val="nil"/>
              <w:bottom w:val="nil"/>
              <w:right w:val="nil"/>
            </w:tcBorders>
            <w:shd w:val="clear" w:color="000000" w:fill="FFFFFF"/>
            <w:noWrap/>
            <w:vAlign w:val="center"/>
            <w:hideMark/>
          </w:tcPr>
          <w:p w14:paraId="77E16018"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Year</w:t>
            </w:r>
          </w:p>
        </w:tc>
      </w:tr>
      <w:tr w:rsidR="003670E8" w:rsidRPr="00677E16" w14:paraId="680CBB21" w14:textId="77777777" w:rsidTr="00EA194A">
        <w:trPr>
          <w:trHeight w:val="300"/>
        </w:trPr>
        <w:tc>
          <w:tcPr>
            <w:tcW w:w="4200" w:type="dxa"/>
            <w:tcBorders>
              <w:top w:val="nil"/>
              <w:left w:val="nil"/>
              <w:bottom w:val="single" w:sz="12" w:space="0" w:color="auto"/>
              <w:right w:val="nil"/>
            </w:tcBorders>
            <w:shd w:val="clear" w:color="000000" w:fill="FFFFFF"/>
            <w:noWrap/>
            <w:vAlign w:val="center"/>
            <w:hideMark/>
          </w:tcPr>
          <w:p w14:paraId="06ADB4C0"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[A6 TER report]</w:t>
            </w:r>
            <w:r w:rsidRPr="00677E16">
              <w:rPr>
                <w:rStyle w:val="EndnoteReference"/>
                <w:rFonts w:eastAsia="Times New Roman"/>
                <w:b/>
                <w:bCs/>
                <w:color w:val="262626"/>
              </w:rPr>
              <w:endnoteReference w:id="6"/>
            </w:r>
          </w:p>
        </w:tc>
        <w:tc>
          <w:tcPr>
            <w:tcW w:w="1400" w:type="dxa"/>
            <w:tcBorders>
              <w:top w:val="nil"/>
              <w:left w:val="nil"/>
              <w:bottom w:val="single" w:sz="12" w:space="0" w:color="auto"/>
              <w:right w:val="nil"/>
            </w:tcBorders>
            <w:shd w:val="clear" w:color="000000" w:fill="FFFFFF"/>
            <w:noWrap/>
            <w:vAlign w:val="center"/>
            <w:hideMark/>
          </w:tcPr>
          <w:p w14:paraId="50FBD44F"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[link]</w:t>
            </w:r>
          </w:p>
        </w:tc>
      </w:tr>
    </w:tbl>
    <w:p w14:paraId="4B73D86C" w14:textId="77777777" w:rsidR="003670E8" w:rsidRPr="00677E16" w:rsidRDefault="003670E8" w:rsidP="003670E8">
      <w:pPr>
        <w:pStyle w:val="RegH1G"/>
        <w:keepLines w:val="0"/>
        <w:spacing w:before="0" w:after="0" w:line="60" w:lineRule="exact"/>
        <w:ind w:left="283"/>
        <w:jc w:val="both"/>
        <w:sectPr w:rsidR="003670E8" w:rsidRPr="00677E16">
          <w:headerReference w:type="even" r:id="rId19"/>
          <w:headerReference w:type="default" r:id="rId20"/>
          <w:footerReference w:type="first" r:id="rId21"/>
          <w:endnotePr>
            <w:numFmt w:val="lowerLetter"/>
            <w:numRestart w:val="eachSect"/>
          </w:endnotePr>
          <w:type w:val="continuous"/>
          <w:pgSz w:w="16838" w:h="11906" w:orient="landscape" w:code="9"/>
          <w:pgMar w:top="1560" w:right="1134" w:bottom="1134" w:left="1418" w:header="850" w:footer="567" w:gutter="0"/>
          <w:cols w:space="708"/>
          <w:docGrid w:linePitch="360"/>
        </w:sectPr>
      </w:pPr>
    </w:p>
    <w:p w14:paraId="3642959B" w14:textId="77777777" w:rsidR="003670E8" w:rsidRPr="00677E16" w:rsidRDefault="003670E8" w:rsidP="003670E8"/>
    <w:p w14:paraId="33722424" w14:textId="77777777" w:rsidR="003670E8" w:rsidRPr="00677E16" w:rsidRDefault="003670E8" w:rsidP="003670E8">
      <w:pPr>
        <w:suppressAutoHyphens w:val="0"/>
        <w:spacing w:line="240" w:lineRule="auto"/>
      </w:pPr>
      <w:r w:rsidRPr="00677E16">
        <w:br w:type="page"/>
      </w:r>
    </w:p>
    <w:p w14:paraId="3CE141D6" w14:textId="77777777" w:rsidR="003670E8" w:rsidRPr="00677E16" w:rsidRDefault="003670E8" w:rsidP="003670E8">
      <w:pPr>
        <w:pStyle w:val="FC2"/>
        <w:spacing w:before="240"/>
        <w:rPr>
          <w:i/>
          <w:iCs/>
        </w:rPr>
      </w:pPr>
      <w:r w:rsidRPr="00677E16">
        <w:lastRenderedPageBreak/>
        <w:t>Table 2</w:t>
      </w:r>
      <w:r w:rsidRPr="00677E16">
        <w:br/>
      </w:r>
      <w:r w:rsidRPr="00677E16">
        <w:rPr>
          <w:b/>
          <w:bCs/>
        </w:rPr>
        <w:t>Option 1: [Elements of authorization][Information on the authorization of the cooperative approach] Option 2: Authorizations</w:t>
      </w:r>
      <w:r w:rsidRPr="00677E16">
        <w:rPr>
          <w:b/>
          <w:bCs/>
        </w:rPr>
        <w:br/>
      </w:r>
      <w:r w:rsidRPr="00677E16">
        <w:rPr>
          <w:i/>
          <w:iCs/>
        </w:rPr>
        <w:t>{Note: In option 1, authorizations are reported as an action in table 3, in option 2 authorizations are reported here. Options are marked from here as corresponding brackets to accommodate both views}</w:t>
      </w:r>
    </w:p>
    <w:tbl>
      <w:tblPr>
        <w:tblW w:w="12692" w:type="dxa"/>
        <w:tblInd w:w="1134" w:type="dxa"/>
        <w:tblLayout w:type="fixed"/>
        <w:tblLook w:val="04A0" w:firstRow="1" w:lastRow="0" w:firstColumn="1" w:lastColumn="0" w:noHBand="0" w:noVBand="1"/>
      </w:tblPr>
      <w:tblGrid>
        <w:gridCol w:w="1282"/>
        <w:gridCol w:w="1140"/>
        <w:gridCol w:w="1141"/>
        <w:gridCol w:w="1141"/>
        <w:gridCol w:w="1284"/>
        <w:gridCol w:w="713"/>
        <w:gridCol w:w="998"/>
        <w:gridCol w:w="998"/>
        <w:gridCol w:w="998"/>
        <w:gridCol w:w="998"/>
        <w:gridCol w:w="999"/>
        <w:gridCol w:w="984"/>
        <w:gridCol w:w="16"/>
      </w:tblGrid>
      <w:tr w:rsidR="003670E8" w:rsidRPr="00677E16" w14:paraId="7045BD6B" w14:textId="77777777" w:rsidTr="00EA194A">
        <w:trPr>
          <w:gridAfter w:val="1"/>
          <w:wAfter w:w="15" w:type="dxa"/>
          <w:trHeight w:val="272"/>
        </w:trPr>
        <w:tc>
          <w:tcPr>
            <w:tcW w:w="4706" w:type="dxa"/>
            <w:gridSpan w:val="4"/>
            <w:tcBorders>
              <w:top w:val="single" w:sz="4" w:space="0" w:color="auto"/>
              <w:left w:val="nil"/>
              <w:bottom w:val="single" w:sz="4" w:space="0" w:color="auto"/>
              <w:right w:val="nil"/>
            </w:tcBorders>
            <w:shd w:val="clear" w:color="000000" w:fill="FFFFFF"/>
            <w:noWrap/>
            <w:vAlign w:val="bottom"/>
            <w:hideMark/>
          </w:tcPr>
          <w:p w14:paraId="28A77088" w14:textId="77777777" w:rsidR="003670E8" w:rsidRPr="00677E16" w:rsidRDefault="003670E8" w:rsidP="00EA194A">
            <w:pPr>
              <w:keepNext/>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Authorization</w:t>
            </w:r>
          </w:p>
        </w:tc>
        <w:tc>
          <w:tcPr>
            <w:tcW w:w="1283" w:type="dxa"/>
            <w:tcBorders>
              <w:top w:val="single" w:sz="4" w:space="0" w:color="auto"/>
              <w:left w:val="nil"/>
              <w:right w:val="nil"/>
            </w:tcBorders>
            <w:shd w:val="clear" w:color="000000" w:fill="FFFFFF"/>
            <w:vAlign w:val="bottom"/>
            <w:hideMark/>
          </w:tcPr>
          <w:p w14:paraId="3A94D751"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6688" w:type="dxa"/>
            <w:gridSpan w:val="7"/>
            <w:tcBorders>
              <w:top w:val="single" w:sz="4" w:space="0" w:color="auto"/>
              <w:left w:val="nil"/>
              <w:bottom w:val="single" w:sz="8" w:space="0" w:color="000000"/>
              <w:right w:val="nil"/>
            </w:tcBorders>
            <w:shd w:val="clear" w:color="000000" w:fill="FFFFFF"/>
            <w:vAlign w:val="bottom"/>
          </w:tcPr>
          <w:p w14:paraId="7B1503F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Authorization details</w:t>
            </w:r>
          </w:p>
        </w:tc>
      </w:tr>
      <w:tr w:rsidR="003670E8" w:rsidRPr="00677E16" w14:paraId="224F7233" w14:textId="77777777" w:rsidTr="00EA194A">
        <w:trPr>
          <w:gridAfter w:val="1"/>
          <w:wAfter w:w="16" w:type="dxa"/>
          <w:trHeight w:val="376"/>
        </w:trPr>
        <w:tc>
          <w:tcPr>
            <w:tcW w:w="1283" w:type="dxa"/>
            <w:tcBorders>
              <w:top w:val="nil"/>
              <w:left w:val="nil"/>
              <w:right w:val="nil"/>
            </w:tcBorders>
            <w:shd w:val="clear" w:color="000000" w:fill="FFFFFF"/>
            <w:vAlign w:val="bottom"/>
          </w:tcPr>
          <w:p w14:paraId="3E80B5F8"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141" w:type="dxa"/>
            <w:tcBorders>
              <w:top w:val="nil"/>
              <w:left w:val="nil"/>
              <w:right w:val="nil"/>
            </w:tcBorders>
            <w:shd w:val="clear" w:color="000000" w:fill="FFFFFF"/>
            <w:vAlign w:val="bottom"/>
          </w:tcPr>
          <w:p w14:paraId="6AD1CDEC"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141" w:type="dxa"/>
            <w:tcBorders>
              <w:top w:val="nil"/>
              <w:left w:val="nil"/>
              <w:right w:val="nil"/>
            </w:tcBorders>
            <w:shd w:val="clear" w:color="000000" w:fill="FFFFFF"/>
            <w:vAlign w:val="bottom"/>
          </w:tcPr>
          <w:p w14:paraId="0DD5C6FB"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141" w:type="dxa"/>
            <w:tcBorders>
              <w:top w:val="nil"/>
              <w:left w:val="nil"/>
              <w:right w:val="nil"/>
            </w:tcBorders>
            <w:shd w:val="clear" w:color="000000" w:fill="FFFFFF"/>
            <w:vAlign w:val="bottom"/>
            <w:hideMark/>
          </w:tcPr>
          <w:p w14:paraId="5D3F428E"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283" w:type="dxa"/>
            <w:tcBorders>
              <w:left w:val="nil"/>
              <w:right w:val="nil"/>
            </w:tcBorders>
            <w:vAlign w:val="bottom"/>
            <w:hideMark/>
          </w:tcPr>
          <w:p w14:paraId="5EE92457"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713" w:type="dxa"/>
            <w:tcBorders>
              <w:top w:val="single" w:sz="4" w:space="0" w:color="auto"/>
              <w:left w:val="nil"/>
              <w:bottom w:val="single" w:sz="4" w:space="0" w:color="FFFFFF" w:themeColor="background1"/>
              <w:right w:val="nil"/>
            </w:tcBorders>
            <w:shd w:val="clear" w:color="auto" w:fill="FFFFFF" w:themeFill="background1"/>
            <w:vAlign w:val="bottom"/>
          </w:tcPr>
          <w:p w14:paraId="312406E2"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998" w:type="dxa"/>
            <w:tcBorders>
              <w:top w:val="single" w:sz="4" w:space="0" w:color="auto"/>
              <w:left w:val="nil"/>
              <w:bottom w:val="single" w:sz="4" w:space="0" w:color="FFFFFF" w:themeColor="background1"/>
              <w:right w:val="nil"/>
            </w:tcBorders>
            <w:shd w:val="clear" w:color="auto" w:fill="FFFFFF" w:themeFill="background1"/>
            <w:vAlign w:val="bottom"/>
          </w:tcPr>
          <w:p w14:paraId="4E28C772" w14:textId="77777777" w:rsidR="003670E8" w:rsidRDefault="003670E8" w:rsidP="00EA194A">
            <w:pPr>
              <w:suppressAutoHyphens w:val="0"/>
              <w:spacing w:line="240" w:lineRule="auto"/>
              <w:rPr>
                <w:i/>
                <w:iCs/>
                <w:color w:val="000000"/>
                <w:sz w:val="16"/>
                <w:szCs w:val="16"/>
              </w:rPr>
            </w:pPr>
          </w:p>
        </w:tc>
        <w:tc>
          <w:tcPr>
            <w:tcW w:w="1996" w:type="dxa"/>
            <w:gridSpan w:val="2"/>
            <w:tcBorders>
              <w:left w:val="nil"/>
              <w:right w:val="nil"/>
            </w:tcBorders>
            <w:vAlign w:val="bottom"/>
          </w:tcPr>
          <w:p w14:paraId="0D7834DD" w14:textId="77777777" w:rsidR="003670E8" w:rsidRPr="00677E16" w:rsidRDefault="003670E8" w:rsidP="00EA194A">
            <w:pPr>
              <w:suppressAutoHyphens w:val="0"/>
              <w:spacing w:line="240" w:lineRule="auto"/>
              <w:rPr>
                <w:rFonts w:eastAsia="Times New Roman"/>
                <w:i/>
                <w:iCs/>
                <w:color w:val="262626"/>
                <w:sz w:val="16"/>
                <w:szCs w:val="16"/>
              </w:rPr>
            </w:pPr>
          </w:p>
        </w:tc>
        <w:tc>
          <w:tcPr>
            <w:tcW w:w="1997" w:type="dxa"/>
            <w:gridSpan w:val="2"/>
            <w:tcBorders>
              <w:left w:val="nil"/>
              <w:bottom w:val="single" w:sz="6" w:space="0" w:color="auto"/>
              <w:right w:val="nil"/>
            </w:tcBorders>
            <w:vAlign w:val="bottom"/>
          </w:tcPr>
          <w:p w14:paraId="5790AA98" w14:textId="77777777" w:rsidR="003670E8" w:rsidRPr="000D4FB7" w:rsidRDefault="003670E8" w:rsidP="00EA194A">
            <w:pPr>
              <w:suppressAutoHyphens w:val="0"/>
              <w:spacing w:line="240" w:lineRule="auto"/>
              <w:jc w:val="center"/>
              <w:rPr>
                <w:rFonts w:eastAsia="Times New Roman"/>
                <w:i/>
                <w:color w:val="000000"/>
                <w:sz w:val="16"/>
                <w:szCs w:val="16"/>
                <w:lang w:val="en-US"/>
              </w:rPr>
            </w:pPr>
            <w:r>
              <w:rPr>
                <w:i/>
                <w:iCs/>
                <w:color w:val="000000"/>
                <w:sz w:val="16"/>
                <w:szCs w:val="16"/>
              </w:rPr>
              <w:t>[ITMO unique identifier]</w:t>
            </w:r>
          </w:p>
        </w:tc>
        <w:tc>
          <w:tcPr>
            <w:tcW w:w="983" w:type="dxa"/>
            <w:tcBorders>
              <w:left w:val="nil"/>
              <w:right w:val="nil"/>
            </w:tcBorders>
            <w:vAlign w:val="bottom"/>
          </w:tcPr>
          <w:p w14:paraId="63ED7EC8" w14:textId="77777777" w:rsidR="003670E8" w:rsidDel="00D8289F" w:rsidRDefault="003670E8" w:rsidP="00EA194A">
            <w:pPr>
              <w:spacing w:line="240" w:lineRule="auto"/>
              <w:jc w:val="center"/>
              <w:rPr>
                <w:i/>
                <w:iCs/>
                <w:sz w:val="16"/>
                <w:szCs w:val="16"/>
              </w:rPr>
            </w:pPr>
            <w:r w:rsidDel="00D8289F">
              <w:rPr>
                <w:i/>
                <w:iCs/>
                <w:color w:val="000000"/>
                <w:sz w:val="16"/>
                <w:szCs w:val="16"/>
              </w:rPr>
              <w:t xml:space="preserve"> </w:t>
            </w:r>
          </w:p>
          <w:p w14:paraId="29259846" w14:textId="77777777" w:rsidR="003670E8" w:rsidRPr="00677E16" w:rsidRDefault="003670E8" w:rsidP="00EA194A">
            <w:pPr>
              <w:spacing w:line="240" w:lineRule="auto"/>
              <w:jc w:val="center"/>
              <w:rPr>
                <w:rFonts w:eastAsia="Times New Roman"/>
                <w:i/>
                <w:iCs/>
                <w:color w:val="262626"/>
                <w:sz w:val="16"/>
                <w:szCs w:val="16"/>
              </w:rPr>
            </w:pPr>
            <w:r w:rsidDel="00D8289F">
              <w:rPr>
                <w:i/>
                <w:iCs/>
                <w:color w:val="000000"/>
                <w:sz w:val="16"/>
                <w:szCs w:val="16"/>
              </w:rPr>
              <w:t xml:space="preserve"> </w:t>
            </w:r>
          </w:p>
        </w:tc>
      </w:tr>
      <w:tr w:rsidR="003670E8" w:rsidRPr="00677E16" w14:paraId="76D3E765" w14:textId="77777777" w:rsidTr="00EA194A">
        <w:trPr>
          <w:gridAfter w:val="1"/>
          <w:wAfter w:w="16" w:type="dxa"/>
          <w:trHeight w:val="375"/>
        </w:trPr>
        <w:tc>
          <w:tcPr>
            <w:tcW w:w="1283" w:type="dxa"/>
            <w:tcBorders>
              <w:left w:val="nil"/>
              <w:bottom w:val="single" w:sz="8" w:space="0" w:color="auto"/>
              <w:right w:val="nil"/>
            </w:tcBorders>
            <w:shd w:val="clear" w:color="000000" w:fill="FFFFFF"/>
            <w:vAlign w:val="bottom"/>
          </w:tcPr>
          <w:p w14:paraId="5CDCCDEA"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Authorization ID</w:t>
            </w:r>
            <w:r w:rsidRPr="00677E16">
              <w:rPr>
                <w:rFonts w:eastAsia="Times New Roman"/>
                <w:i/>
                <w:iCs/>
                <w:color w:val="262626"/>
                <w:sz w:val="16"/>
                <w:szCs w:val="16"/>
                <w:vertAlign w:val="superscript"/>
              </w:rPr>
              <w:t>a</w:t>
            </w:r>
          </w:p>
        </w:tc>
        <w:tc>
          <w:tcPr>
            <w:tcW w:w="1141" w:type="dxa"/>
            <w:tcBorders>
              <w:left w:val="nil"/>
              <w:bottom w:val="single" w:sz="8" w:space="0" w:color="auto"/>
              <w:right w:val="nil"/>
            </w:tcBorders>
            <w:shd w:val="clear" w:color="000000" w:fill="FFFFFF"/>
            <w:vAlign w:val="bottom"/>
          </w:tcPr>
          <w:p w14:paraId="1DD47D7A"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Date of authorization</w:t>
            </w:r>
            <w:r w:rsidRPr="00677E16">
              <w:rPr>
                <w:rFonts w:eastAsia="Times New Roman"/>
                <w:i/>
                <w:iCs/>
                <w:color w:val="262626"/>
                <w:sz w:val="16"/>
                <w:szCs w:val="16"/>
                <w:vertAlign w:val="superscript"/>
              </w:rPr>
              <w:t>b</w:t>
            </w:r>
          </w:p>
        </w:tc>
        <w:tc>
          <w:tcPr>
            <w:tcW w:w="1141" w:type="dxa"/>
            <w:tcBorders>
              <w:left w:val="nil"/>
              <w:bottom w:val="single" w:sz="8" w:space="0" w:color="auto"/>
              <w:right w:val="nil"/>
            </w:tcBorders>
            <w:shd w:val="clear" w:color="000000" w:fill="FFFFFF"/>
            <w:vAlign w:val="bottom"/>
          </w:tcPr>
          <w:p w14:paraId="7BDE614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Cooperative approach ID</w:t>
            </w:r>
            <w:r w:rsidRPr="00677E16">
              <w:rPr>
                <w:rFonts w:eastAsia="Times New Roman"/>
                <w:i/>
                <w:iCs/>
                <w:color w:val="262626"/>
                <w:sz w:val="16"/>
                <w:szCs w:val="16"/>
                <w:vertAlign w:val="superscript"/>
              </w:rPr>
              <w:t>c</w:t>
            </w:r>
          </w:p>
        </w:tc>
        <w:tc>
          <w:tcPr>
            <w:tcW w:w="1141" w:type="dxa"/>
            <w:tcBorders>
              <w:left w:val="nil"/>
              <w:bottom w:val="single" w:sz="8" w:space="0" w:color="000000"/>
              <w:right w:val="nil"/>
            </w:tcBorders>
            <w:vAlign w:val="bottom"/>
          </w:tcPr>
          <w:p w14:paraId="1D469DDD"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Version of the authorization</w:t>
            </w:r>
            <w:r w:rsidRPr="00677E16">
              <w:rPr>
                <w:rFonts w:eastAsia="Times New Roman"/>
                <w:i/>
                <w:iCs/>
                <w:color w:val="262626"/>
                <w:sz w:val="16"/>
                <w:szCs w:val="16"/>
                <w:vertAlign w:val="superscript"/>
              </w:rPr>
              <w:t>d</w:t>
            </w:r>
          </w:p>
        </w:tc>
        <w:tc>
          <w:tcPr>
            <w:tcW w:w="1283" w:type="dxa"/>
            <w:tcBorders>
              <w:top w:val="single" w:sz="4" w:space="0" w:color="FFFFFF" w:themeColor="background1"/>
              <w:left w:val="nil"/>
              <w:bottom w:val="single" w:sz="8" w:space="0" w:color="000000"/>
              <w:right w:val="nil"/>
            </w:tcBorders>
            <w:vAlign w:val="bottom"/>
          </w:tcPr>
          <w:p w14:paraId="3922DC4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transferring participating</w:t>
            </w:r>
            <w:r>
              <w:rPr>
                <w:rFonts w:eastAsia="Times New Roman"/>
                <w:i/>
                <w:iCs/>
                <w:color w:val="262626"/>
                <w:sz w:val="16"/>
                <w:szCs w:val="16"/>
              </w:rPr>
              <w:t xml:space="preserve"> </w:t>
            </w:r>
            <w:r w:rsidRPr="00677E16">
              <w:rPr>
                <w:rFonts w:eastAsia="Times New Roman"/>
                <w:i/>
                <w:iCs/>
                <w:color w:val="262626"/>
                <w:sz w:val="16"/>
                <w:szCs w:val="16"/>
              </w:rPr>
              <w:t>Party ID</w:t>
            </w:r>
            <w:r w:rsidRPr="00354B13">
              <w:rPr>
                <w:rFonts w:eastAsia="Times New Roman"/>
                <w:i/>
                <w:iCs/>
                <w:color w:val="262626"/>
                <w:sz w:val="16"/>
                <w:szCs w:val="16"/>
              </w:rPr>
              <w:t>e</w:t>
            </w:r>
            <w:r w:rsidRPr="00677E16">
              <w:rPr>
                <w:rFonts w:eastAsia="Times New Roman"/>
                <w:i/>
                <w:iCs/>
                <w:color w:val="262626"/>
                <w:sz w:val="16"/>
                <w:szCs w:val="16"/>
              </w:rPr>
              <w:t>]</w:t>
            </w:r>
          </w:p>
        </w:tc>
        <w:tc>
          <w:tcPr>
            <w:tcW w:w="713" w:type="dxa"/>
            <w:tcBorders>
              <w:top w:val="single" w:sz="4" w:space="0" w:color="FFFFFF" w:themeColor="background1"/>
              <w:left w:val="nil"/>
              <w:bottom w:val="single" w:sz="8" w:space="0" w:color="000000"/>
              <w:right w:val="nil"/>
            </w:tcBorders>
            <w:vAlign w:val="bottom"/>
          </w:tcPr>
          <w:p w14:paraId="0968B9EE"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Metric</w:t>
            </w:r>
          </w:p>
        </w:tc>
        <w:tc>
          <w:tcPr>
            <w:tcW w:w="998" w:type="dxa"/>
            <w:tcBorders>
              <w:top w:val="single" w:sz="4" w:space="0" w:color="FFFFFF" w:themeColor="background1"/>
              <w:left w:val="nil"/>
              <w:bottom w:val="single" w:sz="8" w:space="0" w:color="000000"/>
              <w:right w:val="nil"/>
            </w:tcBorders>
            <w:vAlign w:val="bottom"/>
          </w:tcPr>
          <w:p w14:paraId="11B18CCC"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[Applicable GWP values</w:t>
            </w:r>
            <w:r w:rsidRPr="00677E16">
              <w:rPr>
                <w:rFonts w:eastAsia="Times New Roman"/>
                <w:i/>
                <w:iCs/>
                <w:color w:val="262626"/>
                <w:sz w:val="16"/>
                <w:szCs w:val="16"/>
                <w:vertAlign w:val="superscript"/>
              </w:rPr>
              <w:t>f</w:t>
            </w:r>
            <w:r w:rsidRPr="00677E16">
              <w:rPr>
                <w:rFonts w:eastAsia="Times New Roman"/>
                <w:i/>
                <w:iCs/>
                <w:color w:val="262626"/>
                <w:sz w:val="16"/>
                <w:szCs w:val="16"/>
              </w:rPr>
              <w:t>]</w:t>
            </w:r>
          </w:p>
        </w:tc>
        <w:tc>
          <w:tcPr>
            <w:tcW w:w="998" w:type="dxa"/>
            <w:tcBorders>
              <w:top w:val="single" w:sz="4" w:space="0" w:color="FFFFFF" w:themeColor="background1"/>
              <w:left w:val="nil"/>
              <w:bottom w:val="single" w:sz="8" w:space="0" w:color="000000"/>
              <w:right w:val="nil"/>
            </w:tcBorders>
            <w:vAlign w:val="bottom"/>
          </w:tcPr>
          <w:p w14:paraId="63731D76" w14:textId="77777777" w:rsidR="003670E8" w:rsidRPr="00677E16" w:rsidRDefault="003670E8" w:rsidP="00EA194A">
            <w:pPr>
              <w:suppressAutoHyphens w:val="0"/>
              <w:spacing w:line="240" w:lineRule="auto"/>
              <w:jc w:val="center"/>
              <w:rPr>
                <w:rFonts w:eastAsia="Times New Roman"/>
                <w:i/>
                <w:iCs/>
                <w:color w:val="262626"/>
                <w:sz w:val="16"/>
                <w:szCs w:val="16"/>
              </w:rPr>
            </w:pPr>
            <w:r>
              <w:rPr>
                <w:rFonts w:eastAsia="Times New Roman"/>
                <w:i/>
                <w:iCs/>
                <w:color w:val="262626"/>
                <w:sz w:val="16"/>
                <w:szCs w:val="16"/>
              </w:rPr>
              <w:t>[</w:t>
            </w:r>
            <w:r w:rsidRPr="00677E16">
              <w:rPr>
                <w:rFonts w:eastAsia="Times New Roman"/>
                <w:i/>
                <w:iCs/>
                <w:color w:val="262626"/>
                <w:sz w:val="16"/>
                <w:szCs w:val="16"/>
              </w:rPr>
              <w:t>Applicable non-GHG metric</w:t>
            </w:r>
            <w:r w:rsidRPr="00677E16">
              <w:rPr>
                <w:rFonts w:eastAsia="Times New Roman"/>
                <w:i/>
                <w:iCs/>
                <w:color w:val="262626"/>
                <w:sz w:val="16"/>
                <w:szCs w:val="16"/>
                <w:vertAlign w:val="superscript"/>
              </w:rPr>
              <w:t>g</w:t>
            </w:r>
            <w:r w:rsidRPr="00677E16" w:rsidDel="00096B32">
              <w:rPr>
                <w:rFonts w:eastAsia="Times New Roman"/>
                <w:i/>
                <w:iCs/>
                <w:color w:val="262626"/>
                <w:sz w:val="16"/>
                <w:szCs w:val="16"/>
              </w:rPr>
              <w:t>]</w:t>
            </w:r>
          </w:p>
        </w:tc>
        <w:tc>
          <w:tcPr>
            <w:tcW w:w="998" w:type="dxa"/>
            <w:tcBorders>
              <w:top w:val="single" w:sz="4" w:space="0" w:color="FFFFFF" w:themeColor="background1"/>
              <w:left w:val="nil"/>
              <w:bottom w:val="single" w:sz="8" w:space="0" w:color="000000"/>
              <w:right w:val="nil"/>
            </w:tcBorders>
            <w:vAlign w:val="bottom"/>
          </w:tcPr>
          <w:p w14:paraId="523E304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Authorized quantity</w:t>
            </w:r>
            <w:r w:rsidRPr="00677E16">
              <w:rPr>
                <w:rFonts w:eastAsia="Times New Roman"/>
                <w:i/>
                <w:iCs/>
                <w:color w:val="262626"/>
                <w:sz w:val="16"/>
                <w:szCs w:val="16"/>
                <w:vertAlign w:val="superscript"/>
              </w:rPr>
              <w:t>h</w:t>
            </w:r>
            <w:r w:rsidRPr="00677E16" w:rsidDel="00096B32">
              <w:rPr>
                <w:rFonts w:eastAsia="Times New Roman"/>
                <w:i/>
                <w:iCs/>
                <w:color w:val="262626"/>
                <w:sz w:val="16"/>
                <w:szCs w:val="16"/>
              </w:rPr>
              <w:t xml:space="preserve"> </w:t>
            </w:r>
          </w:p>
        </w:tc>
        <w:tc>
          <w:tcPr>
            <w:tcW w:w="998" w:type="dxa"/>
            <w:tcBorders>
              <w:top w:val="single" w:sz="6" w:space="0" w:color="auto"/>
              <w:left w:val="nil"/>
              <w:bottom w:val="single" w:sz="8" w:space="0" w:color="000000"/>
              <w:right w:val="nil"/>
            </w:tcBorders>
            <w:vAlign w:val="bottom"/>
          </w:tcPr>
          <w:p w14:paraId="36CEE9A9" w14:textId="77777777" w:rsidR="003670E8" w:rsidRPr="00677E16" w:rsidRDefault="003670E8" w:rsidP="00EA194A">
            <w:pPr>
              <w:suppressAutoHyphens w:val="0"/>
              <w:spacing w:line="240" w:lineRule="auto"/>
              <w:jc w:val="center"/>
              <w:rPr>
                <w:rFonts w:eastAsia="Times New Roman"/>
                <w:i/>
                <w:iCs/>
                <w:color w:val="262626"/>
                <w:sz w:val="16"/>
                <w:szCs w:val="16"/>
              </w:rPr>
            </w:pPr>
          </w:p>
          <w:p w14:paraId="3AE6D861" w14:textId="77777777" w:rsidR="003670E8" w:rsidRPr="00677E16" w:rsidRDefault="003670E8" w:rsidP="00EA194A">
            <w:pPr>
              <w:suppressAutoHyphens w:val="0"/>
              <w:spacing w:line="240" w:lineRule="auto"/>
              <w:jc w:val="center"/>
              <w:rPr>
                <w:rFonts w:eastAsia="Times New Roman"/>
                <w:i/>
                <w:iCs/>
                <w:color w:val="262626"/>
                <w:sz w:val="16"/>
                <w:szCs w:val="16"/>
              </w:rPr>
            </w:pPr>
            <w:r>
              <w:rPr>
                <w:i/>
                <w:iCs/>
                <w:color w:val="000000"/>
                <w:sz w:val="16"/>
                <w:szCs w:val="16"/>
              </w:rPr>
              <w:t>[First ID]</w:t>
            </w:r>
          </w:p>
        </w:tc>
        <w:tc>
          <w:tcPr>
            <w:tcW w:w="999" w:type="dxa"/>
            <w:tcBorders>
              <w:top w:val="single" w:sz="6" w:space="0" w:color="auto"/>
              <w:left w:val="nil"/>
              <w:bottom w:val="single" w:sz="8" w:space="0" w:color="000000"/>
              <w:right w:val="nil"/>
            </w:tcBorders>
            <w:vAlign w:val="bottom"/>
          </w:tcPr>
          <w:p w14:paraId="4507CEDD" w14:textId="77777777" w:rsidR="003670E8" w:rsidRPr="00677E16" w:rsidRDefault="003670E8" w:rsidP="00EA194A">
            <w:pPr>
              <w:suppressAutoHyphens w:val="0"/>
              <w:spacing w:line="240" w:lineRule="auto"/>
              <w:jc w:val="center"/>
              <w:rPr>
                <w:rFonts w:eastAsia="Times New Roman"/>
                <w:i/>
                <w:iCs/>
                <w:color w:val="262626"/>
                <w:sz w:val="16"/>
                <w:szCs w:val="16"/>
              </w:rPr>
            </w:pPr>
            <w:r>
              <w:rPr>
                <w:i/>
                <w:iCs/>
                <w:color w:val="000000"/>
                <w:sz w:val="16"/>
                <w:szCs w:val="16"/>
              </w:rPr>
              <w:t>[Last ID]</w:t>
            </w:r>
          </w:p>
        </w:tc>
        <w:tc>
          <w:tcPr>
            <w:tcW w:w="983" w:type="dxa"/>
            <w:tcBorders>
              <w:left w:val="nil"/>
              <w:bottom w:val="single" w:sz="8" w:space="0" w:color="000000"/>
              <w:right w:val="nil"/>
            </w:tcBorders>
            <w:vAlign w:val="bottom"/>
          </w:tcPr>
          <w:p w14:paraId="5797D504" w14:textId="77777777" w:rsidR="003670E8" w:rsidRPr="00677E16" w:rsidRDefault="003670E8" w:rsidP="00EA194A">
            <w:pPr>
              <w:suppressAutoHyphens w:val="0"/>
              <w:spacing w:line="240" w:lineRule="auto"/>
              <w:jc w:val="center"/>
              <w:rPr>
                <w:rFonts w:eastAsia="Times New Roman"/>
                <w:i/>
                <w:iCs/>
                <w:color w:val="262626"/>
                <w:sz w:val="16"/>
                <w:szCs w:val="16"/>
              </w:rPr>
            </w:pPr>
            <w:r>
              <w:rPr>
                <w:i/>
                <w:iCs/>
                <w:sz w:val="16"/>
                <w:szCs w:val="16"/>
              </w:rPr>
              <w:t>Sector(s)</w:t>
            </w:r>
          </w:p>
        </w:tc>
      </w:tr>
      <w:tr w:rsidR="003670E8" w:rsidRPr="00677E16" w14:paraId="1D0BBDEA" w14:textId="77777777" w:rsidTr="00EA194A">
        <w:trPr>
          <w:trHeight w:val="272"/>
        </w:trPr>
        <w:tc>
          <w:tcPr>
            <w:tcW w:w="5990" w:type="dxa"/>
            <w:gridSpan w:val="5"/>
            <w:vMerge w:val="restart"/>
            <w:tcBorders>
              <w:top w:val="nil"/>
              <w:left w:val="nil"/>
              <w:right w:val="nil"/>
            </w:tcBorders>
            <w:shd w:val="clear" w:color="000000" w:fill="FFFFFF"/>
            <w:vAlign w:val="center"/>
          </w:tcPr>
          <w:p w14:paraId="3A6111F1" w14:textId="77777777" w:rsidR="003670E8" w:rsidRPr="00677E16" w:rsidRDefault="003670E8" w:rsidP="00EA194A">
            <w:pPr>
              <w:spacing w:line="240" w:lineRule="auto"/>
              <w:jc w:val="center"/>
              <w:rPr>
                <w:rFonts w:eastAsia="Times New Roman"/>
                <w:color w:val="262626"/>
              </w:rPr>
            </w:pPr>
          </w:p>
        </w:tc>
        <w:tc>
          <w:tcPr>
            <w:tcW w:w="713" w:type="dxa"/>
            <w:tcBorders>
              <w:top w:val="nil"/>
              <w:left w:val="nil"/>
              <w:bottom w:val="nil"/>
              <w:right w:val="nil"/>
            </w:tcBorders>
            <w:shd w:val="clear" w:color="000000" w:fill="FFFFFF"/>
            <w:vAlign w:val="center"/>
          </w:tcPr>
          <w:p w14:paraId="38FA14F5"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GHG</w:t>
            </w:r>
          </w:p>
        </w:tc>
        <w:tc>
          <w:tcPr>
            <w:tcW w:w="5989" w:type="dxa"/>
            <w:gridSpan w:val="7"/>
            <w:vMerge w:val="restart"/>
            <w:tcBorders>
              <w:top w:val="nil"/>
              <w:left w:val="nil"/>
              <w:right w:val="nil"/>
            </w:tcBorders>
            <w:shd w:val="clear" w:color="000000" w:fill="FFFFFF"/>
          </w:tcPr>
          <w:p w14:paraId="6D02BCA3" w14:textId="77777777" w:rsidR="003670E8" w:rsidRPr="00677E16" w:rsidRDefault="003670E8" w:rsidP="00EA194A">
            <w:pPr>
              <w:suppressAutoHyphens w:val="0"/>
              <w:spacing w:line="240" w:lineRule="auto"/>
              <w:rPr>
                <w:rFonts w:eastAsia="Times New Roman"/>
                <w:color w:val="262626"/>
              </w:rPr>
            </w:pPr>
          </w:p>
        </w:tc>
      </w:tr>
      <w:tr w:rsidR="003670E8" w:rsidRPr="00677E16" w14:paraId="0A5F8666" w14:textId="77777777" w:rsidTr="00EA194A">
        <w:trPr>
          <w:trHeight w:val="272"/>
        </w:trPr>
        <w:tc>
          <w:tcPr>
            <w:tcW w:w="5990" w:type="dxa"/>
            <w:gridSpan w:val="5"/>
            <w:vMerge/>
            <w:tcBorders>
              <w:left w:val="nil"/>
              <w:right w:val="nil"/>
            </w:tcBorders>
            <w:shd w:val="clear" w:color="000000" w:fill="FFFFFF"/>
            <w:vAlign w:val="center"/>
          </w:tcPr>
          <w:p w14:paraId="668187DB" w14:textId="77777777" w:rsidR="003670E8" w:rsidRPr="00677E16" w:rsidRDefault="003670E8" w:rsidP="00EA194A">
            <w:pPr>
              <w:spacing w:line="240" w:lineRule="auto"/>
              <w:jc w:val="center"/>
              <w:rPr>
                <w:rFonts w:eastAsia="Times New Roman"/>
                <w:color w:val="262626"/>
              </w:rPr>
            </w:pPr>
          </w:p>
        </w:tc>
        <w:tc>
          <w:tcPr>
            <w:tcW w:w="713" w:type="dxa"/>
            <w:tcBorders>
              <w:top w:val="nil"/>
              <w:left w:val="nil"/>
              <w:bottom w:val="nil"/>
              <w:right w:val="nil"/>
            </w:tcBorders>
            <w:shd w:val="clear" w:color="000000" w:fill="FFFFFF"/>
            <w:vAlign w:val="center"/>
          </w:tcPr>
          <w:p w14:paraId="1245D233"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Non-GHG</w:t>
            </w:r>
          </w:p>
        </w:tc>
        <w:tc>
          <w:tcPr>
            <w:tcW w:w="5989" w:type="dxa"/>
            <w:gridSpan w:val="7"/>
            <w:vMerge/>
            <w:tcBorders>
              <w:left w:val="nil"/>
              <w:right w:val="nil"/>
            </w:tcBorders>
            <w:shd w:val="clear" w:color="000000" w:fill="FFFFFF"/>
          </w:tcPr>
          <w:p w14:paraId="1B9DA8C0" w14:textId="77777777" w:rsidR="003670E8" w:rsidRPr="00677E16" w:rsidRDefault="003670E8" w:rsidP="00EA194A">
            <w:pPr>
              <w:suppressAutoHyphens w:val="0"/>
              <w:spacing w:line="240" w:lineRule="auto"/>
              <w:rPr>
                <w:rFonts w:eastAsia="Times New Roman"/>
                <w:color w:val="262626"/>
              </w:rPr>
            </w:pPr>
          </w:p>
        </w:tc>
      </w:tr>
      <w:tr w:rsidR="003670E8" w:rsidRPr="00677E16" w14:paraId="02E53184" w14:textId="77777777" w:rsidTr="00EA194A">
        <w:trPr>
          <w:trHeight w:val="556"/>
        </w:trPr>
        <w:tc>
          <w:tcPr>
            <w:tcW w:w="5990" w:type="dxa"/>
            <w:gridSpan w:val="5"/>
            <w:vMerge/>
            <w:tcBorders>
              <w:left w:val="nil"/>
              <w:bottom w:val="single" w:sz="8" w:space="0" w:color="auto"/>
              <w:right w:val="nil"/>
            </w:tcBorders>
            <w:shd w:val="clear" w:color="000000" w:fill="FFFFFF"/>
            <w:vAlign w:val="center"/>
          </w:tcPr>
          <w:p w14:paraId="0DB3B6D2" w14:textId="77777777" w:rsidR="003670E8" w:rsidRPr="00677E16" w:rsidRDefault="003670E8" w:rsidP="00EA194A">
            <w:pPr>
              <w:spacing w:line="240" w:lineRule="auto"/>
              <w:jc w:val="center"/>
              <w:rPr>
                <w:rFonts w:eastAsia="Times New Roman"/>
                <w:color w:val="262626"/>
              </w:rPr>
            </w:pPr>
          </w:p>
        </w:tc>
        <w:tc>
          <w:tcPr>
            <w:tcW w:w="713" w:type="dxa"/>
            <w:tcBorders>
              <w:top w:val="nil"/>
              <w:left w:val="nil"/>
              <w:bottom w:val="single" w:sz="8" w:space="0" w:color="auto"/>
              <w:right w:val="nil"/>
            </w:tcBorders>
            <w:shd w:val="clear" w:color="000000" w:fill="FFFFFF"/>
          </w:tcPr>
          <w:p w14:paraId="42795FDE" w14:textId="77777777" w:rsidR="003670E8" w:rsidRPr="00677E16" w:rsidRDefault="003670E8" w:rsidP="00EA194A">
            <w:pPr>
              <w:suppressAutoHyphens w:val="0"/>
              <w:spacing w:line="240" w:lineRule="auto"/>
              <w:rPr>
                <w:rFonts w:eastAsia="Times New Roman"/>
                <w:color w:val="262626"/>
              </w:rPr>
            </w:pPr>
          </w:p>
        </w:tc>
        <w:tc>
          <w:tcPr>
            <w:tcW w:w="5989" w:type="dxa"/>
            <w:gridSpan w:val="7"/>
            <w:vMerge/>
            <w:tcBorders>
              <w:left w:val="nil"/>
              <w:bottom w:val="single" w:sz="8" w:space="0" w:color="auto"/>
              <w:right w:val="nil"/>
            </w:tcBorders>
            <w:shd w:val="clear" w:color="000000" w:fill="FFFFFF"/>
          </w:tcPr>
          <w:p w14:paraId="455FAFB9" w14:textId="77777777" w:rsidR="003670E8" w:rsidRPr="00677E16" w:rsidRDefault="003670E8" w:rsidP="00EA194A">
            <w:pPr>
              <w:suppressAutoHyphens w:val="0"/>
              <w:spacing w:line="240" w:lineRule="auto"/>
              <w:rPr>
                <w:rFonts w:eastAsia="Times New Roman"/>
                <w:color w:val="262626"/>
              </w:rPr>
            </w:pPr>
          </w:p>
        </w:tc>
      </w:tr>
    </w:tbl>
    <w:p w14:paraId="2DA9383F" w14:textId="77777777" w:rsidR="003670E8" w:rsidRDefault="003670E8" w:rsidP="003670E8">
      <w:pPr>
        <w:pStyle w:val="FC2"/>
        <w:spacing w:before="240"/>
      </w:pPr>
    </w:p>
    <w:p w14:paraId="4FDF9192" w14:textId="77777777" w:rsidR="003670E8" w:rsidRDefault="003670E8" w:rsidP="003670E8">
      <w:pPr>
        <w:suppressAutoHyphens w:val="0"/>
        <w:spacing w:line="240" w:lineRule="auto"/>
      </w:pPr>
      <w:r>
        <w:br w:type="page"/>
      </w:r>
    </w:p>
    <w:p w14:paraId="4EE05FDC" w14:textId="77777777" w:rsidR="003670E8" w:rsidRDefault="003670E8" w:rsidP="003670E8">
      <w:pPr>
        <w:pStyle w:val="FC2"/>
        <w:spacing w:before="240"/>
      </w:pPr>
    </w:p>
    <w:p w14:paraId="10CA6240" w14:textId="77777777" w:rsidR="003670E8" w:rsidRPr="00677E16" w:rsidRDefault="003670E8" w:rsidP="003670E8">
      <w:pPr>
        <w:suppressAutoHyphens w:val="0"/>
        <w:spacing w:line="240" w:lineRule="auto"/>
        <w:ind w:left="1134"/>
        <w:rPr>
          <w:b/>
          <w:bCs/>
        </w:rPr>
      </w:pPr>
      <w:r w:rsidRPr="00677E16">
        <w:t>Table 2 (</w:t>
      </w:r>
      <w:r w:rsidRPr="00677E16">
        <w:rPr>
          <w:i/>
          <w:iCs/>
        </w:rPr>
        <w:t>continued</w:t>
      </w:r>
      <w:r w:rsidRPr="00677E16">
        <w:t>)</w:t>
      </w:r>
      <w:r w:rsidRPr="00677E16">
        <w:br/>
      </w:r>
      <w:r w:rsidRPr="00677E16">
        <w:rPr>
          <w:b/>
          <w:bCs/>
        </w:rPr>
        <w:t>[Elements of authorization][Authorizations]</w:t>
      </w:r>
    </w:p>
    <w:p w14:paraId="3F27F73C" w14:textId="77777777" w:rsidR="003670E8" w:rsidRPr="00677E16" w:rsidRDefault="003670E8" w:rsidP="003670E8">
      <w:pPr>
        <w:suppressAutoHyphens w:val="0"/>
        <w:spacing w:line="240" w:lineRule="auto"/>
        <w:rPr>
          <w:b/>
          <w:bCs/>
        </w:rPr>
      </w:pPr>
    </w:p>
    <w:tbl>
      <w:tblPr>
        <w:tblW w:w="13563" w:type="dxa"/>
        <w:tblInd w:w="284" w:type="dxa"/>
        <w:tblLayout w:type="fixed"/>
        <w:tblLook w:val="04A0" w:firstRow="1" w:lastRow="0" w:firstColumn="1" w:lastColumn="0" w:noHBand="0" w:noVBand="1"/>
      </w:tblPr>
      <w:tblGrid>
        <w:gridCol w:w="1134"/>
        <w:gridCol w:w="1547"/>
        <w:gridCol w:w="1126"/>
        <w:gridCol w:w="1126"/>
        <w:gridCol w:w="1266"/>
        <w:gridCol w:w="1314"/>
        <w:gridCol w:w="1559"/>
        <w:gridCol w:w="1907"/>
        <w:gridCol w:w="1407"/>
        <w:gridCol w:w="1081"/>
        <w:gridCol w:w="96"/>
      </w:tblGrid>
      <w:tr w:rsidR="003670E8" w:rsidRPr="00677E16" w14:paraId="391D4962" w14:textId="77777777" w:rsidTr="00EA194A">
        <w:trPr>
          <w:trHeight w:val="288"/>
        </w:trPr>
        <w:tc>
          <w:tcPr>
            <w:tcW w:w="1134" w:type="dxa"/>
            <w:tcBorders>
              <w:top w:val="single" w:sz="4" w:space="0" w:color="auto"/>
              <w:left w:val="nil"/>
              <w:bottom w:val="single" w:sz="4" w:space="0" w:color="auto"/>
              <w:right w:val="nil"/>
            </w:tcBorders>
            <w:shd w:val="clear" w:color="auto" w:fill="FFFFFF" w:themeFill="background1"/>
          </w:tcPr>
          <w:p w14:paraId="7B44854C" w14:textId="77777777" w:rsidR="003670E8" w:rsidRPr="00677E16" w:rsidRDefault="003670E8" w:rsidP="00EA194A">
            <w:pPr>
              <w:suppressAutoHyphens w:val="0"/>
              <w:spacing w:line="240" w:lineRule="auto"/>
              <w:rPr>
                <w:rFonts w:eastAsia="Times New Roman"/>
                <w:i/>
                <w:iCs/>
                <w:color w:val="262626"/>
                <w:sz w:val="16"/>
                <w:szCs w:val="16"/>
              </w:rPr>
            </w:pPr>
          </w:p>
        </w:tc>
        <w:tc>
          <w:tcPr>
            <w:tcW w:w="1547" w:type="dxa"/>
            <w:tcBorders>
              <w:top w:val="single" w:sz="4" w:space="0" w:color="auto"/>
              <w:left w:val="nil"/>
              <w:bottom w:val="single" w:sz="4" w:space="0" w:color="auto"/>
              <w:right w:val="nil"/>
            </w:tcBorders>
            <w:shd w:val="clear" w:color="auto" w:fill="FFFFFF" w:themeFill="background1"/>
            <w:noWrap/>
            <w:vAlign w:val="bottom"/>
            <w:hideMark/>
          </w:tcPr>
          <w:p w14:paraId="0EBA9FE9"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126" w:type="dxa"/>
            <w:tcBorders>
              <w:top w:val="single" w:sz="4" w:space="0" w:color="auto"/>
              <w:left w:val="nil"/>
              <w:bottom w:val="single" w:sz="4" w:space="0" w:color="auto"/>
              <w:right w:val="nil"/>
            </w:tcBorders>
            <w:shd w:val="clear" w:color="auto" w:fill="FFFFFF" w:themeFill="background1"/>
          </w:tcPr>
          <w:p w14:paraId="28956551" w14:textId="77777777" w:rsidR="003670E8" w:rsidRPr="00677E16" w:rsidRDefault="003670E8" w:rsidP="00EA194A">
            <w:pPr>
              <w:suppressAutoHyphens w:val="0"/>
              <w:spacing w:line="240" w:lineRule="auto"/>
              <w:rPr>
                <w:rFonts w:eastAsia="Times New Roman"/>
                <w:i/>
                <w:iCs/>
                <w:color w:val="262626"/>
                <w:sz w:val="16"/>
                <w:szCs w:val="16"/>
              </w:rPr>
            </w:pPr>
          </w:p>
        </w:tc>
        <w:tc>
          <w:tcPr>
            <w:tcW w:w="1126" w:type="dxa"/>
            <w:tcBorders>
              <w:top w:val="single" w:sz="4" w:space="0" w:color="auto"/>
              <w:left w:val="nil"/>
              <w:bottom w:val="single" w:sz="4" w:space="0" w:color="auto"/>
              <w:right w:val="nil"/>
            </w:tcBorders>
            <w:shd w:val="clear" w:color="auto" w:fill="FFFFFF" w:themeFill="background1"/>
            <w:noWrap/>
            <w:vAlign w:val="bottom"/>
            <w:hideMark/>
          </w:tcPr>
          <w:p w14:paraId="065CACB2"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2580" w:type="dxa"/>
            <w:gridSpan w:val="2"/>
            <w:tcBorders>
              <w:top w:val="single" w:sz="4" w:space="0" w:color="auto"/>
              <w:left w:val="nil"/>
              <w:bottom w:val="single" w:sz="4" w:space="0" w:color="auto"/>
              <w:right w:val="nil"/>
            </w:tcBorders>
            <w:shd w:val="clear" w:color="auto" w:fill="auto"/>
            <w:noWrap/>
            <w:vAlign w:val="bottom"/>
            <w:hideMark/>
          </w:tcPr>
          <w:p w14:paraId="2C59DB18"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Authorization details</w:t>
            </w:r>
          </w:p>
        </w:tc>
        <w:tc>
          <w:tcPr>
            <w:tcW w:w="1559" w:type="dxa"/>
            <w:tcBorders>
              <w:top w:val="single" w:sz="4" w:space="0" w:color="auto"/>
              <w:left w:val="nil"/>
              <w:bottom w:val="single" w:sz="4" w:space="0" w:color="auto"/>
              <w:right w:val="nil"/>
            </w:tcBorders>
            <w:shd w:val="clear" w:color="auto" w:fill="auto"/>
            <w:noWrap/>
            <w:vAlign w:val="bottom"/>
            <w:hideMark/>
          </w:tcPr>
          <w:p w14:paraId="0E36E490"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907" w:type="dxa"/>
            <w:tcBorders>
              <w:top w:val="single" w:sz="4" w:space="0" w:color="auto"/>
              <w:left w:val="nil"/>
              <w:bottom w:val="single" w:sz="4" w:space="0" w:color="auto"/>
              <w:right w:val="nil"/>
            </w:tcBorders>
            <w:shd w:val="clear" w:color="auto" w:fill="auto"/>
            <w:noWrap/>
            <w:vAlign w:val="bottom"/>
            <w:hideMark/>
          </w:tcPr>
          <w:p w14:paraId="6AEB2EAB"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407" w:type="dxa"/>
            <w:tcBorders>
              <w:top w:val="single" w:sz="4" w:space="0" w:color="auto"/>
              <w:left w:val="nil"/>
              <w:right w:val="nil"/>
            </w:tcBorders>
            <w:shd w:val="clear" w:color="auto" w:fill="auto"/>
            <w:vAlign w:val="bottom"/>
            <w:hideMark/>
          </w:tcPr>
          <w:p w14:paraId="5B6A4577" w14:textId="77777777" w:rsidR="003670E8" w:rsidRPr="00677E16" w:rsidRDefault="003670E8" w:rsidP="00EA194A">
            <w:pPr>
              <w:suppressAutoHyphens w:val="0"/>
              <w:spacing w:line="240" w:lineRule="auto"/>
              <w:jc w:val="center"/>
              <w:rPr>
                <w:rFonts w:eastAsia="Times New Roman"/>
                <w:color w:val="262626"/>
              </w:rPr>
            </w:pPr>
          </w:p>
        </w:tc>
        <w:tc>
          <w:tcPr>
            <w:tcW w:w="1177" w:type="dxa"/>
            <w:gridSpan w:val="2"/>
            <w:tcBorders>
              <w:top w:val="single" w:sz="4" w:space="0" w:color="auto"/>
              <w:left w:val="nil"/>
              <w:right w:val="nil"/>
            </w:tcBorders>
            <w:shd w:val="clear" w:color="auto" w:fill="auto"/>
            <w:vAlign w:val="bottom"/>
          </w:tcPr>
          <w:p w14:paraId="16F7BD13" w14:textId="77777777" w:rsidR="003670E8" w:rsidRPr="00677E16" w:rsidRDefault="003670E8" w:rsidP="00EA194A">
            <w:pPr>
              <w:spacing w:line="240" w:lineRule="auto"/>
              <w:jc w:val="center"/>
              <w:rPr>
                <w:rFonts w:eastAsia="Times New Roman"/>
                <w:i/>
                <w:iCs/>
                <w:color w:val="262626"/>
                <w:sz w:val="16"/>
                <w:szCs w:val="16"/>
              </w:rPr>
            </w:pPr>
            <w:r w:rsidRPr="00677E16">
              <w:rPr>
                <w:rFonts w:eastAsia="Times New Roman"/>
                <w:color w:val="262626"/>
              </w:rPr>
              <w:t> </w:t>
            </w:r>
          </w:p>
        </w:tc>
      </w:tr>
      <w:tr w:rsidR="003670E8" w:rsidRPr="00677E16" w14:paraId="20E15588" w14:textId="77777777" w:rsidTr="00EA194A">
        <w:trPr>
          <w:trHeight w:val="792"/>
        </w:trPr>
        <w:tc>
          <w:tcPr>
            <w:tcW w:w="1134" w:type="dxa"/>
            <w:tcBorders>
              <w:top w:val="nil"/>
              <w:left w:val="nil"/>
              <w:bottom w:val="single" w:sz="8" w:space="0" w:color="auto"/>
              <w:right w:val="nil"/>
            </w:tcBorders>
            <w:shd w:val="clear" w:color="auto" w:fill="FFFFFF" w:themeFill="background1"/>
            <w:vAlign w:val="bottom"/>
          </w:tcPr>
          <w:p w14:paraId="3395196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Activity type(s)</w:t>
            </w:r>
            <w:r w:rsidRPr="00677E16">
              <w:rPr>
                <w:rFonts w:eastAsia="Times New Roman"/>
                <w:i/>
                <w:iCs/>
                <w:color w:val="262626"/>
                <w:sz w:val="16"/>
                <w:szCs w:val="16"/>
                <w:vertAlign w:val="superscript"/>
              </w:rPr>
              <w:t>j</w:t>
            </w:r>
          </w:p>
        </w:tc>
        <w:tc>
          <w:tcPr>
            <w:tcW w:w="1547" w:type="dxa"/>
            <w:tcBorders>
              <w:top w:val="nil"/>
              <w:left w:val="nil"/>
              <w:bottom w:val="single" w:sz="8" w:space="0" w:color="auto"/>
              <w:right w:val="nil"/>
            </w:tcBorders>
            <w:shd w:val="clear" w:color="auto" w:fill="FFFFFF" w:themeFill="background1"/>
            <w:vAlign w:val="bottom"/>
            <w:hideMark/>
          </w:tcPr>
          <w:p w14:paraId="79FB83D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Purposes for authorization</w:t>
            </w:r>
          </w:p>
        </w:tc>
        <w:tc>
          <w:tcPr>
            <w:tcW w:w="1126" w:type="dxa"/>
            <w:tcBorders>
              <w:top w:val="nil"/>
              <w:left w:val="nil"/>
              <w:bottom w:val="single" w:sz="8" w:space="0" w:color="auto"/>
              <w:right w:val="nil"/>
            </w:tcBorders>
            <w:shd w:val="clear" w:color="auto" w:fill="FFFFFF" w:themeFill="background1"/>
            <w:vAlign w:val="bottom"/>
          </w:tcPr>
          <w:p w14:paraId="40FDB4A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[Authorized Part(ies) ID</w:t>
            </w:r>
            <w:r w:rsidRPr="00677E16">
              <w:rPr>
                <w:rFonts w:eastAsia="Times New Roman"/>
                <w:i/>
                <w:iCs/>
                <w:color w:val="262626"/>
                <w:sz w:val="16"/>
                <w:szCs w:val="16"/>
                <w:vertAlign w:val="superscript"/>
              </w:rPr>
              <w:t>k</w:t>
            </w:r>
            <w:r w:rsidRPr="00677E16">
              <w:rPr>
                <w:rFonts w:eastAsia="Times New Roman"/>
                <w:i/>
                <w:iCs/>
                <w:color w:val="262626"/>
                <w:sz w:val="16"/>
                <w:szCs w:val="16"/>
              </w:rPr>
              <w:t>]</w:t>
            </w:r>
          </w:p>
        </w:tc>
        <w:tc>
          <w:tcPr>
            <w:tcW w:w="1126" w:type="dxa"/>
            <w:tcBorders>
              <w:top w:val="nil"/>
              <w:left w:val="nil"/>
              <w:bottom w:val="single" w:sz="8" w:space="0" w:color="auto"/>
              <w:right w:val="nil"/>
            </w:tcBorders>
            <w:shd w:val="clear" w:color="auto" w:fill="FFFFFF" w:themeFill="background1"/>
            <w:vAlign w:val="bottom"/>
            <w:hideMark/>
          </w:tcPr>
          <w:p w14:paraId="6007897C"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[Authorized entit(ies) ID</w:t>
            </w:r>
            <w:r w:rsidRPr="00677E16">
              <w:rPr>
                <w:rFonts w:eastAsia="Times New Roman"/>
                <w:i/>
                <w:iCs/>
                <w:color w:val="262626"/>
                <w:sz w:val="16"/>
                <w:szCs w:val="16"/>
                <w:vertAlign w:val="superscript"/>
              </w:rPr>
              <w:t>l</w:t>
            </w:r>
            <w:r w:rsidRPr="00677E16">
              <w:rPr>
                <w:rFonts w:eastAsia="Times New Roman"/>
                <w:i/>
                <w:iCs/>
                <w:color w:val="262626"/>
                <w:sz w:val="16"/>
                <w:szCs w:val="16"/>
              </w:rPr>
              <w:t>]</w:t>
            </w:r>
          </w:p>
        </w:tc>
        <w:tc>
          <w:tcPr>
            <w:tcW w:w="1266" w:type="dxa"/>
            <w:tcBorders>
              <w:top w:val="nil"/>
              <w:left w:val="nil"/>
              <w:bottom w:val="single" w:sz="8" w:space="0" w:color="auto"/>
              <w:right w:val="nil"/>
            </w:tcBorders>
            <w:shd w:val="clear" w:color="auto" w:fill="FFFFFF" w:themeFill="background1"/>
            <w:vAlign w:val="bottom"/>
            <w:hideMark/>
          </w:tcPr>
          <w:p w14:paraId="1C3243B3" w14:textId="77777777" w:rsidR="003670E8" w:rsidRPr="0070591C" w:rsidRDefault="003670E8" w:rsidP="00EA194A">
            <w:pPr>
              <w:suppressAutoHyphens w:val="0"/>
              <w:spacing w:line="240" w:lineRule="auto"/>
              <w:jc w:val="center"/>
              <w:rPr>
                <w:rFonts w:eastAsia="Times New Roman"/>
                <w:i/>
                <w:iCs/>
                <w:color w:val="262626"/>
                <w:sz w:val="16"/>
                <w:szCs w:val="16"/>
              </w:rPr>
            </w:pPr>
            <w:r>
              <w:rPr>
                <w:rFonts w:eastAsia="Times New Roman"/>
                <w:i/>
                <w:iCs/>
                <w:color w:val="262626"/>
                <w:sz w:val="16"/>
                <w:szCs w:val="16"/>
              </w:rPr>
              <w:t>[</w:t>
            </w:r>
            <w:r w:rsidRPr="00677E16">
              <w:rPr>
                <w:rFonts w:eastAsia="Times New Roman"/>
                <w:i/>
                <w:iCs/>
                <w:color w:val="262626"/>
                <w:sz w:val="16"/>
                <w:szCs w:val="16"/>
              </w:rPr>
              <w:t>OIMP authorized by the Party</w:t>
            </w:r>
            <w:r w:rsidRPr="00677E16">
              <w:rPr>
                <w:rFonts w:eastAsia="Times New Roman"/>
                <w:i/>
                <w:iCs/>
                <w:color w:val="262626"/>
                <w:sz w:val="16"/>
                <w:szCs w:val="16"/>
                <w:vertAlign w:val="superscript"/>
              </w:rPr>
              <w:t>m</w:t>
            </w:r>
            <w:r>
              <w:rPr>
                <w:rFonts w:eastAsia="Times New Roman"/>
                <w:i/>
                <w:iCs/>
                <w:color w:val="262626"/>
                <w:sz w:val="16"/>
                <w:szCs w:val="16"/>
              </w:rPr>
              <w:t>]</w:t>
            </w:r>
          </w:p>
        </w:tc>
        <w:tc>
          <w:tcPr>
            <w:tcW w:w="1314" w:type="dxa"/>
            <w:tcBorders>
              <w:top w:val="nil"/>
              <w:left w:val="nil"/>
              <w:bottom w:val="single" w:sz="8" w:space="0" w:color="auto"/>
              <w:right w:val="nil"/>
            </w:tcBorders>
            <w:shd w:val="clear" w:color="auto" w:fill="auto"/>
            <w:vAlign w:val="bottom"/>
            <w:hideMark/>
          </w:tcPr>
          <w:p w14:paraId="4F5BE1D9" w14:textId="77777777" w:rsidR="003670E8" w:rsidRPr="003A69E4"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Authorized [use] timeframe</w:t>
            </w:r>
            <w:r w:rsidRPr="00677E16">
              <w:rPr>
                <w:rFonts w:eastAsia="Times New Roman"/>
                <w:i/>
                <w:iCs/>
                <w:color w:val="262626" w:themeColor="text1" w:themeTint="D9"/>
                <w:sz w:val="16"/>
                <w:szCs w:val="16"/>
                <w:vertAlign w:val="superscript"/>
                <w:lang w:val="en-US"/>
              </w:rPr>
              <w:t>n</w:t>
            </w:r>
            <w:r>
              <w:rPr>
                <w:rFonts w:eastAsia="Times New Roman"/>
                <w:i/>
                <w:iCs/>
                <w:color w:val="262626" w:themeColor="text1" w:themeTint="D9"/>
                <w:sz w:val="16"/>
                <w:szCs w:val="16"/>
                <w:lang w:val="en-US"/>
              </w:rPr>
              <w:t>]</w:t>
            </w:r>
          </w:p>
        </w:tc>
        <w:tc>
          <w:tcPr>
            <w:tcW w:w="1559" w:type="dxa"/>
            <w:tcBorders>
              <w:top w:val="nil"/>
              <w:left w:val="nil"/>
              <w:bottom w:val="single" w:sz="8" w:space="0" w:color="auto"/>
              <w:right w:val="nil"/>
            </w:tcBorders>
            <w:shd w:val="clear" w:color="auto" w:fill="auto"/>
            <w:vAlign w:val="bottom"/>
            <w:hideMark/>
          </w:tcPr>
          <w:p w14:paraId="12F4280A" w14:textId="77777777" w:rsidR="003670E8" w:rsidRPr="00BD5AD3"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[Authorization][Authorized] terms and conditions</w:t>
            </w:r>
            <w:r w:rsidRPr="00677E16">
              <w:rPr>
                <w:rFonts w:eastAsia="Times New Roman"/>
                <w:i/>
                <w:iCs/>
                <w:color w:val="262626" w:themeColor="text1" w:themeTint="D9"/>
                <w:sz w:val="16"/>
                <w:szCs w:val="16"/>
                <w:vertAlign w:val="superscript"/>
                <w:lang w:val="en-US"/>
              </w:rPr>
              <w:t>o</w:t>
            </w:r>
            <w:r>
              <w:rPr>
                <w:rFonts w:eastAsia="Times New Roman"/>
                <w:i/>
                <w:iCs/>
                <w:color w:val="262626" w:themeColor="text1" w:themeTint="D9"/>
                <w:sz w:val="16"/>
                <w:szCs w:val="16"/>
                <w:lang w:val="en-US"/>
              </w:rPr>
              <w:t>]</w:t>
            </w:r>
          </w:p>
        </w:tc>
        <w:tc>
          <w:tcPr>
            <w:tcW w:w="1907" w:type="dxa"/>
            <w:tcBorders>
              <w:top w:val="nil"/>
              <w:left w:val="nil"/>
              <w:bottom w:val="single" w:sz="8" w:space="0" w:color="auto"/>
              <w:right w:val="nil"/>
            </w:tcBorders>
            <w:shd w:val="clear" w:color="auto" w:fill="auto"/>
            <w:vAlign w:val="bottom"/>
            <w:hideMark/>
          </w:tcPr>
          <w:p w14:paraId="3BB0B1D1"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Authorization documentation</w:t>
            </w:r>
            <w:r w:rsidRPr="00677E16">
              <w:rPr>
                <w:rFonts w:eastAsia="Times New Roman"/>
                <w:i/>
                <w:iCs/>
                <w:color w:val="262626" w:themeColor="text1" w:themeTint="D9"/>
                <w:sz w:val="16"/>
                <w:szCs w:val="16"/>
                <w:vertAlign w:val="superscript"/>
                <w:lang w:val="en-US"/>
              </w:rPr>
              <w:t>p</w:t>
            </w:r>
          </w:p>
        </w:tc>
        <w:tc>
          <w:tcPr>
            <w:tcW w:w="1407" w:type="dxa"/>
            <w:shd w:val="clear" w:color="auto" w:fill="auto"/>
            <w:vAlign w:val="bottom"/>
            <w:hideMark/>
          </w:tcPr>
          <w:p w14:paraId="04A282E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transfer definition for OIMP</w:t>
            </w:r>
            <w:r w:rsidRPr="00677E16">
              <w:rPr>
                <w:rFonts w:eastAsia="Times New Roman"/>
                <w:i/>
                <w:iCs/>
                <w:color w:val="262626"/>
                <w:sz w:val="16"/>
                <w:szCs w:val="16"/>
                <w:vertAlign w:val="superscript"/>
              </w:rPr>
              <w:t>q</w:t>
            </w:r>
          </w:p>
          <w:p w14:paraId="6983D76A" w14:textId="77777777" w:rsidR="003670E8" w:rsidRPr="006D28DE" w:rsidRDefault="003670E8" w:rsidP="00EA194A">
            <w:pPr>
              <w:suppressAutoHyphens w:val="0"/>
              <w:spacing w:line="240" w:lineRule="auto"/>
              <w:jc w:val="center"/>
              <w:rPr>
                <w:rFonts w:eastAsia="Times New Roman"/>
                <w:color w:val="262626"/>
                <w:sz w:val="16"/>
                <w:szCs w:val="16"/>
              </w:rPr>
            </w:pPr>
            <w:r w:rsidRPr="006D28DE">
              <w:rPr>
                <w:rFonts w:eastAsia="Times New Roman"/>
                <w:color w:val="262626"/>
                <w:sz w:val="16"/>
                <w:szCs w:val="16"/>
              </w:rPr>
              <w:t>Authorization</w:t>
            </w:r>
          </w:p>
          <w:p w14:paraId="01EBEA0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D28DE">
              <w:rPr>
                <w:rFonts w:eastAsia="Times New Roman"/>
                <w:color w:val="262626"/>
                <w:sz w:val="16"/>
                <w:szCs w:val="16"/>
              </w:rPr>
              <w:t>Issuance</w:t>
            </w:r>
          </w:p>
        </w:tc>
        <w:tc>
          <w:tcPr>
            <w:tcW w:w="1177" w:type="dxa"/>
            <w:gridSpan w:val="2"/>
            <w:shd w:val="clear" w:color="auto" w:fill="auto"/>
            <w:vAlign w:val="bottom"/>
          </w:tcPr>
          <w:p w14:paraId="527D02CD" w14:textId="77777777" w:rsidR="003670E8" w:rsidRPr="00677E16" w:rsidRDefault="003670E8" w:rsidP="00EA194A">
            <w:pPr>
              <w:suppressAutoHyphens w:val="0"/>
              <w:spacing w:line="240" w:lineRule="auto"/>
              <w:jc w:val="center"/>
              <w:rPr>
                <w:rFonts w:eastAsia="Times New Roman"/>
                <w:i/>
                <w:iCs/>
                <w:color w:val="262626"/>
                <w:sz w:val="16"/>
                <w:szCs w:val="16"/>
              </w:rPr>
            </w:pPr>
            <w:r w:rsidRPr="00A63392">
              <w:rPr>
                <w:rFonts w:eastAsia="Times New Roman"/>
                <w:i/>
                <w:iCs/>
                <w:color w:val="262626" w:themeColor="text1" w:themeTint="D9"/>
                <w:sz w:val="16"/>
                <w:szCs w:val="16"/>
                <w:lang w:val="en-US"/>
              </w:rPr>
              <w:t>Additional explanatory information</w:t>
            </w:r>
          </w:p>
        </w:tc>
      </w:tr>
      <w:tr w:rsidR="003670E8" w:rsidRPr="00677E16" w14:paraId="1B7FEF9B" w14:textId="77777777" w:rsidTr="00EA194A">
        <w:trPr>
          <w:trHeight w:val="288"/>
        </w:trPr>
        <w:tc>
          <w:tcPr>
            <w:tcW w:w="1134" w:type="dxa"/>
            <w:tcBorders>
              <w:top w:val="nil"/>
              <w:left w:val="nil"/>
              <w:bottom w:val="nil"/>
              <w:right w:val="nil"/>
            </w:tcBorders>
            <w:shd w:val="clear" w:color="auto" w:fill="FFFFFF" w:themeFill="background1"/>
          </w:tcPr>
          <w:p w14:paraId="7F9B11D4"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center"/>
            <w:hideMark/>
          </w:tcPr>
          <w:p w14:paraId="7B07E088"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NDC</w:t>
            </w:r>
          </w:p>
        </w:tc>
        <w:tc>
          <w:tcPr>
            <w:tcW w:w="1126" w:type="dxa"/>
            <w:tcBorders>
              <w:top w:val="nil"/>
              <w:left w:val="nil"/>
              <w:bottom w:val="nil"/>
              <w:right w:val="nil"/>
            </w:tcBorders>
            <w:shd w:val="clear" w:color="auto" w:fill="FFFFFF" w:themeFill="background1"/>
          </w:tcPr>
          <w:p w14:paraId="783DBE9C" w14:textId="77777777" w:rsidR="003670E8" w:rsidRPr="00677E16" w:rsidRDefault="003670E8" w:rsidP="00EA194A">
            <w:pPr>
              <w:suppressAutoHyphens w:val="0"/>
              <w:spacing w:line="240" w:lineRule="auto"/>
              <w:rPr>
                <w:rFonts w:eastAsia="Times New Roman"/>
                <w:color w:val="262626"/>
              </w:rPr>
            </w:pPr>
          </w:p>
        </w:tc>
        <w:tc>
          <w:tcPr>
            <w:tcW w:w="1126" w:type="dxa"/>
            <w:tcBorders>
              <w:top w:val="nil"/>
              <w:left w:val="nil"/>
              <w:bottom w:val="nil"/>
              <w:right w:val="nil"/>
            </w:tcBorders>
            <w:shd w:val="clear" w:color="auto" w:fill="FFFFFF" w:themeFill="background1"/>
            <w:vAlign w:val="center"/>
            <w:hideMark/>
          </w:tcPr>
          <w:p w14:paraId="73C65497"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266" w:type="dxa"/>
            <w:tcBorders>
              <w:top w:val="nil"/>
              <w:left w:val="nil"/>
              <w:bottom w:val="nil"/>
              <w:right w:val="nil"/>
            </w:tcBorders>
            <w:shd w:val="clear" w:color="auto" w:fill="FFFFFF" w:themeFill="background1"/>
            <w:vAlign w:val="center"/>
            <w:hideMark/>
          </w:tcPr>
          <w:p w14:paraId="1AA810AE"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314" w:type="dxa"/>
            <w:tcBorders>
              <w:top w:val="nil"/>
              <w:left w:val="nil"/>
              <w:bottom w:val="nil"/>
              <w:right w:val="nil"/>
            </w:tcBorders>
            <w:shd w:val="clear" w:color="auto" w:fill="FFFFFF" w:themeFill="background1"/>
            <w:vAlign w:val="center"/>
            <w:hideMark/>
          </w:tcPr>
          <w:p w14:paraId="3C94A560"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559" w:type="dxa"/>
            <w:tcBorders>
              <w:top w:val="nil"/>
              <w:left w:val="nil"/>
              <w:bottom w:val="nil"/>
              <w:right w:val="nil"/>
            </w:tcBorders>
            <w:shd w:val="clear" w:color="auto" w:fill="FFFFFF" w:themeFill="background1"/>
            <w:vAlign w:val="center"/>
            <w:hideMark/>
          </w:tcPr>
          <w:p w14:paraId="2D991643"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907" w:type="dxa"/>
            <w:tcBorders>
              <w:top w:val="nil"/>
              <w:left w:val="nil"/>
              <w:bottom w:val="nil"/>
              <w:right w:val="nil"/>
            </w:tcBorders>
            <w:shd w:val="clear" w:color="auto" w:fill="FFFFFF" w:themeFill="background1"/>
            <w:vAlign w:val="center"/>
            <w:hideMark/>
          </w:tcPr>
          <w:p w14:paraId="64F7DFA1"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407" w:type="dxa"/>
            <w:tcBorders>
              <w:left w:val="nil"/>
              <w:right w:val="nil"/>
            </w:tcBorders>
            <w:shd w:val="clear" w:color="auto" w:fill="auto"/>
            <w:vAlign w:val="center"/>
            <w:hideMark/>
          </w:tcPr>
          <w:p w14:paraId="144B14C8" w14:textId="77777777" w:rsidR="003670E8" w:rsidRPr="00677E16" w:rsidRDefault="003670E8" w:rsidP="00EA194A">
            <w:pPr>
              <w:spacing w:line="240" w:lineRule="auto"/>
              <w:jc w:val="center"/>
              <w:rPr>
                <w:rFonts w:eastAsia="Times New Roman"/>
                <w:color w:val="262626"/>
              </w:rPr>
            </w:pPr>
          </w:p>
        </w:tc>
        <w:tc>
          <w:tcPr>
            <w:tcW w:w="1177" w:type="dxa"/>
            <w:gridSpan w:val="2"/>
            <w:tcBorders>
              <w:left w:val="nil"/>
              <w:right w:val="nil"/>
            </w:tcBorders>
            <w:shd w:val="clear" w:color="auto" w:fill="auto"/>
            <w:vAlign w:val="center"/>
          </w:tcPr>
          <w:p w14:paraId="1F6908B6" w14:textId="77777777" w:rsidR="003670E8" w:rsidRPr="00677E16" w:rsidRDefault="003670E8" w:rsidP="00EA194A">
            <w:pPr>
              <w:spacing w:line="240" w:lineRule="auto"/>
              <w:jc w:val="center"/>
              <w:rPr>
                <w:rFonts w:eastAsia="Times New Roman"/>
                <w:color w:val="262626"/>
              </w:rPr>
            </w:pPr>
          </w:p>
        </w:tc>
      </w:tr>
      <w:tr w:rsidR="003670E8" w:rsidRPr="00677E16" w14:paraId="3D70ACED" w14:textId="77777777" w:rsidTr="00EA194A">
        <w:trPr>
          <w:trHeight w:val="288"/>
        </w:trPr>
        <w:tc>
          <w:tcPr>
            <w:tcW w:w="1134" w:type="dxa"/>
            <w:tcBorders>
              <w:top w:val="nil"/>
              <w:left w:val="nil"/>
              <w:bottom w:val="nil"/>
              <w:right w:val="nil"/>
            </w:tcBorders>
            <w:shd w:val="clear" w:color="auto" w:fill="FFFFFF" w:themeFill="background1"/>
          </w:tcPr>
          <w:p w14:paraId="1617DDB6"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center"/>
            <w:hideMark/>
          </w:tcPr>
          <w:p w14:paraId="2CA13EC6" w14:textId="77777777" w:rsidR="003670E8" w:rsidRPr="00677E16" w:rsidRDefault="003670E8" w:rsidP="00EA194A">
            <w:pPr>
              <w:suppressAutoHyphens w:val="0"/>
              <w:spacing w:line="240" w:lineRule="auto"/>
              <w:jc w:val="center"/>
              <w:rPr>
                <w:rFonts w:eastAsia="Times New Roman"/>
                <w:color w:val="262626"/>
              </w:rPr>
            </w:pPr>
            <w:r>
              <w:rPr>
                <w:rFonts w:eastAsia="Times New Roman"/>
                <w:color w:val="262626"/>
              </w:rPr>
              <w:t>[</w:t>
            </w:r>
            <w:r w:rsidRPr="00677E16">
              <w:rPr>
                <w:rFonts w:eastAsia="Times New Roman"/>
                <w:color w:val="262626"/>
              </w:rPr>
              <w:t>OIMP</w:t>
            </w:r>
            <w:r>
              <w:rPr>
                <w:rFonts w:eastAsia="Times New Roman"/>
                <w:color w:val="262626"/>
              </w:rPr>
              <w:t>]</w:t>
            </w:r>
          </w:p>
        </w:tc>
        <w:tc>
          <w:tcPr>
            <w:tcW w:w="1126" w:type="dxa"/>
            <w:tcBorders>
              <w:top w:val="nil"/>
              <w:left w:val="nil"/>
              <w:bottom w:val="nil"/>
              <w:right w:val="nil"/>
            </w:tcBorders>
            <w:shd w:val="clear" w:color="auto" w:fill="FFFFFF" w:themeFill="background1"/>
          </w:tcPr>
          <w:p w14:paraId="40F1F97D" w14:textId="77777777" w:rsidR="003670E8" w:rsidRPr="00677E16" w:rsidRDefault="003670E8" w:rsidP="00EA194A">
            <w:pPr>
              <w:suppressAutoHyphens w:val="0"/>
              <w:spacing w:line="240" w:lineRule="auto"/>
              <w:rPr>
                <w:rFonts w:eastAsia="Times New Roman"/>
                <w:color w:val="262626"/>
              </w:rPr>
            </w:pPr>
          </w:p>
        </w:tc>
        <w:tc>
          <w:tcPr>
            <w:tcW w:w="1126" w:type="dxa"/>
            <w:tcBorders>
              <w:top w:val="nil"/>
              <w:left w:val="nil"/>
              <w:bottom w:val="nil"/>
              <w:right w:val="nil"/>
            </w:tcBorders>
            <w:shd w:val="clear" w:color="auto" w:fill="FFFFFF" w:themeFill="background1"/>
            <w:vAlign w:val="center"/>
            <w:hideMark/>
          </w:tcPr>
          <w:p w14:paraId="1DFCF5CC"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266" w:type="dxa"/>
            <w:tcBorders>
              <w:top w:val="nil"/>
              <w:left w:val="nil"/>
              <w:bottom w:val="nil"/>
              <w:right w:val="nil"/>
            </w:tcBorders>
            <w:shd w:val="clear" w:color="auto" w:fill="FFFFFF" w:themeFill="background1"/>
            <w:vAlign w:val="center"/>
            <w:hideMark/>
          </w:tcPr>
          <w:p w14:paraId="0C6E4E3B"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314" w:type="dxa"/>
            <w:tcBorders>
              <w:top w:val="nil"/>
              <w:left w:val="nil"/>
              <w:bottom w:val="nil"/>
              <w:right w:val="nil"/>
            </w:tcBorders>
            <w:shd w:val="clear" w:color="auto" w:fill="FFFFFF" w:themeFill="background1"/>
            <w:vAlign w:val="center"/>
            <w:hideMark/>
          </w:tcPr>
          <w:p w14:paraId="7EBBECF8"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559" w:type="dxa"/>
            <w:tcBorders>
              <w:top w:val="nil"/>
              <w:left w:val="nil"/>
              <w:bottom w:val="nil"/>
              <w:right w:val="nil"/>
            </w:tcBorders>
            <w:shd w:val="clear" w:color="auto" w:fill="FFFFFF" w:themeFill="background1"/>
            <w:vAlign w:val="center"/>
            <w:hideMark/>
          </w:tcPr>
          <w:p w14:paraId="0A7EE780"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907" w:type="dxa"/>
            <w:tcBorders>
              <w:top w:val="nil"/>
              <w:left w:val="nil"/>
              <w:bottom w:val="nil"/>
              <w:right w:val="nil"/>
            </w:tcBorders>
            <w:shd w:val="clear" w:color="auto" w:fill="FFFFFF" w:themeFill="background1"/>
            <w:vAlign w:val="center"/>
            <w:hideMark/>
          </w:tcPr>
          <w:p w14:paraId="4183C14A"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407" w:type="dxa"/>
            <w:tcBorders>
              <w:left w:val="nil"/>
              <w:right w:val="nil"/>
            </w:tcBorders>
            <w:shd w:val="clear" w:color="auto" w:fill="auto"/>
            <w:vAlign w:val="center"/>
            <w:hideMark/>
          </w:tcPr>
          <w:p w14:paraId="769AF8AA" w14:textId="77777777" w:rsidR="003670E8" w:rsidRPr="00677E16" w:rsidRDefault="003670E8" w:rsidP="00EA194A">
            <w:pPr>
              <w:spacing w:line="240" w:lineRule="auto"/>
              <w:jc w:val="center"/>
              <w:rPr>
                <w:rFonts w:eastAsia="Times New Roman"/>
                <w:color w:val="262626"/>
              </w:rPr>
            </w:pPr>
          </w:p>
        </w:tc>
        <w:tc>
          <w:tcPr>
            <w:tcW w:w="1177" w:type="dxa"/>
            <w:gridSpan w:val="2"/>
            <w:tcBorders>
              <w:left w:val="nil"/>
              <w:right w:val="nil"/>
            </w:tcBorders>
            <w:shd w:val="clear" w:color="auto" w:fill="auto"/>
            <w:vAlign w:val="center"/>
          </w:tcPr>
          <w:p w14:paraId="32428838" w14:textId="77777777" w:rsidR="003670E8" w:rsidRPr="00677E16" w:rsidRDefault="003670E8" w:rsidP="00EA194A">
            <w:pPr>
              <w:spacing w:line="240" w:lineRule="auto"/>
              <w:jc w:val="center"/>
              <w:rPr>
                <w:rFonts w:eastAsia="Times New Roman"/>
                <w:color w:val="262626"/>
              </w:rPr>
            </w:pPr>
          </w:p>
        </w:tc>
      </w:tr>
      <w:tr w:rsidR="003670E8" w:rsidRPr="00677E16" w14:paraId="3567D59F" w14:textId="77777777" w:rsidTr="00EA194A">
        <w:trPr>
          <w:trHeight w:val="288"/>
        </w:trPr>
        <w:tc>
          <w:tcPr>
            <w:tcW w:w="1134" w:type="dxa"/>
            <w:tcBorders>
              <w:top w:val="nil"/>
              <w:left w:val="nil"/>
              <w:right w:val="nil"/>
            </w:tcBorders>
            <w:shd w:val="clear" w:color="auto" w:fill="FFFFFF" w:themeFill="background1"/>
          </w:tcPr>
          <w:p w14:paraId="26A6DF1C"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right w:val="nil"/>
            </w:tcBorders>
            <w:shd w:val="clear" w:color="auto" w:fill="FFFFFF" w:themeFill="background1"/>
            <w:vAlign w:val="center"/>
          </w:tcPr>
          <w:p w14:paraId="6AC9F4EF" w14:textId="77777777" w:rsidR="003670E8" w:rsidRPr="00677E16" w:rsidRDefault="003670E8" w:rsidP="00EA194A">
            <w:pPr>
              <w:suppressAutoHyphens w:val="0"/>
              <w:spacing w:line="240" w:lineRule="auto"/>
              <w:jc w:val="center"/>
              <w:rPr>
                <w:rFonts w:eastAsia="Times New Roman"/>
                <w:color w:val="262626"/>
              </w:rPr>
            </w:pPr>
            <w:r>
              <w:rPr>
                <w:rFonts w:eastAsia="Times New Roman"/>
                <w:color w:val="262626"/>
              </w:rPr>
              <w:t>(to be filled by party)</w:t>
            </w:r>
          </w:p>
        </w:tc>
        <w:tc>
          <w:tcPr>
            <w:tcW w:w="1126" w:type="dxa"/>
            <w:tcBorders>
              <w:top w:val="nil"/>
              <w:left w:val="nil"/>
              <w:right w:val="nil"/>
            </w:tcBorders>
            <w:shd w:val="clear" w:color="auto" w:fill="FFFFFF" w:themeFill="background1"/>
          </w:tcPr>
          <w:p w14:paraId="60C664C4" w14:textId="77777777" w:rsidR="003670E8" w:rsidRPr="00677E16" w:rsidRDefault="003670E8" w:rsidP="00EA194A">
            <w:pPr>
              <w:suppressAutoHyphens w:val="0"/>
              <w:spacing w:line="240" w:lineRule="auto"/>
              <w:rPr>
                <w:rFonts w:eastAsia="Times New Roman"/>
                <w:color w:val="262626"/>
              </w:rPr>
            </w:pPr>
          </w:p>
        </w:tc>
        <w:tc>
          <w:tcPr>
            <w:tcW w:w="1126" w:type="dxa"/>
            <w:tcBorders>
              <w:top w:val="nil"/>
              <w:left w:val="nil"/>
              <w:right w:val="nil"/>
            </w:tcBorders>
            <w:shd w:val="clear" w:color="auto" w:fill="FFFFFF" w:themeFill="background1"/>
            <w:vAlign w:val="center"/>
            <w:hideMark/>
          </w:tcPr>
          <w:p w14:paraId="36149B6E"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266" w:type="dxa"/>
            <w:tcBorders>
              <w:top w:val="nil"/>
              <w:left w:val="nil"/>
              <w:right w:val="nil"/>
            </w:tcBorders>
            <w:shd w:val="clear" w:color="auto" w:fill="FFFFFF" w:themeFill="background1"/>
            <w:vAlign w:val="center"/>
            <w:hideMark/>
          </w:tcPr>
          <w:p w14:paraId="4F9B97D6"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314" w:type="dxa"/>
            <w:tcBorders>
              <w:top w:val="nil"/>
              <w:left w:val="nil"/>
              <w:right w:val="nil"/>
            </w:tcBorders>
            <w:shd w:val="clear" w:color="auto" w:fill="FFFFFF" w:themeFill="background1"/>
            <w:vAlign w:val="center"/>
            <w:hideMark/>
          </w:tcPr>
          <w:p w14:paraId="1F1CD485"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559" w:type="dxa"/>
            <w:tcBorders>
              <w:top w:val="nil"/>
              <w:left w:val="nil"/>
              <w:right w:val="nil"/>
            </w:tcBorders>
            <w:shd w:val="clear" w:color="auto" w:fill="FFFFFF" w:themeFill="background1"/>
            <w:vAlign w:val="center"/>
            <w:hideMark/>
          </w:tcPr>
          <w:p w14:paraId="3011BBBF"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907" w:type="dxa"/>
            <w:tcBorders>
              <w:top w:val="nil"/>
              <w:left w:val="nil"/>
              <w:right w:val="nil"/>
            </w:tcBorders>
            <w:shd w:val="clear" w:color="auto" w:fill="FFFFFF" w:themeFill="background1"/>
            <w:vAlign w:val="center"/>
            <w:hideMark/>
          </w:tcPr>
          <w:p w14:paraId="335C6887"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407" w:type="dxa"/>
            <w:tcBorders>
              <w:left w:val="nil"/>
              <w:right w:val="nil"/>
            </w:tcBorders>
            <w:shd w:val="clear" w:color="auto" w:fill="auto"/>
            <w:vAlign w:val="center"/>
            <w:hideMark/>
          </w:tcPr>
          <w:p w14:paraId="7B22CA39" w14:textId="77777777" w:rsidR="003670E8" w:rsidRPr="00677E16" w:rsidRDefault="003670E8" w:rsidP="00EA194A">
            <w:pPr>
              <w:spacing w:line="240" w:lineRule="auto"/>
              <w:jc w:val="center"/>
              <w:rPr>
                <w:rFonts w:eastAsia="Times New Roman"/>
                <w:color w:val="262626"/>
              </w:rPr>
            </w:pPr>
          </w:p>
        </w:tc>
        <w:tc>
          <w:tcPr>
            <w:tcW w:w="1177" w:type="dxa"/>
            <w:gridSpan w:val="2"/>
            <w:tcBorders>
              <w:left w:val="nil"/>
              <w:right w:val="nil"/>
            </w:tcBorders>
            <w:shd w:val="clear" w:color="auto" w:fill="auto"/>
            <w:vAlign w:val="center"/>
          </w:tcPr>
          <w:p w14:paraId="00B4DBFB" w14:textId="77777777" w:rsidR="003670E8" w:rsidRPr="00677E16" w:rsidRDefault="003670E8" w:rsidP="00EA194A">
            <w:pPr>
              <w:spacing w:line="240" w:lineRule="auto"/>
              <w:jc w:val="center"/>
              <w:rPr>
                <w:rFonts w:eastAsia="Times New Roman"/>
                <w:color w:val="262626"/>
              </w:rPr>
            </w:pPr>
          </w:p>
        </w:tc>
      </w:tr>
      <w:tr w:rsidR="003670E8" w:rsidRPr="00677E16" w14:paraId="1B024601" w14:textId="77777777" w:rsidTr="00EA194A">
        <w:trPr>
          <w:trHeight w:val="288"/>
        </w:trPr>
        <w:tc>
          <w:tcPr>
            <w:tcW w:w="1134" w:type="dxa"/>
            <w:tcBorders>
              <w:top w:val="nil"/>
              <w:left w:val="nil"/>
              <w:right w:val="nil"/>
            </w:tcBorders>
            <w:shd w:val="clear" w:color="auto" w:fill="FFFFFF" w:themeFill="background1"/>
          </w:tcPr>
          <w:p w14:paraId="6B7AF965"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right w:val="nil"/>
            </w:tcBorders>
            <w:shd w:val="clear" w:color="auto" w:fill="FFFFFF" w:themeFill="background1"/>
            <w:vAlign w:val="center"/>
          </w:tcPr>
          <w:p w14:paraId="67BE8BAE" w14:textId="77777777" w:rsidR="003670E8" w:rsidRPr="001F0108" w:rsidRDefault="003670E8" w:rsidP="00EA194A">
            <w:pPr>
              <w:suppressAutoHyphens w:val="0"/>
              <w:spacing w:line="240" w:lineRule="auto"/>
              <w:jc w:val="center"/>
              <w:rPr>
                <w:rFonts w:eastAsia="Times New Roman"/>
                <w:b/>
                <w:bCs/>
                <w:color w:val="262626"/>
              </w:rPr>
            </w:pPr>
            <w:r w:rsidRPr="001F0108">
              <w:rPr>
                <w:rFonts w:eastAsia="Times New Roman"/>
                <w:b/>
                <w:bCs/>
                <w:color w:val="262626"/>
              </w:rPr>
              <w:t>Option 1:</w:t>
            </w:r>
          </w:p>
        </w:tc>
        <w:tc>
          <w:tcPr>
            <w:tcW w:w="1126" w:type="dxa"/>
            <w:tcBorders>
              <w:top w:val="nil"/>
              <w:left w:val="nil"/>
              <w:right w:val="nil"/>
            </w:tcBorders>
            <w:shd w:val="clear" w:color="auto" w:fill="FFFFFF" w:themeFill="background1"/>
          </w:tcPr>
          <w:p w14:paraId="140172F2" w14:textId="77777777" w:rsidR="003670E8" w:rsidRPr="00677E16" w:rsidRDefault="003670E8" w:rsidP="00EA194A">
            <w:pPr>
              <w:suppressAutoHyphens w:val="0"/>
              <w:spacing w:line="240" w:lineRule="auto"/>
              <w:rPr>
                <w:rFonts w:eastAsia="Times New Roman"/>
                <w:color w:val="262626"/>
              </w:rPr>
            </w:pPr>
          </w:p>
        </w:tc>
        <w:tc>
          <w:tcPr>
            <w:tcW w:w="1126" w:type="dxa"/>
            <w:tcBorders>
              <w:top w:val="nil"/>
              <w:left w:val="nil"/>
              <w:right w:val="nil"/>
            </w:tcBorders>
            <w:shd w:val="clear" w:color="auto" w:fill="FFFFFF" w:themeFill="background1"/>
            <w:vAlign w:val="center"/>
          </w:tcPr>
          <w:p w14:paraId="16A37480" w14:textId="77777777" w:rsidR="003670E8" w:rsidRPr="00677E16" w:rsidRDefault="003670E8" w:rsidP="00EA194A">
            <w:pPr>
              <w:suppressAutoHyphens w:val="0"/>
              <w:spacing w:line="240" w:lineRule="auto"/>
              <w:rPr>
                <w:rFonts w:eastAsia="Times New Roman"/>
                <w:color w:val="262626"/>
              </w:rPr>
            </w:pPr>
          </w:p>
        </w:tc>
        <w:tc>
          <w:tcPr>
            <w:tcW w:w="1266" w:type="dxa"/>
            <w:tcBorders>
              <w:top w:val="nil"/>
              <w:left w:val="nil"/>
              <w:right w:val="nil"/>
            </w:tcBorders>
            <w:shd w:val="clear" w:color="auto" w:fill="FFFFFF" w:themeFill="background1"/>
            <w:vAlign w:val="center"/>
          </w:tcPr>
          <w:p w14:paraId="17B90A06" w14:textId="77777777" w:rsidR="003670E8" w:rsidRPr="00677E16" w:rsidRDefault="003670E8" w:rsidP="00EA194A">
            <w:pPr>
              <w:suppressAutoHyphens w:val="0"/>
              <w:spacing w:line="240" w:lineRule="auto"/>
              <w:rPr>
                <w:rFonts w:eastAsia="Times New Roman"/>
                <w:color w:val="262626"/>
              </w:rPr>
            </w:pPr>
          </w:p>
        </w:tc>
        <w:tc>
          <w:tcPr>
            <w:tcW w:w="1314" w:type="dxa"/>
            <w:tcBorders>
              <w:top w:val="nil"/>
              <w:left w:val="nil"/>
              <w:right w:val="nil"/>
            </w:tcBorders>
            <w:shd w:val="clear" w:color="auto" w:fill="FFFFFF" w:themeFill="background1"/>
            <w:vAlign w:val="center"/>
          </w:tcPr>
          <w:p w14:paraId="30C25283" w14:textId="77777777" w:rsidR="003670E8" w:rsidRPr="00677E16" w:rsidRDefault="003670E8" w:rsidP="00EA194A">
            <w:pPr>
              <w:suppressAutoHyphens w:val="0"/>
              <w:spacing w:line="240" w:lineRule="auto"/>
              <w:rPr>
                <w:rFonts w:eastAsia="Times New Roman"/>
                <w:color w:val="262626"/>
              </w:rPr>
            </w:pPr>
          </w:p>
        </w:tc>
        <w:tc>
          <w:tcPr>
            <w:tcW w:w="1559" w:type="dxa"/>
            <w:tcBorders>
              <w:top w:val="nil"/>
              <w:left w:val="nil"/>
              <w:right w:val="nil"/>
            </w:tcBorders>
            <w:shd w:val="clear" w:color="auto" w:fill="FFFFFF" w:themeFill="background1"/>
            <w:vAlign w:val="center"/>
          </w:tcPr>
          <w:p w14:paraId="29E42643" w14:textId="77777777" w:rsidR="003670E8" w:rsidRPr="00677E16" w:rsidRDefault="003670E8" w:rsidP="00EA194A">
            <w:pPr>
              <w:suppressAutoHyphens w:val="0"/>
              <w:spacing w:line="240" w:lineRule="auto"/>
              <w:rPr>
                <w:rFonts w:eastAsia="Times New Roman"/>
                <w:color w:val="262626"/>
              </w:rPr>
            </w:pPr>
          </w:p>
        </w:tc>
        <w:tc>
          <w:tcPr>
            <w:tcW w:w="1907" w:type="dxa"/>
            <w:tcBorders>
              <w:top w:val="nil"/>
              <w:left w:val="nil"/>
              <w:right w:val="nil"/>
            </w:tcBorders>
            <w:shd w:val="clear" w:color="auto" w:fill="FFFFFF" w:themeFill="background1"/>
            <w:vAlign w:val="center"/>
          </w:tcPr>
          <w:p w14:paraId="309C946F" w14:textId="77777777" w:rsidR="003670E8" w:rsidRPr="00677E16" w:rsidRDefault="003670E8" w:rsidP="00EA194A">
            <w:pPr>
              <w:suppressAutoHyphens w:val="0"/>
              <w:spacing w:line="240" w:lineRule="auto"/>
              <w:rPr>
                <w:rFonts w:eastAsia="Times New Roman"/>
                <w:color w:val="262626"/>
              </w:rPr>
            </w:pPr>
          </w:p>
        </w:tc>
        <w:tc>
          <w:tcPr>
            <w:tcW w:w="1407" w:type="dxa"/>
            <w:tcBorders>
              <w:left w:val="nil"/>
            </w:tcBorders>
            <w:shd w:val="clear" w:color="auto" w:fill="auto"/>
            <w:vAlign w:val="center"/>
          </w:tcPr>
          <w:p w14:paraId="01F733BB" w14:textId="77777777" w:rsidR="003670E8" w:rsidRPr="00677E16" w:rsidRDefault="003670E8" w:rsidP="00EA194A">
            <w:pPr>
              <w:spacing w:line="240" w:lineRule="auto"/>
              <w:jc w:val="center"/>
              <w:rPr>
                <w:rFonts w:eastAsia="Times New Roman"/>
                <w:color w:val="262626"/>
              </w:rPr>
            </w:pPr>
          </w:p>
        </w:tc>
        <w:tc>
          <w:tcPr>
            <w:tcW w:w="1177" w:type="dxa"/>
            <w:gridSpan w:val="2"/>
            <w:tcBorders>
              <w:left w:val="nil"/>
            </w:tcBorders>
            <w:shd w:val="clear" w:color="auto" w:fill="auto"/>
            <w:vAlign w:val="center"/>
          </w:tcPr>
          <w:p w14:paraId="03883267" w14:textId="77777777" w:rsidR="003670E8" w:rsidRPr="00677E16" w:rsidRDefault="003670E8" w:rsidP="00EA194A">
            <w:pPr>
              <w:spacing w:line="240" w:lineRule="auto"/>
              <w:jc w:val="center"/>
              <w:rPr>
                <w:rFonts w:eastAsia="Times New Roman"/>
                <w:color w:val="262626"/>
              </w:rPr>
            </w:pPr>
          </w:p>
        </w:tc>
      </w:tr>
      <w:tr w:rsidR="003670E8" w:rsidRPr="00677E16" w14:paraId="48938423" w14:textId="77777777" w:rsidTr="00EA194A">
        <w:trPr>
          <w:trHeight w:val="288"/>
        </w:trPr>
        <w:tc>
          <w:tcPr>
            <w:tcW w:w="1134" w:type="dxa"/>
            <w:tcBorders>
              <w:top w:val="nil"/>
              <w:left w:val="nil"/>
              <w:right w:val="nil"/>
            </w:tcBorders>
            <w:shd w:val="clear" w:color="auto" w:fill="FFFFFF" w:themeFill="background1"/>
          </w:tcPr>
          <w:p w14:paraId="414461C1"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right w:val="nil"/>
            </w:tcBorders>
            <w:shd w:val="clear" w:color="auto" w:fill="FFFFFF" w:themeFill="background1"/>
            <w:vAlign w:val="center"/>
          </w:tcPr>
          <w:p w14:paraId="77670C0E"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xml:space="preserve">NDC and </w:t>
            </w:r>
            <w:r>
              <w:rPr>
                <w:rFonts w:eastAsia="Times New Roman"/>
                <w:color w:val="262626"/>
              </w:rPr>
              <w:t>OIMP</w:t>
            </w:r>
          </w:p>
        </w:tc>
        <w:tc>
          <w:tcPr>
            <w:tcW w:w="1126" w:type="dxa"/>
            <w:tcBorders>
              <w:top w:val="nil"/>
              <w:left w:val="nil"/>
              <w:right w:val="nil"/>
            </w:tcBorders>
            <w:shd w:val="clear" w:color="auto" w:fill="FFFFFF" w:themeFill="background1"/>
          </w:tcPr>
          <w:p w14:paraId="47465CA3" w14:textId="77777777" w:rsidR="003670E8" w:rsidRPr="00677E16" w:rsidRDefault="003670E8" w:rsidP="00EA194A">
            <w:pPr>
              <w:suppressAutoHyphens w:val="0"/>
              <w:spacing w:line="240" w:lineRule="auto"/>
              <w:rPr>
                <w:rFonts w:eastAsia="Times New Roman"/>
                <w:color w:val="262626"/>
              </w:rPr>
            </w:pPr>
          </w:p>
        </w:tc>
        <w:tc>
          <w:tcPr>
            <w:tcW w:w="1126" w:type="dxa"/>
            <w:tcBorders>
              <w:top w:val="nil"/>
              <w:left w:val="nil"/>
              <w:right w:val="nil"/>
            </w:tcBorders>
            <w:shd w:val="clear" w:color="auto" w:fill="FFFFFF" w:themeFill="background1"/>
            <w:vAlign w:val="center"/>
          </w:tcPr>
          <w:p w14:paraId="715CB440" w14:textId="77777777" w:rsidR="003670E8" w:rsidRPr="00677E16" w:rsidRDefault="003670E8" w:rsidP="00EA194A">
            <w:pPr>
              <w:suppressAutoHyphens w:val="0"/>
              <w:spacing w:line="240" w:lineRule="auto"/>
              <w:rPr>
                <w:rFonts w:eastAsia="Times New Roman"/>
                <w:color w:val="262626"/>
              </w:rPr>
            </w:pPr>
          </w:p>
        </w:tc>
        <w:tc>
          <w:tcPr>
            <w:tcW w:w="1266" w:type="dxa"/>
            <w:tcBorders>
              <w:top w:val="nil"/>
              <w:left w:val="nil"/>
              <w:right w:val="nil"/>
            </w:tcBorders>
            <w:shd w:val="clear" w:color="auto" w:fill="FFFFFF" w:themeFill="background1"/>
            <w:vAlign w:val="center"/>
          </w:tcPr>
          <w:p w14:paraId="0C7BEFB1" w14:textId="77777777" w:rsidR="003670E8" w:rsidRPr="00677E16" w:rsidRDefault="003670E8" w:rsidP="00EA194A">
            <w:pPr>
              <w:suppressAutoHyphens w:val="0"/>
              <w:spacing w:line="240" w:lineRule="auto"/>
              <w:rPr>
                <w:rFonts w:eastAsia="Times New Roman"/>
                <w:color w:val="262626"/>
              </w:rPr>
            </w:pPr>
          </w:p>
        </w:tc>
        <w:tc>
          <w:tcPr>
            <w:tcW w:w="1314" w:type="dxa"/>
            <w:tcBorders>
              <w:top w:val="nil"/>
              <w:left w:val="nil"/>
              <w:right w:val="nil"/>
            </w:tcBorders>
            <w:shd w:val="clear" w:color="auto" w:fill="FFFFFF" w:themeFill="background1"/>
            <w:vAlign w:val="center"/>
          </w:tcPr>
          <w:p w14:paraId="09A71745" w14:textId="77777777" w:rsidR="003670E8" w:rsidRPr="00677E16" w:rsidRDefault="003670E8" w:rsidP="00EA194A">
            <w:pPr>
              <w:suppressAutoHyphens w:val="0"/>
              <w:spacing w:line="240" w:lineRule="auto"/>
              <w:rPr>
                <w:rFonts w:eastAsia="Times New Roman"/>
                <w:color w:val="262626"/>
              </w:rPr>
            </w:pPr>
          </w:p>
        </w:tc>
        <w:tc>
          <w:tcPr>
            <w:tcW w:w="1559" w:type="dxa"/>
            <w:tcBorders>
              <w:top w:val="nil"/>
              <w:left w:val="nil"/>
              <w:right w:val="nil"/>
            </w:tcBorders>
            <w:shd w:val="clear" w:color="auto" w:fill="FFFFFF" w:themeFill="background1"/>
            <w:vAlign w:val="center"/>
          </w:tcPr>
          <w:p w14:paraId="6A346DDB" w14:textId="77777777" w:rsidR="003670E8" w:rsidRPr="00677E16" w:rsidRDefault="003670E8" w:rsidP="00EA194A">
            <w:pPr>
              <w:suppressAutoHyphens w:val="0"/>
              <w:spacing w:line="240" w:lineRule="auto"/>
              <w:rPr>
                <w:rFonts w:eastAsia="Times New Roman"/>
                <w:color w:val="262626"/>
              </w:rPr>
            </w:pPr>
          </w:p>
        </w:tc>
        <w:tc>
          <w:tcPr>
            <w:tcW w:w="1907" w:type="dxa"/>
            <w:tcBorders>
              <w:top w:val="nil"/>
              <w:left w:val="nil"/>
              <w:right w:val="nil"/>
            </w:tcBorders>
            <w:shd w:val="clear" w:color="auto" w:fill="FFFFFF" w:themeFill="background1"/>
            <w:vAlign w:val="center"/>
          </w:tcPr>
          <w:p w14:paraId="786768CF" w14:textId="77777777" w:rsidR="003670E8" w:rsidRPr="00677E16" w:rsidRDefault="003670E8" w:rsidP="00EA194A">
            <w:pPr>
              <w:suppressAutoHyphens w:val="0"/>
              <w:spacing w:line="240" w:lineRule="auto"/>
              <w:rPr>
                <w:rFonts w:eastAsia="Times New Roman"/>
                <w:color w:val="262626"/>
              </w:rPr>
            </w:pPr>
          </w:p>
        </w:tc>
        <w:tc>
          <w:tcPr>
            <w:tcW w:w="1407" w:type="dxa"/>
            <w:tcBorders>
              <w:left w:val="nil"/>
              <w:right w:val="nil"/>
            </w:tcBorders>
            <w:shd w:val="clear" w:color="auto" w:fill="auto"/>
            <w:vAlign w:val="center"/>
          </w:tcPr>
          <w:p w14:paraId="322CCFE0" w14:textId="77777777" w:rsidR="003670E8" w:rsidRPr="00677E16" w:rsidRDefault="003670E8" w:rsidP="00EA194A">
            <w:pPr>
              <w:spacing w:line="240" w:lineRule="auto"/>
              <w:jc w:val="center"/>
              <w:rPr>
                <w:rFonts w:eastAsia="Times New Roman"/>
                <w:color w:val="262626"/>
              </w:rPr>
            </w:pPr>
          </w:p>
        </w:tc>
        <w:tc>
          <w:tcPr>
            <w:tcW w:w="1177" w:type="dxa"/>
            <w:gridSpan w:val="2"/>
            <w:tcBorders>
              <w:left w:val="nil"/>
              <w:right w:val="nil"/>
            </w:tcBorders>
            <w:shd w:val="clear" w:color="auto" w:fill="auto"/>
            <w:vAlign w:val="center"/>
          </w:tcPr>
          <w:p w14:paraId="7C2F95D2" w14:textId="77777777" w:rsidR="003670E8" w:rsidRPr="00677E16" w:rsidRDefault="003670E8" w:rsidP="00EA194A">
            <w:pPr>
              <w:spacing w:line="240" w:lineRule="auto"/>
              <w:jc w:val="center"/>
              <w:rPr>
                <w:rFonts w:eastAsia="Times New Roman"/>
                <w:color w:val="262626"/>
              </w:rPr>
            </w:pPr>
          </w:p>
        </w:tc>
      </w:tr>
      <w:tr w:rsidR="003670E8" w:rsidRPr="00677E16" w14:paraId="5A95332D" w14:textId="77777777" w:rsidTr="00EA194A">
        <w:trPr>
          <w:trHeight w:val="300"/>
        </w:trPr>
        <w:tc>
          <w:tcPr>
            <w:tcW w:w="1134" w:type="dxa"/>
            <w:tcBorders>
              <w:top w:val="nil"/>
              <w:left w:val="nil"/>
              <w:bottom w:val="nil"/>
              <w:right w:val="nil"/>
            </w:tcBorders>
            <w:shd w:val="clear" w:color="auto" w:fill="FFFFFF" w:themeFill="background1"/>
          </w:tcPr>
          <w:p w14:paraId="5E410D74"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center"/>
          </w:tcPr>
          <w:p w14:paraId="00ADF3B6" w14:textId="77777777" w:rsidR="003670E8" w:rsidRPr="00677E16" w:rsidRDefault="003670E8" w:rsidP="00EA194A">
            <w:pPr>
              <w:suppressAutoHyphens w:val="0"/>
              <w:spacing w:line="240" w:lineRule="auto"/>
              <w:jc w:val="center"/>
              <w:rPr>
                <w:rFonts w:eastAsia="Times New Roman"/>
                <w:color w:val="262626"/>
              </w:rPr>
            </w:pPr>
            <w:r>
              <w:rPr>
                <w:rFonts w:eastAsia="Times New Roman"/>
                <w:color w:val="262626"/>
              </w:rPr>
              <w:t>NDC and IMP</w:t>
            </w:r>
          </w:p>
        </w:tc>
        <w:tc>
          <w:tcPr>
            <w:tcW w:w="1126" w:type="dxa"/>
            <w:tcBorders>
              <w:top w:val="nil"/>
              <w:left w:val="nil"/>
              <w:bottom w:val="nil"/>
              <w:right w:val="nil"/>
            </w:tcBorders>
            <w:shd w:val="clear" w:color="auto" w:fill="FFFFFF" w:themeFill="background1"/>
          </w:tcPr>
          <w:p w14:paraId="2C6B350E" w14:textId="77777777" w:rsidR="003670E8" w:rsidRPr="00677E16" w:rsidRDefault="003670E8" w:rsidP="00EA194A">
            <w:pPr>
              <w:suppressAutoHyphens w:val="0"/>
              <w:spacing w:line="240" w:lineRule="auto"/>
              <w:jc w:val="center"/>
              <w:rPr>
                <w:rFonts w:eastAsia="Times New Roman"/>
                <w:color w:val="262626"/>
              </w:rPr>
            </w:pPr>
          </w:p>
        </w:tc>
        <w:tc>
          <w:tcPr>
            <w:tcW w:w="1126" w:type="dxa"/>
            <w:tcBorders>
              <w:top w:val="nil"/>
              <w:left w:val="nil"/>
              <w:bottom w:val="nil"/>
              <w:right w:val="nil"/>
            </w:tcBorders>
            <w:shd w:val="clear" w:color="auto" w:fill="FFFFFF" w:themeFill="background1"/>
            <w:vAlign w:val="center"/>
            <w:hideMark/>
          </w:tcPr>
          <w:p w14:paraId="27DF2CCF"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266" w:type="dxa"/>
            <w:tcBorders>
              <w:top w:val="nil"/>
              <w:left w:val="nil"/>
              <w:bottom w:val="nil"/>
              <w:right w:val="nil"/>
            </w:tcBorders>
            <w:shd w:val="clear" w:color="auto" w:fill="FFFFFF" w:themeFill="background1"/>
            <w:vAlign w:val="center"/>
            <w:hideMark/>
          </w:tcPr>
          <w:p w14:paraId="37C6D48F"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314" w:type="dxa"/>
            <w:tcBorders>
              <w:top w:val="nil"/>
              <w:left w:val="nil"/>
              <w:bottom w:val="nil"/>
              <w:right w:val="nil"/>
            </w:tcBorders>
            <w:shd w:val="clear" w:color="auto" w:fill="FFFFFF" w:themeFill="background1"/>
            <w:vAlign w:val="center"/>
            <w:hideMark/>
          </w:tcPr>
          <w:p w14:paraId="61D53B7D"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559" w:type="dxa"/>
            <w:tcBorders>
              <w:top w:val="nil"/>
              <w:left w:val="nil"/>
              <w:bottom w:val="nil"/>
              <w:right w:val="nil"/>
            </w:tcBorders>
            <w:shd w:val="clear" w:color="auto" w:fill="FFFFFF" w:themeFill="background1"/>
            <w:vAlign w:val="center"/>
            <w:hideMark/>
          </w:tcPr>
          <w:p w14:paraId="4C582225"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907" w:type="dxa"/>
            <w:tcBorders>
              <w:top w:val="nil"/>
              <w:left w:val="nil"/>
              <w:bottom w:val="nil"/>
              <w:right w:val="nil"/>
            </w:tcBorders>
            <w:shd w:val="clear" w:color="auto" w:fill="FFFFFF" w:themeFill="background1"/>
            <w:vAlign w:val="center"/>
            <w:hideMark/>
          </w:tcPr>
          <w:p w14:paraId="6C22C952"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407" w:type="dxa"/>
            <w:tcBorders>
              <w:left w:val="nil"/>
              <w:right w:val="nil"/>
            </w:tcBorders>
            <w:shd w:val="clear" w:color="auto" w:fill="auto"/>
            <w:vAlign w:val="center"/>
            <w:hideMark/>
          </w:tcPr>
          <w:p w14:paraId="0D922D80" w14:textId="77777777" w:rsidR="003670E8" w:rsidRPr="00677E16" w:rsidRDefault="003670E8" w:rsidP="00EA194A">
            <w:pPr>
              <w:suppressAutoHyphens w:val="0"/>
              <w:spacing w:line="240" w:lineRule="auto"/>
              <w:jc w:val="center"/>
              <w:rPr>
                <w:rFonts w:eastAsia="Times New Roman"/>
                <w:color w:val="262626"/>
              </w:rPr>
            </w:pPr>
          </w:p>
        </w:tc>
        <w:tc>
          <w:tcPr>
            <w:tcW w:w="1177" w:type="dxa"/>
            <w:gridSpan w:val="2"/>
            <w:tcBorders>
              <w:left w:val="nil"/>
              <w:right w:val="nil"/>
            </w:tcBorders>
            <w:shd w:val="clear" w:color="auto" w:fill="auto"/>
            <w:vAlign w:val="center"/>
          </w:tcPr>
          <w:p w14:paraId="3BE851C1" w14:textId="77777777" w:rsidR="003670E8" w:rsidRPr="00677E16" w:rsidRDefault="003670E8" w:rsidP="00EA194A">
            <w:pPr>
              <w:suppressAutoHyphens w:val="0"/>
              <w:spacing w:line="240" w:lineRule="auto"/>
              <w:jc w:val="center"/>
              <w:rPr>
                <w:rFonts w:eastAsia="Times New Roman"/>
                <w:color w:val="262626"/>
              </w:rPr>
            </w:pPr>
          </w:p>
        </w:tc>
      </w:tr>
      <w:tr w:rsidR="003670E8" w:rsidRPr="00677E16" w14:paraId="12E4C092" w14:textId="77777777" w:rsidTr="00EA194A">
        <w:trPr>
          <w:gridAfter w:val="1"/>
          <w:wAfter w:w="96" w:type="dxa"/>
          <w:trHeight w:val="300"/>
        </w:trPr>
        <w:tc>
          <w:tcPr>
            <w:tcW w:w="1134" w:type="dxa"/>
            <w:tcBorders>
              <w:top w:val="nil"/>
              <w:left w:val="nil"/>
              <w:bottom w:val="nil"/>
              <w:right w:val="nil"/>
            </w:tcBorders>
            <w:shd w:val="clear" w:color="auto" w:fill="FFFFFF" w:themeFill="background1"/>
          </w:tcPr>
          <w:p w14:paraId="28D92BED"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center"/>
          </w:tcPr>
          <w:p w14:paraId="2E76F020" w14:textId="77777777" w:rsidR="003670E8" w:rsidRDefault="003670E8" w:rsidP="00EA194A">
            <w:pPr>
              <w:suppressAutoHyphens w:val="0"/>
              <w:spacing w:line="240" w:lineRule="auto"/>
              <w:jc w:val="center"/>
              <w:rPr>
                <w:rFonts w:eastAsia="Times New Roman"/>
                <w:color w:val="262626"/>
              </w:rPr>
            </w:pPr>
            <w:r>
              <w:rPr>
                <w:rFonts w:eastAsia="Times New Roman"/>
                <w:color w:val="262626"/>
              </w:rPr>
              <w:t>NDC and OP</w:t>
            </w:r>
          </w:p>
        </w:tc>
        <w:tc>
          <w:tcPr>
            <w:tcW w:w="1126" w:type="dxa"/>
            <w:tcBorders>
              <w:top w:val="nil"/>
              <w:left w:val="nil"/>
              <w:bottom w:val="nil"/>
              <w:right w:val="nil"/>
            </w:tcBorders>
            <w:shd w:val="clear" w:color="auto" w:fill="FFFFFF" w:themeFill="background1"/>
          </w:tcPr>
          <w:p w14:paraId="23E6CAFA" w14:textId="77777777" w:rsidR="003670E8" w:rsidRPr="00677E16" w:rsidRDefault="003670E8" w:rsidP="00EA194A">
            <w:pPr>
              <w:suppressAutoHyphens w:val="0"/>
              <w:spacing w:line="240" w:lineRule="auto"/>
              <w:jc w:val="center"/>
              <w:rPr>
                <w:rFonts w:eastAsia="Times New Roman"/>
                <w:color w:val="262626"/>
              </w:rPr>
            </w:pPr>
          </w:p>
        </w:tc>
        <w:tc>
          <w:tcPr>
            <w:tcW w:w="1126" w:type="dxa"/>
            <w:tcBorders>
              <w:top w:val="nil"/>
              <w:left w:val="nil"/>
              <w:bottom w:val="nil"/>
              <w:right w:val="nil"/>
            </w:tcBorders>
            <w:shd w:val="clear" w:color="auto" w:fill="FFFFFF" w:themeFill="background1"/>
            <w:vAlign w:val="center"/>
          </w:tcPr>
          <w:p w14:paraId="68059A01" w14:textId="77777777" w:rsidR="003670E8" w:rsidRPr="00677E16" w:rsidRDefault="003670E8" w:rsidP="00EA194A">
            <w:pPr>
              <w:suppressAutoHyphens w:val="0"/>
              <w:spacing w:line="240" w:lineRule="auto"/>
              <w:jc w:val="center"/>
              <w:rPr>
                <w:rFonts w:eastAsia="Times New Roman"/>
                <w:color w:val="262626"/>
              </w:rPr>
            </w:pPr>
          </w:p>
        </w:tc>
        <w:tc>
          <w:tcPr>
            <w:tcW w:w="1266" w:type="dxa"/>
            <w:tcBorders>
              <w:top w:val="nil"/>
              <w:left w:val="nil"/>
              <w:bottom w:val="nil"/>
              <w:right w:val="nil"/>
            </w:tcBorders>
            <w:shd w:val="clear" w:color="auto" w:fill="FFFFFF" w:themeFill="background1"/>
            <w:vAlign w:val="center"/>
          </w:tcPr>
          <w:p w14:paraId="39F2199E" w14:textId="77777777" w:rsidR="003670E8" w:rsidRPr="00677E16" w:rsidRDefault="003670E8" w:rsidP="00EA194A">
            <w:pPr>
              <w:suppressAutoHyphens w:val="0"/>
              <w:spacing w:line="240" w:lineRule="auto"/>
              <w:jc w:val="center"/>
              <w:rPr>
                <w:rFonts w:eastAsia="Times New Roman"/>
                <w:color w:val="262626"/>
              </w:rPr>
            </w:pPr>
          </w:p>
        </w:tc>
        <w:tc>
          <w:tcPr>
            <w:tcW w:w="1314" w:type="dxa"/>
            <w:tcBorders>
              <w:top w:val="nil"/>
              <w:left w:val="nil"/>
              <w:bottom w:val="nil"/>
              <w:right w:val="nil"/>
            </w:tcBorders>
            <w:shd w:val="clear" w:color="auto" w:fill="FFFFFF" w:themeFill="background1"/>
            <w:vAlign w:val="center"/>
          </w:tcPr>
          <w:p w14:paraId="17CD828A" w14:textId="77777777" w:rsidR="003670E8" w:rsidRPr="00677E16" w:rsidRDefault="003670E8" w:rsidP="00EA194A">
            <w:pPr>
              <w:suppressAutoHyphens w:val="0"/>
              <w:spacing w:line="240" w:lineRule="auto"/>
              <w:jc w:val="center"/>
              <w:rPr>
                <w:rFonts w:eastAsia="Times New Roman"/>
                <w:color w:val="262626"/>
              </w:rPr>
            </w:pPr>
          </w:p>
        </w:tc>
        <w:tc>
          <w:tcPr>
            <w:tcW w:w="1559" w:type="dxa"/>
            <w:tcBorders>
              <w:top w:val="nil"/>
              <w:left w:val="nil"/>
              <w:bottom w:val="nil"/>
              <w:right w:val="nil"/>
            </w:tcBorders>
            <w:shd w:val="clear" w:color="auto" w:fill="FFFFFF" w:themeFill="background1"/>
            <w:vAlign w:val="center"/>
          </w:tcPr>
          <w:p w14:paraId="4215AE31" w14:textId="77777777" w:rsidR="003670E8" w:rsidRPr="00677E16" w:rsidRDefault="003670E8" w:rsidP="00EA194A">
            <w:pPr>
              <w:suppressAutoHyphens w:val="0"/>
              <w:spacing w:line="240" w:lineRule="auto"/>
              <w:jc w:val="center"/>
              <w:rPr>
                <w:rFonts w:eastAsia="Times New Roman"/>
                <w:color w:val="262626"/>
              </w:rPr>
            </w:pPr>
          </w:p>
        </w:tc>
        <w:tc>
          <w:tcPr>
            <w:tcW w:w="1907" w:type="dxa"/>
            <w:tcBorders>
              <w:top w:val="nil"/>
              <w:left w:val="nil"/>
              <w:bottom w:val="nil"/>
              <w:right w:val="nil"/>
            </w:tcBorders>
            <w:shd w:val="clear" w:color="auto" w:fill="FFFFFF" w:themeFill="background1"/>
            <w:vAlign w:val="center"/>
          </w:tcPr>
          <w:p w14:paraId="54C86145" w14:textId="77777777" w:rsidR="003670E8" w:rsidRPr="00677E16" w:rsidRDefault="003670E8" w:rsidP="00EA194A">
            <w:pPr>
              <w:suppressAutoHyphens w:val="0"/>
              <w:spacing w:line="240" w:lineRule="auto"/>
              <w:jc w:val="center"/>
              <w:rPr>
                <w:rFonts w:eastAsia="Times New Roman"/>
                <w:color w:val="262626"/>
              </w:rPr>
            </w:pPr>
          </w:p>
        </w:tc>
        <w:tc>
          <w:tcPr>
            <w:tcW w:w="1407" w:type="dxa"/>
            <w:tcBorders>
              <w:left w:val="nil"/>
              <w:right w:val="nil"/>
            </w:tcBorders>
            <w:shd w:val="clear" w:color="auto" w:fill="auto"/>
            <w:vAlign w:val="center"/>
          </w:tcPr>
          <w:p w14:paraId="26487B3F" w14:textId="77777777" w:rsidR="003670E8" w:rsidRPr="00677E16" w:rsidRDefault="003670E8" w:rsidP="00EA194A">
            <w:pPr>
              <w:suppressAutoHyphens w:val="0"/>
              <w:spacing w:line="240" w:lineRule="auto"/>
              <w:jc w:val="center"/>
              <w:rPr>
                <w:rFonts w:eastAsia="Times New Roman"/>
                <w:color w:val="262626"/>
              </w:rPr>
            </w:pPr>
          </w:p>
        </w:tc>
        <w:tc>
          <w:tcPr>
            <w:tcW w:w="1081" w:type="dxa"/>
            <w:tcBorders>
              <w:left w:val="nil"/>
              <w:right w:val="nil"/>
            </w:tcBorders>
            <w:shd w:val="clear" w:color="auto" w:fill="auto"/>
            <w:vAlign w:val="center"/>
          </w:tcPr>
          <w:p w14:paraId="45ACD7EF" w14:textId="77777777" w:rsidR="003670E8" w:rsidRPr="00677E16" w:rsidRDefault="003670E8" w:rsidP="00EA194A">
            <w:pPr>
              <w:suppressAutoHyphens w:val="0"/>
              <w:spacing w:line="240" w:lineRule="auto"/>
              <w:jc w:val="center"/>
              <w:rPr>
                <w:rFonts w:eastAsia="Times New Roman"/>
                <w:color w:val="262626"/>
              </w:rPr>
            </w:pPr>
          </w:p>
        </w:tc>
      </w:tr>
      <w:tr w:rsidR="003670E8" w:rsidRPr="00677E16" w14:paraId="02958F05" w14:textId="77777777" w:rsidTr="00EA194A">
        <w:trPr>
          <w:gridAfter w:val="1"/>
          <w:wAfter w:w="96" w:type="dxa"/>
          <w:trHeight w:val="300"/>
        </w:trPr>
        <w:tc>
          <w:tcPr>
            <w:tcW w:w="1134" w:type="dxa"/>
            <w:tcBorders>
              <w:top w:val="nil"/>
              <w:left w:val="nil"/>
              <w:bottom w:val="nil"/>
              <w:right w:val="nil"/>
            </w:tcBorders>
            <w:shd w:val="clear" w:color="auto" w:fill="FFFFFF" w:themeFill="background1"/>
          </w:tcPr>
          <w:p w14:paraId="6CBC6539"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center"/>
          </w:tcPr>
          <w:p w14:paraId="128420CA" w14:textId="77777777" w:rsidR="003670E8" w:rsidRDefault="003670E8" w:rsidP="00EA194A">
            <w:pPr>
              <w:suppressAutoHyphens w:val="0"/>
              <w:spacing w:line="240" w:lineRule="auto"/>
              <w:jc w:val="center"/>
              <w:rPr>
                <w:rFonts w:eastAsia="Times New Roman"/>
                <w:color w:val="262626"/>
              </w:rPr>
            </w:pPr>
            <w:r w:rsidRPr="00104BE5">
              <w:rPr>
                <w:rFonts w:eastAsia="Times New Roman"/>
                <w:b/>
                <w:bCs/>
                <w:color w:val="262626"/>
              </w:rPr>
              <w:t>Option 2:</w:t>
            </w:r>
          </w:p>
        </w:tc>
        <w:tc>
          <w:tcPr>
            <w:tcW w:w="1126" w:type="dxa"/>
            <w:tcBorders>
              <w:top w:val="nil"/>
              <w:left w:val="nil"/>
              <w:bottom w:val="nil"/>
              <w:right w:val="nil"/>
            </w:tcBorders>
            <w:shd w:val="clear" w:color="auto" w:fill="FFFFFF" w:themeFill="background1"/>
          </w:tcPr>
          <w:p w14:paraId="71EA9A34" w14:textId="77777777" w:rsidR="003670E8" w:rsidRPr="00677E16" w:rsidRDefault="003670E8" w:rsidP="00EA194A">
            <w:pPr>
              <w:suppressAutoHyphens w:val="0"/>
              <w:spacing w:line="240" w:lineRule="auto"/>
              <w:jc w:val="center"/>
              <w:rPr>
                <w:rFonts w:eastAsia="Times New Roman"/>
                <w:color w:val="262626"/>
              </w:rPr>
            </w:pPr>
          </w:p>
        </w:tc>
        <w:tc>
          <w:tcPr>
            <w:tcW w:w="1126" w:type="dxa"/>
            <w:tcBorders>
              <w:top w:val="nil"/>
              <w:left w:val="nil"/>
              <w:bottom w:val="nil"/>
              <w:right w:val="nil"/>
            </w:tcBorders>
            <w:shd w:val="clear" w:color="auto" w:fill="FFFFFF" w:themeFill="background1"/>
            <w:vAlign w:val="center"/>
          </w:tcPr>
          <w:p w14:paraId="502ABF44" w14:textId="77777777" w:rsidR="003670E8" w:rsidRPr="00677E16" w:rsidRDefault="003670E8" w:rsidP="00EA194A">
            <w:pPr>
              <w:suppressAutoHyphens w:val="0"/>
              <w:spacing w:line="240" w:lineRule="auto"/>
              <w:jc w:val="center"/>
              <w:rPr>
                <w:rFonts w:eastAsia="Times New Roman"/>
                <w:color w:val="262626"/>
              </w:rPr>
            </w:pPr>
          </w:p>
        </w:tc>
        <w:tc>
          <w:tcPr>
            <w:tcW w:w="1266" w:type="dxa"/>
            <w:tcBorders>
              <w:top w:val="nil"/>
              <w:left w:val="nil"/>
              <w:bottom w:val="nil"/>
              <w:right w:val="nil"/>
            </w:tcBorders>
            <w:shd w:val="clear" w:color="auto" w:fill="FFFFFF" w:themeFill="background1"/>
            <w:vAlign w:val="center"/>
          </w:tcPr>
          <w:p w14:paraId="12F86FA5" w14:textId="77777777" w:rsidR="003670E8" w:rsidRPr="00677E16" w:rsidRDefault="003670E8" w:rsidP="00EA194A">
            <w:pPr>
              <w:suppressAutoHyphens w:val="0"/>
              <w:spacing w:line="240" w:lineRule="auto"/>
              <w:jc w:val="center"/>
              <w:rPr>
                <w:rFonts w:eastAsia="Times New Roman"/>
                <w:color w:val="262626"/>
              </w:rPr>
            </w:pPr>
          </w:p>
        </w:tc>
        <w:tc>
          <w:tcPr>
            <w:tcW w:w="1314" w:type="dxa"/>
            <w:tcBorders>
              <w:top w:val="nil"/>
              <w:left w:val="nil"/>
              <w:bottom w:val="nil"/>
              <w:right w:val="nil"/>
            </w:tcBorders>
            <w:shd w:val="clear" w:color="auto" w:fill="FFFFFF" w:themeFill="background1"/>
            <w:vAlign w:val="center"/>
          </w:tcPr>
          <w:p w14:paraId="5FDFBB8C" w14:textId="77777777" w:rsidR="003670E8" w:rsidRPr="00677E16" w:rsidRDefault="003670E8" w:rsidP="00EA194A">
            <w:pPr>
              <w:suppressAutoHyphens w:val="0"/>
              <w:spacing w:line="240" w:lineRule="auto"/>
              <w:jc w:val="center"/>
              <w:rPr>
                <w:rFonts w:eastAsia="Times New Roman"/>
                <w:color w:val="262626"/>
              </w:rPr>
            </w:pPr>
          </w:p>
        </w:tc>
        <w:tc>
          <w:tcPr>
            <w:tcW w:w="1559" w:type="dxa"/>
            <w:tcBorders>
              <w:top w:val="nil"/>
              <w:left w:val="nil"/>
              <w:bottom w:val="nil"/>
              <w:right w:val="nil"/>
            </w:tcBorders>
            <w:shd w:val="clear" w:color="auto" w:fill="FFFFFF" w:themeFill="background1"/>
            <w:vAlign w:val="center"/>
          </w:tcPr>
          <w:p w14:paraId="252AC2F3" w14:textId="77777777" w:rsidR="003670E8" w:rsidRPr="00677E16" w:rsidRDefault="003670E8" w:rsidP="00EA194A">
            <w:pPr>
              <w:suppressAutoHyphens w:val="0"/>
              <w:spacing w:line="240" w:lineRule="auto"/>
              <w:jc w:val="center"/>
              <w:rPr>
                <w:rFonts w:eastAsia="Times New Roman"/>
                <w:color w:val="262626"/>
              </w:rPr>
            </w:pPr>
          </w:p>
        </w:tc>
        <w:tc>
          <w:tcPr>
            <w:tcW w:w="1907" w:type="dxa"/>
            <w:tcBorders>
              <w:top w:val="nil"/>
              <w:left w:val="nil"/>
              <w:bottom w:val="nil"/>
              <w:right w:val="nil"/>
            </w:tcBorders>
            <w:shd w:val="clear" w:color="auto" w:fill="FFFFFF" w:themeFill="background1"/>
            <w:vAlign w:val="center"/>
          </w:tcPr>
          <w:p w14:paraId="7485BCFD" w14:textId="77777777" w:rsidR="003670E8" w:rsidRPr="00677E16" w:rsidRDefault="003670E8" w:rsidP="00EA194A">
            <w:pPr>
              <w:suppressAutoHyphens w:val="0"/>
              <w:spacing w:line="240" w:lineRule="auto"/>
              <w:jc w:val="center"/>
              <w:rPr>
                <w:rFonts w:eastAsia="Times New Roman"/>
                <w:color w:val="262626"/>
              </w:rPr>
            </w:pPr>
          </w:p>
        </w:tc>
        <w:tc>
          <w:tcPr>
            <w:tcW w:w="1407" w:type="dxa"/>
            <w:tcBorders>
              <w:left w:val="nil"/>
              <w:right w:val="nil"/>
            </w:tcBorders>
            <w:shd w:val="clear" w:color="auto" w:fill="auto"/>
            <w:vAlign w:val="center"/>
          </w:tcPr>
          <w:p w14:paraId="49B03883" w14:textId="77777777" w:rsidR="003670E8" w:rsidRPr="00677E16" w:rsidRDefault="003670E8" w:rsidP="00EA194A">
            <w:pPr>
              <w:suppressAutoHyphens w:val="0"/>
              <w:spacing w:line="240" w:lineRule="auto"/>
              <w:jc w:val="center"/>
              <w:rPr>
                <w:rFonts w:eastAsia="Times New Roman"/>
                <w:color w:val="262626"/>
              </w:rPr>
            </w:pPr>
          </w:p>
        </w:tc>
        <w:tc>
          <w:tcPr>
            <w:tcW w:w="1081" w:type="dxa"/>
            <w:tcBorders>
              <w:left w:val="nil"/>
              <w:right w:val="nil"/>
            </w:tcBorders>
            <w:shd w:val="clear" w:color="auto" w:fill="auto"/>
            <w:vAlign w:val="center"/>
          </w:tcPr>
          <w:p w14:paraId="0874C426" w14:textId="77777777" w:rsidR="003670E8" w:rsidRPr="00677E16" w:rsidRDefault="003670E8" w:rsidP="00EA194A">
            <w:pPr>
              <w:suppressAutoHyphens w:val="0"/>
              <w:spacing w:line="240" w:lineRule="auto"/>
              <w:jc w:val="center"/>
              <w:rPr>
                <w:rFonts w:eastAsia="Times New Roman"/>
                <w:color w:val="262626"/>
              </w:rPr>
            </w:pPr>
          </w:p>
        </w:tc>
      </w:tr>
      <w:tr w:rsidR="003670E8" w:rsidRPr="00677E16" w14:paraId="68CAA239" w14:textId="77777777" w:rsidTr="00EA194A">
        <w:trPr>
          <w:gridAfter w:val="1"/>
          <w:wAfter w:w="96" w:type="dxa"/>
          <w:trHeight w:val="300"/>
        </w:trPr>
        <w:tc>
          <w:tcPr>
            <w:tcW w:w="1134" w:type="dxa"/>
            <w:tcBorders>
              <w:top w:val="nil"/>
              <w:left w:val="nil"/>
              <w:bottom w:val="nil"/>
              <w:right w:val="nil"/>
            </w:tcBorders>
            <w:shd w:val="clear" w:color="auto" w:fill="FFFFFF" w:themeFill="background1"/>
          </w:tcPr>
          <w:p w14:paraId="3E9C628C"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nil"/>
              <w:right w:val="nil"/>
            </w:tcBorders>
            <w:shd w:val="clear" w:color="auto" w:fill="FFFFFF" w:themeFill="background1"/>
            <w:vAlign w:val="bottom"/>
          </w:tcPr>
          <w:p w14:paraId="107D6364" w14:textId="77777777" w:rsidR="003670E8" w:rsidRDefault="003670E8" w:rsidP="00EA194A">
            <w:pPr>
              <w:suppressAutoHyphens w:val="0"/>
              <w:spacing w:line="240" w:lineRule="auto"/>
              <w:jc w:val="center"/>
              <w:rPr>
                <w:rFonts w:eastAsia="Times New Roman"/>
                <w:color w:val="262626"/>
              </w:rPr>
            </w:pPr>
            <w:r>
              <w:rPr>
                <w:rFonts w:eastAsia="Times New Roman"/>
                <w:color w:val="262626"/>
              </w:rPr>
              <w:t>NDC and OIMP</w:t>
            </w:r>
          </w:p>
        </w:tc>
        <w:tc>
          <w:tcPr>
            <w:tcW w:w="1126" w:type="dxa"/>
            <w:tcBorders>
              <w:top w:val="nil"/>
              <w:left w:val="nil"/>
              <w:bottom w:val="nil"/>
              <w:right w:val="nil"/>
            </w:tcBorders>
            <w:shd w:val="clear" w:color="auto" w:fill="FFFFFF" w:themeFill="background1"/>
          </w:tcPr>
          <w:p w14:paraId="355AA53B" w14:textId="77777777" w:rsidR="003670E8" w:rsidRPr="00677E16" w:rsidRDefault="003670E8" w:rsidP="00EA194A">
            <w:pPr>
              <w:suppressAutoHyphens w:val="0"/>
              <w:spacing w:line="240" w:lineRule="auto"/>
              <w:jc w:val="center"/>
              <w:rPr>
                <w:rFonts w:eastAsia="Times New Roman"/>
                <w:color w:val="262626"/>
              </w:rPr>
            </w:pPr>
          </w:p>
        </w:tc>
        <w:tc>
          <w:tcPr>
            <w:tcW w:w="1126" w:type="dxa"/>
            <w:tcBorders>
              <w:top w:val="nil"/>
              <w:left w:val="nil"/>
              <w:bottom w:val="nil"/>
              <w:right w:val="nil"/>
            </w:tcBorders>
            <w:shd w:val="clear" w:color="auto" w:fill="FFFFFF" w:themeFill="background1"/>
            <w:vAlign w:val="center"/>
          </w:tcPr>
          <w:p w14:paraId="7181A139" w14:textId="77777777" w:rsidR="003670E8" w:rsidRPr="00677E16" w:rsidRDefault="003670E8" w:rsidP="00EA194A">
            <w:pPr>
              <w:suppressAutoHyphens w:val="0"/>
              <w:spacing w:line="240" w:lineRule="auto"/>
              <w:jc w:val="center"/>
              <w:rPr>
                <w:rFonts w:eastAsia="Times New Roman"/>
                <w:color w:val="262626"/>
              </w:rPr>
            </w:pPr>
          </w:p>
        </w:tc>
        <w:tc>
          <w:tcPr>
            <w:tcW w:w="1266" w:type="dxa"/>
            <w:tcBorders>
              <w:top w:val="nil"/>
              <w:left w:val="nil"/>
              <w:bottom w:val="nil"/>
              <w:right w:val="nil"/>
            </w:tcBorders>
            <w:shd w:val="clear" w:color="auto" w:fill="FFFFFF" w:themeFill="background1"/>
            <w:vAlign w:val="center"/>
          </w:tcPr>
          <w:p w14:paraId="1512EAEA" w14:textId="77777777" w:rsidR="003670E8" w:rsidRPr="00677E16" w:rsidRDefault="003670E8" w:rsidP="00EA194A">
            <w:pPr>
              <w:suppressAutoHyphens w:val="0"/>
              <w:spacing w:line="240" w:lineRule="auto"/>
              <w:jc w:val="center"/>
              <w:rPr>
                <w:rFonts w:eastAsia="Times New Roman"/>
                <w:color w:val="262626"/>
              </w:rPr>
            </w:pPr>
          </w:p>
        </w:tc>
        <w:tc>
          <w:tcPr>
            <w:tcW w:w="1314" w:type="dxa"/>
            <w:tcBorders>
              <w:top w:val="nil"/>
              <w:left w:val="nil"/>
              <w:bottom w:val="nil"/>
              <w:right w:val="nil"/>
            </w:tcBorders>
            <w:shd w:val="clear" w:color="auto" w:fill="FFFFFF" w:themeFill="background1"/>
            <w:vAlign w:val="center"/>
          </w:tcPr>
          <w:p w14:paraId="11CAD95E" w14:textId="77777777" w:rsidR="003670E8" w:rsidRPr="00677E16" w:rsidRDefault="003670E8" w:rsidP="00EA194A">
            <w:pPr>
              <w:suppressAutoHyphens w:val="0"/>
              <w:spacing w:line="240" w:lineRule="auto"/>
              <w:jc w:val="center"/>
              <w:rPr>
                <w:rFonts w:eastAsia="Times New Roman"/>
                <w:color w:val="262626"/>
              </w:rPr>
            </w:pPr>
          </w:p>
        </w:tc>
        <w:tc>
          <w:tcPr>
            <w:tcW w:w="1559" w:type="dxa"/>
            <w:tcBorders>
              <w:top w:val="nil"/>
              <w:left w:val="nil"/>
              <w:bottom w:val="nil"/>
              <w:right w:val="nil"/>
            </w:tcBorders>
            <w:shd w:val="clear" w:color="auto" w:fill="FFFFFF" w:themeFill="background1"/>
            <w:vAlign w:val="center"/>
          </w:tcPr>
          <w:p w14:paraId="2E01B421" w14:textId="77777777" w:rsidR="003670E8" w:rsidRPr="00677E16" w:rsidRDefault="003670E8" w:rsidP="00EA194A">
            <w:pPr>
              <w:suppressAutoHyphens w:val="0"/>
              <w:spacing w:line="240" w:lineRule="auto"/>
              <w:jc w:val="center"/>
              <w:rPr>
                <w:rFonts w:eastAsia="Times New Roman"/>
                <w:color w:val="262626"/>
              </w:rPr>
            </w:pPr>
          </w:p>
        </w:tc>
        <w:tc>
          <w:tcPr>
            <w:tcW w:w="1907" w:type="dxa"/>
            <w:tcBorders>
              <w:top w:val="nil"/>
              <w:left w:val="nil"/>
              <w:bottom w:val="nil"/>
              <w:right w:val="nil"/>
            </w:tcBorders>
            <w:shd w:val="clear" w:color="auto" w:fill="FFFFFF" w:themeFill="background1"/>
            <w:vAlign w:val="center"/>
          </w:tcPr>
          <w:p w14:paraId="12682CAF" w14:textId="77777777" w:rsidR="003670E8" w:rsidRPr="00677E16" w:rsidRDefault="003670E8" w:rsidP="00EA194A">
            <w:pPr>
              <w:suppressAutoHyphens w:val="0"/>
              <w:spacing w:line="240" w:lineRule="auto"/>
              <w:jc w:val="center"/>
              <w:rPr>
                <w:rFonts w:eastAsia="Times New Roman"/>
                <w:color w:val="262626"/>
              </w:rPr>
            </w:pPr>
          </w:p>
        </w:tc>
        <w:tc>
          <w:tcPr>
            <w:tcW w:w="1407" w:type="dxa"/>
            <w:tcBorders>
              <w:left w:val="nil"/>
              <w:right w:val="nil"/>
            </w:tcBorders>
            <w:shd w:val="clear" w:color="auto" w:fill="auto"/>
            <w:vAlign w:val="center"/>
          </w:tcPr>
          <w:p w14:paraId="4186EF1F" w14:textId="77777777" w:rsidR="003670E8" w:rsidRPr="00677E16" w:rsidRDefault="003670E8" w:rsidP="00EA194A">
            <w:pPr>
              <w:suppressAutoHyphens w:val="0"/>
              <w:spacing w:line="240" w:lineRule="auto"/>
              <w:jc w:val="center"/>
              <w:rPr>
                <w:rFonts w:eastAsia="Times New Roman"/>
                <w:color w:val="262626"/>
              </w:rPr>
            </w:pPr>
          </w:p>
        </w:tc>
        <w:tc>
          <w:tcPr>
            <w:tcW w:w="1081" w:type="dxa"/>
            <w:tcBorders>
              <w:left w:val="nil"/>
              <w:right w:val="nil"/>
            </w:tcBorders>
            <w:shd w:val="clear" w:color="auto" w:fill="auto"/>
            <w:vAlign w:val="center"/>
          </w:tcPr>
          <w:p w14:paraId="70903EEB" w14:textId="77777777" w:rsidR="003670E8" w:rsidRPr="00677E16" w:rsidRDefault="003670E8" w:rsidP="00EA194A">
            <w:pPr>
              <w:suppressAutoHyphens w:val="0"/>
              <w:spacing w:line="240" w:lineRule="auto"/>
              <w:jc w:val="center"/>
              <w:rPr>
                <w:rFonts w:eastAsia="Times New Roman"/>
                <w:color w:val="262626"/>
              </w:rPr>
            </w:pPr>
          </w:p>
        </w:tc>
      </w:tr>
      <w:tr w:rsidR="003670E8" w:rsidRPr="00677E16" w14:paraId="4DB853AD" w14:textId="77777777" w:rsidTr="00EA194A">
        <w:trPr>
          <w:gridAfter w:val="1"/>
          <w:wAfter w:w="96" w:type="dxa"/>
          <w:trHeight w:val="300"/>
        </w:trPr>
        <w:tc>
          <w:tcPr>
            <w:tcW w:w="1134" w:type="dxa"/>
            <w:tcBorders>
              <w:top w:val="nil"/>
              <w:left w:val="nil"/>
              <w:bottom w:val="single" w:sz="4" w:space="0" w:color="auto"/>
              <w:right w:val="nil"/>
            </w:tcBorders>
            <w:shd w:val="clear" w:color="auto" w:fill="FFFFFF" w:themeFill="background1"/>
          </w:tcPr>
          <w:p w14:paraId="40BE516E" w14:textId="77777777" w:rsidR="003670E8" w:rsidRPr="00677E16" w:rsidRDefault="003670E8" w:rsidP="00EA194A">
            <w:pPr>
              <w:suppressAutoHyphens w:val="0"/>
              <w:spacing w:line="240" w:lineRule="auto"/>
              <w:jc w:val="center"/>
              <w:rPr>
                <w:rFonts w:eastAsia="Times New Roman"/>
                <w:color w:val="262626"/>
              </w:rPr>
            </w:pPr>
          </w:p>
        </w:tc>
        <w:tc>
          <w:tcPr>
            <w:tcW w:w="1547" w:type="dxa"/>
            <w:tcBorders>
              <w:top w:val="nil"/>
              <w:left w:val="nil"/>
              <w:bottom w:val="single" w:sz="4" w:space="0" w:color="auto"/>
              <w:right w:val="nil"/>
            </w:tcBorders>
            <w:shd w:val="clear" w:color="auto" w:fill="FFFFFF" w:themeFill="background1"/>
            <w:vAlign w:val="center"/>
          </w:tcPr>
          <w:p w14:paraId="6046B1F0" w14:textId="77777777" w:rsidR="003670E8" w:rsidRDefault="003670E8" w:rsidP="00EA194A">
            <w:pPr>
              <w:suppressAutoHyphens w:val="0"/>
              <w:spacing w:line="240" w:lineRule="auto"/>
              <w:jc w:val="center"/>
              <w:rPr>
                <w:rFonts w:eastAsia="Times New Roman"/>
                <w:color w:val="262626"/>
              </w:rPr>
            </w:pPr>
            <w:r>
              <w:rPr>
                <w:rFonts w:eastAsia="Times New Roman"/>
                <w:color w:val="262626"/>
              </w:rPr>
              <w:t>OIMP</w:t>
            </w:r>
          </w:p>
        </w:tc>
        <w:tc>
          <w:tcPr>
            <w:tcW w:w="1126" w:type="dxa"/>
            <w:tcBorders>
              <w:top w:val="nil"/>
              <w:left w:val="nil"/>
              <w:bottom w:val="single" w:sz="4" w:space="0" w:color="auto"/>
              <w:right w:val="nil"/>
            </w:tcBorders>
            <w:shd w:val="clear" w:color="auto" w:fill="FFFFFF" w:themeFill="background1"/>
          </w:tcPr>
          <w:p w14:paraId="1325413F" w14:textId="77777777" w:rsidR="003670E8" w:rsidRPr="00677E16" w:rsidRDefault="003670E8" w:rsidP="00EA194A">
            <w:pPr>
              <w:suppressAutoHyphens w:val="0"/>
              <w:spacing w:line="240" w:lineRule="auto"/>
              <w:jc w:val="center"/>
              <w:rPr>
                <w:rFonts w:eastAsia="Times New Roman"/>
                <w:color w:val="262626"/>
              </w:rPr>
            </w:pPr>
          </w:p>
        </w:tc>
        <w:tc>
          <w:tcPr>
            <w:tcW w:w="1126" w:type="dxa"/>
            <w:tcBorders>
              <w:top w:val="nil"/>
              <w:left w:val="nil"/>
              <w:bottom w:val="single" w:sz="4" w:space="0" w:color="auto"/>
              <w:right w:val="nil"/>
            </w:tcBorders>
            <w:shd w:val="clear" w:color="auto" w:fill="FFFFFF" w:themeFill="background1"/>
            <w:vAlign w:val="center"/>
          </w:tcPr>
          <w:p w14:paraId="1744C76F" w14:textId="77777777" w:rsidR="003670E8" w:rsidRPr="00677E16" w:rsidRDefault="003670E8" w:rsidP="00EA194A">
            <w:pPr>
              <w:suppressAutoHyphens w:val="0"/>
              <w:spacing w:line="240" w:lineRule="auto"/>
              <w:jc w:val="center"/>
              <w:rPr>
                <w:rFonts w:eastAsia="Times New Roman"/>
                <w:color w:val="262626"/>
              </w:rPr>
            </w:pPr>
          </w:p>
        </w:tc>
        <w:tc>
          <w:tcPr>
            <w:tcW w:w="1266" w:type="dxa"/>
            <w:tcBorders>
              <w:top w:val="nil"/>
              <w:left w:val="nil"/>
              <w:bottom w:val="single" w:sz="4" w:space="0" w:color="auto"/>
              <w:right w:val="nil"/>
            </w:tcBorders>
            <w:shd w:val="clear" w:color="auto" w:fill="FFFFFF" w:themeFill="background1"/>
            <w:vAlign w:val="center"/>
          </w:tcPr>
          <w:p w14:paraId="44A3B3FB" w14:textId="77777777" w:rsidR="003670E8" w:rsidRPr="00677E16" w:rsidRDefault="003670E8" w:rsidP="00EA194A">
            <w:pPr>
              <w:suppressAutoHyphens w:val="0"/>
              <w:spacing w:line="240" w:lineRule="auto"/>
              <w:jc w:val="center"/>
              <w:rPr>
                <w:rFonts w:eastAsia="Times New Roman"/>
                <w:color w:val="262626"/>
              </w:rPr>
            </w:pPr>
          </w:p>
        </w:tc>
        <w:tc>
          <w:tcPr>
            <w:tcW w:w="1314" w:type="dxa"/>
            <w:tcBorders>
              <w:top w:val="nil"/>
              <w:left w:val="nil"/>
              <w:bottom w:val="single" w:sz="4" w:space="0" w:color="auto"/>
              <w:right w:val="nil"/>
            </w:tcBorders>
            <w:shd w:val="clear" w:color="auto" w:fill="FFFFFF" w:themeFill="background1"/>
            <w:vAlign w:val="center"/>
          </w:tcPr>
          <w:p w14:paraId="573C8909" w14:textId="77777777" w:rsidR="003670E8" w:rsidRPr="00677E16" w:rsidRDefault="003670E8" w:rsidP="00EA194A">
            <w:pPr>
              <w:suppressAutoHyphens w:val="0"/>
              <w:spacing w:line="240" w:lineRule="auto"/>
              <w:jc w:val="center"/>
              <w:rPr>
                <w:rFonts w:eastAsia="Times New Roman"/>
                <w:color w:val="262626"/>
              </w:rPr>
            </w:pPr>
          </w:p>
        </w:tc>
        <w:tc>
          <w:tcPr>
            <w:tcW w:w="1559" w:type="dxa"/>
            <w:tcBorders>
              <w:top w:val="nil"/>
              <w:left w:val="nil"/>
              <w:bottom w:val="single" w:sz="4" w:space="0" w:color="auto"/>
              <w:right w:val="nil"/>
            </w:tcBorders>
            <w:shd w:val="clear" w:color="auto" w:fill="FFFFFF" w:themeFill="background1"/>
            <w:vAlign w:val="center"/>
          </w:tcPr>
          <w:p w14:paraId="48620AD7" w14:textId="77777777" w:rsidR="003670E8" w:rsidRPr="00677E16" w:rsidRDefault="003670E8" w:rsidP="00EA194A">
            <w:pPr>
              <w:suppressAutoHyphens w:val="0"/>
              <w:spacing w:line="240" w:lineRule="auto"/>
              <w:jc w:val="center"/>
              <w:rPr>
                <w:rFonts w:eastAsia="Times New Roman"/>
                <w:color w:val="262626"/>
              </w:rPr>
            </w:pPr>
          </w:p>
        </w:tc>
        <w:tc>
          <w:tcPr>
            <w:tcW w:w="1907" w:type="dxa"/>
            <w:tcBorders>
              <w:top w:val="nil"/>
              <w:left w:val="nil"/>
              <w:bottom w:val="single" w:sz="4" w:space="0" w:color="auto"/>
              <w:right w:val="nil"/>
            </w:tcBorders>
            <w:shd w:val="clear" w:color="auto" w:fill="FFFFFF" w:themeFill="background1"/>
            <w:vAlign w:val="center"/>
          </w:tcPr>
          <w:p w14:paraId="7446BB82" w14:textId="77777777" w:rsidR="003670E8" w:rsidRPr="00677E16" w:rsidRDefault="003670E8" w:rsidP="00EA194A">
            <w:pPr>
              <w:suppressAutoHyphens w:val="0"/>
              <w:spacing w:line="240" w:lineRule="auto"/>
              <w:jc w:val="center"/>
              <w:rPr>
                <w:rFonts w:eastAsia="Times New Roman"/>
                <w:color w:val="262626"/>
              </w:rPr>
            </w:pPr>
          </w:p>
        </w:tc>
        <w:tc>
          <w:tcPr>
            <w:tcW w:w="1407" w:type="dxa"/>
            <w:tcBorders>
              <w:left w:val="nil"/>
              <w:bottom w:val="single" w:sz="4" w:space="0" w:color="auto"/>
              <w:right w:val="nil"/>
            </w:tcBorders>
            <w:shd w:val="clear" w:color="auto" w:fill="auto"/>
            <w:vAlign w:val="center"/>
          </w:tcPr>
          <w:p w14:paraId="58946F86" w14:textId="77777777" w:rsidR="003670E8" w:rsidRPr="00677E16" w:rsidRDefault="003670E8" w:rsidP="00EA194A">
            <w:pPr>
              <w:suppressAutoHyphens w:val="0"/>
              <w:spacing w:line="240" w:lineRule="auto"/>
              <w:jc w:val="center"/>
              <w:rPr>
                <w:rFonts w:eastAsia="Times New Roman"/>
                <w:color w:val="262626"/>
              </w:rPr>
            </w:pPr>
          </w:p>
        </w:tc>
        <w:tc>
          <w:tcPr>
            <w:tcW w:w="1081" w:type="dxa"/>
            <w:tcBorders>
              <w:left w:val="nil"/>
              <w:bottom w:val="single" w:sz="4" w:space="0" w:color="auto"/>
              <w:right w:val="nil"/>
            </w:tcBorders>
            <w:shd w:val="clear" w:color="auto" w:fill="auto"/>
            <w:vAlign w:val="center"/>
          </w:tcPr>
          <w:p w14:paraId="518746EA" w14:textId="77777777" w:rsidR="003670E8" w:rsidRPr="00677E16" w:rsidRDefault="003670E8" w:rsidP="00EA194A">
            <w:pPr>
              <w:suppressAutoHyphens w:val="0"/>
              <w:spacing w:line="240" w:lineRule="auto"/>
              <w:jc w:val="center"/>
              <w:rPr>
                <w:rFonts w:eastAsia="Times New Roman"/>
                <w:color w:val="262626"/>
              </w:rPr>
            </w:pPr>
          </w:p>
        </w:tc>
      </w:tr>
    </w:tbl>
    <w:p w14:paraId="336EF76E" w14:textId="77777777" w:rsidR="003670E8" w:rsidRPr="00677E16" w:rsidRDefault="003670E8" w:rsidP="003670E8">
      <w:pPr>
        <w:pStyle w:val="RegH1G"/>
        <w:keepLines w:val="0"/>
        <w:spacing w:before="0" w:after="0" w:line="60" w:lineRule="exact"/>
        <w:jc w:val="both"/>
        <w:sectPr w:rsidR="003670E8" w:rsidRPr="00677E16">
          <w:endnotePr>
            <w:numFmt w:val="lowerLetter"/>
            <w:numRestart w:val="eachSect"/>
          </w:endnotePr>
          <w:type w:val="continuous"/>
          <w:pgSz w:w="16838" w:h="11906" w:orient="landscape" w:code="9"/>
          <w:pgMar w:top="1560" w:right="1134" w:bottom="993" w:left="1418" w:header="850" w:footer="567" w:gutter="0"/>
          <w:cols w:space="708"/>
          <w:docGrid w:linePitch="360"/>
        </w:sectPr>
      </w:pPr>
    </w:p>
    <w:p w14:paraId="4316F9CC" w14:textId="77777777" w:rsidR="003670E8" w:rsidRPr="00677E16" w:rsidRDefault="003670E8" w:rsidP="003670E8">
      <w:pPr>
        <w:suppressAutoHyphens w:val="0"/>
        <w:spacing w:line="240" w:lineRule="auto"/>
      </w:pPr>
      <w:r w:rsidRPr="00677E16">
        <w:br w:type="page"/>
      </w:r>
    </w:p>
    <w:p w14:paraId="6379E1D8" w14:textId="77777777" w:rsidR="003670E8" w:rsidRPr="00677E16" w:rsidRDefault="003670E8" w:rsidP="003670E8">
      <w:pPr>
        <w:suppressAutoHyphens w:val="0"/>
        <w:spacing w:line="240" w:lineRule="auto"/>
      </w:pPr>
    </w:p>
    <w:p w14:paraId="55DA1A65" w14:textId="77777777" w:rsidR="003670E8" w:rsidRPr="00677E16" w:rsidRDefault="003670E8" w:rsidP="003670E8">
      <w:pPr>
        <w:pStyle w:val="FC2"/>
        <w:spacing w:before="240"/>
      </w:pPr>
      <w:r w:rsidRPr="00677E16">
        <w:t>Table 3</w:t>
      </w:r>
      <w:r w:rsidRPr="00677E16">
        <w:br/>
      </w:r>
      <w:r w:rsidRPr="00677E16">
        <w:rPr>
          <w:b/>
          <w:bCs/>
        </w:rPr>
        <w:t>Actions</w:t>
      </w:r>
    </w:p>
    <w:tbl>
      <w:tblPr>
        <w:tblW w:w="14175" w:type="dxa"/>
        <w:tblLook w:val="04A0" w:firstRow="1" w:lastRow="0" w:firstColumn="1" w:lastColumn="0" w:noHBand="0" w:noVBand="1"/>
      </w:tblPr>
      <w:tblGrid>
        <w:gridCol w:w="1010"/>
        <w:gridCol w:w="1393"/>
        <w:gridCol w:w="1737"/>
        <w:gridCol w:w="1434"/>
        <w:gridCol w:w="1433"/>
        <w:gridCol w:w="1274"/>
        <w:gridCol w:w="1116"/>
        <w:gridCol w:w="955"/>
        <w:gridCol w:w="319"/>
        <w:gridCol w:w="955"/>
        <w:gridCol w:w="797"/>
        <w:gridCol w:w="318"/>
        <w:gridCol w:w="1434"/>
      </w:tblGrid>
      <w:tr w:rsidR="003670E8" w:rsidRPr="00677E16" w14:paraId="7358CCEB" w14:textId="77777777" w:rsidTr="00EA194A">
        <w:trPr>
          <w:trHeight w:val="288"/>
        </w:trPr>
        <w:tc>
          <w:tcPr>
            <w:tcW w:w="4140" w:type="dxa"/>
            <w:gridSpan w:val="3"/>
            <w:tcBorders>
              <w:top w:val="single" w:sz="8" w:space="0" w:color="auto"/>
              <w:left w:val="nil"/>
              <w:bottom w:val="single" w:sz="6" w:space="0" w:color="auto"/>
              <w:right w:val="nil"/>
            </w:tcBorders>
            <w:shd w:val="clear" w:color="auto" w:fill="FFFFFF" w:themeFill="background1"/>
            <w:vAlign w:val="bottom"/>
            <w:hideMark/>
          </w:tcPr>
          <w:p w14:paraId="2B33895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Action type and date  </w:t>
            </w:r>
          </w:p>
        </w:tc>
        <w:tc>
          <w:tcPr>
            <w:tcW w:w="1434" w:type="dxa"/>
            <w:vMerge w:val="restart"/>
            <w:tcBorders>
              <w:top w:val="single" w:sz="8" w:space="0" w:color="auto"/>
              <w:left w:val="nil"/>
              <w:bottom w:val="single" w:sz="8" w:space="0" w:color="auto"/>
              <w:right w:val="nil"/>
            </w:tcBorders>
            <w:shd w:val="clear" w:color="auto" w:fill="FFFFFF" w:themeFill="background1"/>
            <w:vAlign w:val="bottom"/>
            <w:hideMark/>
          </w:tcPr>
          <w:p w14:paraId="73293AC7"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Cooperative approach ID</w:t>
            </w:r>
            <w:r w:rsidRPr="00677E16">
              <w:rPr>
                <w:rFonts w:eastAsia="Times New Roman"/>
                <w:i/>
                <w:iCs/>
                <w:color w:val="262626" w:themeColor="text1" w:themeTint="D9"/>
                <w:sz w:val="16"/>
                <w:szCs w:val="16"/>
                <w:vertAlign w:val="superscript"/>
                <w:lang w:val="en-US"/>
              </w:rPr>
              <w:t>c</w:t>
            </w:r>
          </w:p>
        </w:tc>
        <w:tc>
          <w:tcPr>
            <w:tcW w:w="8601" w:type="dxa"/>
            <w:gridSpan w:val="9"/>
            <w:tcBorders>
              <w:top w:val="single" w:sz="8" w:space="0" w:color="auto"/>
              <w:left w:val="nil"/>
              <w:right w:val="nil"/>
            </w:tcBorders>
            <w:shd w:val="clear" w:color="auto" w:fill="FFFFFF" w:themeFill="background1"/>
            <w:vAlign w:val="bottom"/>
            <w:hideMark/>
          </w:tcPr>
          <w:p w14:paraId="0FC0D28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w:t>
            </w:r>
          </w:p>
        </w:tc>
      </w:tr>
      <w:tr w:rsidR="003670E8" w:rsidRPr="00677E16" w14:paraId="47F741F4" w14:textId="77777777" w:rsidTr="00EA194A">
        <w:trPr>
          <w:trHeight w:val="288"/>
        </w:trPr>
        <w:tc>
          <w:tcPr>
            <w:tcW w:w="1010" w:type="dxa"/>
            <w:tcBorders>
              <w:top w:val="single" w:sz="6" w:space="0" w:color="auto"/>
              <w:left w:val="nil"/>
              <w:bottom w:val="nil"/>
              <w:right w:val="nil"/>
            </w:tcBorders>
            <w:shd w:val="clear" w:color="auto" w:fill="FFFFFF" w:themeFill="background1"/>
            <w:noWrap/>
            <w:vAlign w:val="bottom"/>
            <w:hideMark/>
          </w:tcPr>
          <w:p w14:paraId="30BA51B4"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393" w:type="dxa"/>
            <w:tcBorders>
              <w:top w:val="single" w:sz="6" w:space="0" w:color="auto"/>
              <w:left w:val="nil"/>
              <w:bottom w:val="nil"/>
              <w:right w:val="nil"/>
            </w:tcBorders>
            <w:shd w:val="clear" w:color="auto" w:fill="FFFFFF" w:themeFill="background1"/>
            <w:noWrap/>
            <w:vAlign w:val="bottom"/>
            <w:hideMark/>
          </w:tcPr>
          <w:p w14:paraId="76DD2374"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737" w:type="dxa"/>
            <w:tcBorders>
              <w:top w:val="single" w:sz="6" w:space="0" w:color="auto"/>
              <w:left w:val="nil"/>
              <w:bottom w:val="nil"/>
              <w:right w:val="nil"/>
            </w:tcBorders>
            <w:shd w:val="clear" w:color="auto" w:fill="FFFFFF" w:themeFill="background1"/>
            <w:noWrap/>
            <w:vAlign w:val="bottom"/>
            <w:hideMark/>
          </w:tcPr>
          <w:p w14:paraId="1CA61AC5"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434" w:type="dxa"/>
            <w:vMerge/>
            <w:tcBorders>
              <w:bottom w:val="single" w:sz="8" w:space="0" w:color="auto"/>
            </w:tcBorders>
            <w:vAlign w:val="center"/>
            <w:hideMark/>
          </w:tcPr>
          <w:p w14:paraId="2B5DB456" w14:textId="77777777" w:rsidR="003670E8" w:rsidRPr="00677E16" w:rsidRDefault="003670E8" w:rsidP="00EA194A">
            <w:pPr>
              <w:suppressAutoHyphens w:val="0"/>
              <w:spacing w:line="240" w:lineRule="auto"/>
              <w:rPr>
                <w:rFonts w:eastAsia="Times New Roman"/>
                <w:i/>
                <w:iCs/>
                <w:color w:val="262626"/>
                <w:sz w:val="16"/>
                <w:szCs w:val="16"/>
              </w:rPr>
            </w:pPr>
          </w:p>
        </w:tc>
        <w:tc>
          <w:tcPr>
            <w:tcW w:w="8601" w:type="dxa"/>
            <w:gridSpan w:val="9"/>
            <w:tcBorders>
              <w:left w:val="nil"/>
              <w:bottom w:val="single" w:sz="4" w:space="0" w:color="auto"/>
              <w:right w:val="nil"/>
            </w:tcBorders>
            <w:shd w:val="clear" w:color="auto" w:fill="FFFFFF" w:themeFill="background1"/>
            <w:noWrap/>
            <w:vAlign w:val="bottom"/>
            <w:hideMark/>
          </w:tcPr>
          <w:p w14:paraId="44DC06A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Unique identifiers</w:t>
            </w:r>
            <w:r w:rsidRPr="00677E16">
              <w:rPr>
                <w:rFonts w:eastAsia="Times New Roman"/>
                <w:color w:val="262626"/>
              </w:rPr>
              <w:t> </w:t>
            </w:r>
            <w:r w:rsidRPr="00677E16">
              <w:rPr>
                <w:rFonts w:eastAsia="Times New Roman"/>
                <w:i/>
                <w:iCs/>
                <w:color w:val="262626"/>
                <w:sz w:val="16"/>
                <w:szCs w:val="16"/>
              </w:rPr>
              <w:t> </w:t>
            </w:r>
          </w:p>
        </w:tc>
      </w:tr>
      <w:tr w:rsidR="003670E8" w:rsidRPr="00677E16" w14:paraId="0871181A" w14:textId="77777777" w:rsidTr="00EA194A">
        <w:trPr>
          <w:trHeight w:val="288"/>
        </w:trPr>
        <w:tc>
          <w:tcPr>
            <w:tcW w:w="1010" w:type="dxa"/>
            <w:tcBorders>
              <w:top w:val="nil"/>
              <w:left w:val="nil"/>
              <w:bottom w:val="nil"/>
              <w:right w:val="nil"/>
            </w:tcBorders>
            <w:shd w:val="clear" w:color="auto" w:fill="FFFFFF" w:themeFill="background1"/>
            <w:vAlign w:val="bottom"/>
            <w:hideMark/>
          </w:tcPr>
          <w:p w14:paraId="73AA03F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393" w:type="dxa"/>
            <w:tcBorders>
              <w:top w:val="nil"/>
              <w:left w:val="nil"/>
              <w:bottom w:val="nil"/>
              <w:right w:val="nil"/>
            </w:tcBorders>
            <w:shd w:val="clear" w:color="auto" w:fill="FFFFFF" w:themeFill="background1"/>
            <w:noWrap/>
            <w:vAlign w:val="bottom"/>
            <w:hideMark/>
          </w:tcPr>
          <w:p w14:paraId="5C66B16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737" w:type="dxa"/>
            <w:tcBorders>
              <w:top w:val="nil"/>
              <w:left w:val="nil"/>
              <w:bottom w:val="nil"/>
              <w:right w:val="nil"/>
            </w:tcBorders>
            <w:shd w:val="clear" w:color="auto" w:fill="FFFFFF" w:themeFill="background1"/>
            <w:noWrap/>
            <w:vAlign w:val="bottom"/>
            <w:hideMark/>
          </w:tcPr>
          <w:p w14:paraId="6AB1CAA9"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34" w:type="dxa"/>
            <w:vMerge/>
            <w:tcBorders>
              <w:bottom w:val="single" w:sz="8" w:space="0" w:color="auto"/>
            </w:tcBorders>
            <w:vAlign w:val="center"/>
            <w:hideMark/>
          </w:tcPr>
          <w:p w14:paraId="41B89F58" w14:textId="77777777" w:rsidR="003670E8" w:rsidRPr="00677E16" w:rsidRDefault="003670E8" w:rsidP="00EA194A">
            <w:pPr>
              <w:suppressAutoHyphens w:val="0"/>
              <w:spacing w:line="240" w:lineRule="auto"/>
              <w:rPr>
                <w:rFonts w:eastAsia="Times New Roman"/>
                <w:i/>
                <w:iCs/>
                <w:color w:val="262626"/>
                <w:sz w:val="16"/>
                <w:szCs w:val="16"/>
              </w:rPr>
            </w:pPr>
          </w:p>
        </w:tc>
        <w:tc>
          <w:tcPr>
            <w:tcW w:w="1433" w:type="dxa"/>
            <w:tcBorders>
              <w:top w:val="nil"/>
              <w:left w:val="nil"/>
              <w:bottom w:val="nil"/>
              <w:right w:val="nil"/>
            </w:tcBorders>
            <w:shd w:val="clear" w:color="auto" w:fill="FFFFFF" w:themeFill="background1"/>
            <w:noWrap/>
            <w:vAlign w:val="bottom"/>
            <w:hideMark/>
          </w:tcPr>
          <w:p w14:paraId="62C5C6A9"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4" w:type="dxa"/>
            <w:vMerge w:val="restart"/>
            <w:tcBorders>
              <w:top w:val="single" w:sz="4" w:space="0" w:color="auto"/>
              <w:left w:val="nil"/>
              <w:bottom w:val="single" w:sz="8" w:space="0" w:color="auto"/>
              <w:right w:val="nil"/>
            </w:tcBorders>
            <w:shd w:val="clear" w:color="auto" w:fill="FFFFFF" w:themeFill="background1"/>
            <w:vAlign w:val="bottom"/>
            <w:hideMark/>
          </w:tcPr>
          <w:p w14:paraId="58633D7A"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Authorization ID</w:t>
            </w:r>
            <w:r w:rsidRPr="00677E16">
              <w:rPr>
                <w:rFonts w:eastAsia="Times New Roman"/>
                <w:i/>
                <w:iCs/>
                <w:color w:val="262626" w:themeColor="text1" w:themeTint="D9"/>
                <w:sz w:val="16"/>
                <w:szCs w:val="16"/>
                <w:vertAlign w:val="superscript"/>
                <w:lang w:val="en-US"/>
              </w:rPr>
              <w:t>e</w:t>
            </w:r>
          </w:p>
        </w:tc>
        <w:tc>
          <w:tcPr>
            <w:tcW w:w="2071" w:type="dxa"/>
            <w:gridSpan w:val="2"/>
            <w:tcBorders>
              <w:top w:val="single" w:sz="4" w:space="0" w:color="auto"/>
              <w:left w:val="nil"/>
              <w:bottom w:val="single" w:sz="4" w:space="0" w:color="auto"/>
              <w:right w:val="nil"/>
            </w:tcBorders>
            <w:shd w:val="clear" w:color="auto" w:fill="FFFFFF" w:themeFill="background1"/>
            <w:vAlign w:val="bottom"/>
            <w:hideMark/>
          </w:tcPr>
          <w:p w14:paraId="723A435D"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p>
        </w:tc>
        <w:tc>
          <w:tcPr>
            <w:tcW w:w="319" w:type="dxa"/>
            <w:tcBorders>
              <w:top w:val="nil"/>
              <w:left w:val="nil"/>
              <w:bottom w:val="nil"/>
              <w:right w:val="nil"/>
            </w:tcBorders>
            <w:shd w:val="clear" w:color="auto" w:fill="FFFFFF" w:themeFill="background1"/>
            <w:noWrap/>
            <w:vAlign w:val="bottom"/>
            <w:hideMark/>
          </w:tcPr>
          <w:p w14:paraId="40374304"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752" w:type="dxa"/>
            <w:gridSpan w:val="2"/>
            <w:tcBorders>
              <w:top w:val="single" w:sz="4" w:space="0" w:color="auto"/>
              <w:left w:val="nil"/>
              <w:bottom w:val="single" w:sz="4" w:space="0" w:color="auto"/>
              <w:right w:val="nil"/>
            </w:tcBorders>
            <w:shd w:val="clear" w:color="auto" w:fill="FFFFFF" w:themeFill="background1"/>
            <w:vAlign w:val="bottom"/>
            <w:hideMark/>
          </w:tcPr>
          <w:p w14:paraId="2312D09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Underlying units</w:t>
            </w:r>
          </w:p>
        </w:tc>
        <w:tc>
          <w:tcPr>
            <w:tcW w:w="318" w:type="dxa"/>
            <w:tcBorders>
              <w:top w:val="nil"/>
              <w:left w:val="nil"/>
              <w:bottom w:val="single" w:sz="4" w:space="0" w:color="auto"/>
              <w:right w:val="nil"/>
            </w:tcBorders>
            <w:shd w:val="clear" w:color="auto" w:fill="FFFFFF" w:themeFill="background1"/>
            <w:vAlign w:val="bottom"/>
            <w:hideMark/>
          </w:tcPr>
          <w:p w14:paraId="23D8E60E"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434" w:type="dxa"/>
            <w:tcBorders>
              <w:top w:val="nil"/>
              <w:left w:val="nil"/>
              <w:bottom w:val="single" w:sz="4" w:space="0" w:color="auto"/>
              <w:right w:val="nil"/>
            </w:tcBorders>
            <w:shd w:val="clear" w:color="auto" w:fill="FFFFFF" w:themeFill="background1"/>
            <w:vAlign w:val="bottom"/>
            <w:hideMark/>
          </w:tcPr>
          <w:p w14:paraId="52FE7F93"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r>
      <w:tr w:rsidR="003670E8" w:rsidRPr="00677E16" w14:paraId="4F57F363" w14:textId="77777777" w:rsidTr="00EA194A">
        <w:trPr>
          <w:trHeight w:val="305"/>
        </w:trPr>
        <w:tc>
          <w:tcPr>
            <w:tcW w:w="1010" w:type="dxa"/>
            <w:tcBorders>
              <w:top w:val="nil"/>
              <w:left w:val="nil"/>
              <w:bottom w:val="nil"/>
              <w:right w:val="nil"/>
            </w:tcBorders>
            <w:shd w:val="clear" w:color="auto" w:fill="FFFFFF" w:themeFill="background1"/>
            <w:vAlign w:val="bottom"/>
            <w:hideMark/>
          </w:tcPr>
          <w:p w14:paraId="75B64DEC"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393" w:type="dxa"/>
            <w:tcBorders>
              <w:top w:val="nil"/>
              <w:left w:val="nil"/>
              <w:right w:val="nil"/>
            </w:tcBorders>
            <w:shd w:val="clear" w:color="auto" w:fill="FFFFFF" w:themeFill="background1"/>
            <w:noWrap/>
            <w:vAlign w:val="bottom"/>
            <w:hideMark/>
          </w:tcPr>
          <w:p w14:paraId="6DD8449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737" w:type="dxa"/>
            <w:tcBorders>
              <w:top w:val="nil"/>
              <w:left w:val="nil"/>
              <w:right w:val="nil"/>
            </w:tcBorders>
            <w:shd w:val="clear" w:color="auto" w:fill="FFFFFF" w:themeFill="background1"/>
            <w:noWrap/>
            <w:vAlign w:val="bottom"/>
            <w:hideMark/>
          </w:tcPr>
          <w:p w14:paraId="1CCBC6B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34" w:type="dxa"/>
            <w:vMerge/>
            <w:tcBorders>
              <w:bottom w:val="single" w:sz="8" w:space="0" w:color="auto"/>
            </w:tcBorders>
            <w:vAlign w:val="center"/>
            <w:hideMark/>
          </w:tcPr>
          <w:p w14:paraId="509267EA" w14:textId="77777777" w:rsidR="003670E8" w:rsidRPr="00677E16" w:rsidRDefault="003670E8" w:rsidP="00EA194A">
            <w:pPr>
              <w:suppressAutoHyphens w:val="0"/>
              <w:spacing w:line="240" w:lineRule="auto"/>
              <w:rPr>
                <w:rFonts w:eastAsia="Times New Roman"/>
                <w:i/>
                <w:iCs/>
                <w:color w:val="262626"/>
                <w:sz w:val="16"/>
                <w:szCs w:val="16"/>
              </w:rPr>
            </w:pPr>
          </w:p>
        </w:tc>
        <w:tc>
          <w:tcPr>
            <w:tcW w:w="1433" w:type="dxa"/>
            <w:tcBorders>
              <w:top w:val="nil"/>
              <w:left w:val="nil"/>
              <w:bottom w:val="nil"/>
              <w:right w:val="nil"/>
            </w:tcBorders>
            <w:shd w:val="clear" w:color="auto" w:fill="FFFFFF" w:themeFill="background1"/>
            <w:noWrap/>
            <w:vAlign w:val="bottom"/>
            <w:hideMark/>
          </w:tcPr>
          <w:p w14:paraId="1BA9604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4" w:type="dxa"/>
            <w:vMerge/>
            <w:tcBorders>
              <w:bottom w:val="single" w:sz="8" w:space="0" w:color="auto"/>
            </w:tcBorders>
            <w:vAlign w:val="center"/>
            <w:hideMark/>
          </w:tcPr>
          <w:p w14:paraId="4BDEC587" w14:textId="77777777" w:rsidR="003670E8" w:rsidRPr="00677E16" w:rsidRDefault="003670E8" w:rsidP="00EA194A">
            <w:pPr>
              <w:suppressAutoHyphens w:val="0"/>
              <w:spacing w:line="240" w:lineRule="auto"/>
              <w:rPr>
                <w:rFonts w:eastAsia="Times New Roman"/>
                <w:i/>
                <w:iCs/>
                <w:color w:val="262626"/>
                <w:sz w:val="16"/>
                <w:szCs w:val="16"/>
              </w:rPr>
            </w:pPr>
          </w:p>
        </w:tc>
        <w:tc>
          <w:tcPr>
            <w:tcW w:w="2071" w:type="dxa"/>
            <w:gridSpan w:val="2"/>
            <w:tcBorders>
              <w:top w:val="nil"/>
              <w:left w:val="nil"/>
              <w:bottom w:val="nil"/>
              <w:right w:val="nil"/>
            </w:tcBorders>
            <w:shd w:val="clear" w:color="auto" w:fill="FFFFFF" w:themeFill="background1"/>
            <w:hideMark/>
          </w:tcPr>
          <w:p w14:paraId="3C4CA80E"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themeColor="text1" w:themeTint="D9"/>
                <w:sz w:val="16"/>
                <w:szCs w:val="16"/>
                <w:lang w:val="en-US"/>
              </w:rPr>
              <w:t>ITMO unique identifier</w:t>
            </w:r>
            <w:r w:rsidRPr="00677E16">
              <w:rPr>
                <w:rFonts w:eastAsia="Times New Roman"/>
                <w:i/>
                <w:iCs/>
                <w:color w:val="262626" w:themeColor="text1" w:themeTint="D9"/>
                <w:sz w:val="16"/>
                <w:szCs w:val="16"/>
                <w:vertAlign w:val="superscript"/>
                <w:lang w:val="en-US"/>
              </w:rPr>
              <w:t>f</w:t>
            </w:r>
          </w:p>
        </w:tc>
        <w:tc>
          <w:tcPr>
            <w:tcW w:w="319" w:type="dxa"/>
            <w:tcBorders>
              <w:top w:val="nil"/>
              <w:left w:val="nil"/>
              <w:bottom w:val="nil"/>
              <w:right w:val="nil"/>
            </w:tcBorders>
            <w:shd w:val="clear" w:color="auto" w:fill="FFFFFF" w:themeFill="background1"/>
            <w:noWrap/>
            <w:vAlign w:val="bottom"/>
            <w:hideMark/>
          </w:tcPr>
          <w:p w14:paraId="63D7FD05"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752" w:type="dxa"/>
            <w:gridSpan w:val="2"/>
            <w:tcBorders>
              <w:top w:val="single" w:sz="4" w:space="0" w:color="auto"/>
              <w:left w:val="nil"/>
              <w:bottom w:val="single" w:sz="4" w:space="0" w:color="auto"/>
              <w:right w:val="nil"/>
            </w:tcBorders>
            <w:shd w:val="clear" w:color="auto" w:fill="FFFFFF" w:themeFill="background1"/>
            <w:vAlign w:val="bottom"/>
            <w:hideMark/>
          </w:tcPr>
          <w:p w14:paraId="7012A425"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Underlying unit unique identifier</w:t>
            </w:r>
            <w:r w:rsidRPr="00677E16">
              <w:rPr>
                <w:rFonts w:eastAsia="Times New Roman"/>
                <w:i/>
                <w:iCs/>
                <w:color w:val="262626" w:themeColor="text1" w:themeTint="D9"/>
                <w:sz w:val="16"/>
                <w:szCs w:val="16"/>
                <w:vertAlign w:val="superscript"/>
                <w:lang w:val="en-US"/>
              </w:rPr>
              <w:t>g</w:t>
            </w:r>
          </w:p>
        </w:tc>
        <w:tc>
          <w:tcPr>
            <w:tcW w:w="318" w:type="dxa"/>
            <w:tcBorders>
              <w:top w:val="nil"/>
              <w:left w:val="nil"/>
              <w:bottom w:val="nil"/>
              <w:right w:val="nil"/>
            </w:tcBorders>
            <w:shd w:val="clear" w:color="auto" w:fill="FFFFFF" w:themeFill="background1"/>
            <w:vAlign w:val="bottom"/>
            <w:hideMark/>
          </w:tcPr>
          <w:p w14:paraId="16301EE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34" w:type="dxa"/>
            <w:tcBorders>
              <w:top w:val="nil"/>
              <w:left w:val="nil"/>
              <w:bottom w:val="nil"/>
              <w:right w:val="nil"/>
            </w:tcBorders>
            <w:shd w:val="clear" w:color="auto" w:fill="FFFFFF" w:themeFill="background1"/>
            <w:vAlign w:val="bottom"/>
            <w:hideMark/>
          </w:tcPr>
          <w:p w14:paraId="4F1E0FF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r>
      <w:tr w:rsidR="003670E8" w:rsidRPr="00677E16" w14:paraId="35B4C579" w14:textId="77777777" w:rsidTr="00EA194A">
        <w:trPr>
          <w:trHeight w:val="170"/>
        </w:trPr>
        <w:tc>
          <w:tcPr>
            <w:tcW w:w="1010" w:type="dxa"/>
            <w:tcBorders>
              <w:top w:val="nil"/>
              <w:left w:val="nil"/>
              <w:bottom w:val="single" w:sz="8" w:space="0" w:color="auto"/>
              <w:right w:val="nil"/>
            </w:tcBorders>
            <w:shd w:val="clear" w:color="auto" w:fill="FFFFFF" w:themeFill="background1"/>
            <w:vAlign w:val="bottom"/>
            <w:hideMark/>
          </w:tcPr>
          <w:p w14:paraId="7C2109AF"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Action date</w:t>
            </w:r>
            <w:r w:rsidRPr="00677E16">
              <w:rPr>
                <w:rFonts w:eastAsia="Times New Roman"/>
                <w:i/>
                <w:iCs/>
                <w:color w:val="262626" w:themeColor="text1" w:themeTint="D9"/>
                <w:sz w:val="16"/>
                <w:szCs w:val="16"/>
                <w:vertAlign w:val="superscript"/>
                <w:lang w:val="en-US"/>
              </w:rPr>
              <w:t>a</w:t>
            </w:r>
          </w:p>
        </w:tc>
        <w:tc>
          <w:tcPr>
            <w:tcW w:w="1393" w:type="dxa"/>
            <w:tcBorders>
              <w:top w:val="nil"/>
              <w:left w:val="nil"/>
              <w:bottom w:val="single" w:sz="8" w:space="0" w:color="auto"/>
              <w:right w:val="nil"/>
            </w:tcBorders>
            <w:shd w:val="clear" w:color="auto" w:fill="FFFFFF" w:themeFill="background1"/>
            <w:vAlign w:val="bottom"/>
            <w:hideMark/>
          </w:tcPr>
          <w:p w14:paraId="1A7D6DEC"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Action type</w:t>
            </w:r>
            <w:r w:rsidRPr="00677E16">
              <w:rPr>
                <w:rFonts w:eastAsia="Times New Roman"/>
                <w:i/>
                <w:iCs/>
                <w:color w:val="262626" w:themeColor="text1" w:themeTint="D9"/>
                <w:sz w:val="16"/>
                <w:szCs w:val="16"/>
                <w:vertAlign w:val="superscript"/>
                <w:lang w:val="en-US"/>
              </w:rPr>
              <w:t>b</w:t>
            </w:r>
          </w:p>
        </w:tc>
        <w:tc>
          <w:tcPr>
            <w:tcW w:w="1737" w:type="dxa"/>
            <w:tcBorders>
              <w:top w:val="nil"/>
              <w:left w:val="nil"/>
              <w:bottom w:val="single" w:sz="8" w:space="0" w:color="auto"/>
              <w:right w:val="nil"/>
            </w:tcBorders>
            <w:shd w:val="clear" w:color="auto" w:fill="FFFFFF" w:themeFill="background1"/>
            <w:vAlign w:val="bottom"/>
            <w:hideMark/>
          </w:tcPr>
          <w:p w14:paraId="58EEA736" w14:textId="77777777" w:rsidR="003670E8" w:rsidRPr="00677E16" w:rsidRDefault="003670E8" w:rsidP="00EA194A">
            <w:pPr>
              <w:suppressAutoHyphens w:val="0"/>
              <w:spacing w:line="240" w:lineRule="auto"/>
              <w:jc w:val="center"/>
              <w:rPr>
                <w:rFonts w:eastAsia="Times New Roman"/>
                <w:i/>
                <w:iCs/>
                <w:color w:val="262626"/>
                <w:sz w:val="16"/>
                <w:szCs w:val="16"/>
              </w:rPr>
            </w:pPr>
            <w:r>
              <w:rPr>
                <w:rFonts w:eastAsia="Times New Roman"/>
                <w:i/>
                <w:iCs/>
                <w:color w:val="262626"/>
                <w:sz w:val="16"/>
                <w:szCs w:val="16"/>
              </w:rPr>
              <w:t>[</w:t>
            </w:r>
            <w:r w:rsidRPr="00677E16">
              <w:rPr>
                <w:rFonts w:eastAsia="Times New Roman"/>
                <w:i/>
                <w:iCs/>
                <w:color w:val="262626"/>
                <w:sz w:val="16"/>
                <w:szCs w:val="16"/>
              </w:rPr>
              <w:t>Action subtype</w:t>
            </w:r>
            <w:r>
              <w:rPr>
                <w:rFonts w:eastAsia="Times New Roman"/>
                <w:i/>
                <w:iCs/>
                <w:color w:val="262626"/>
                <w:sz w:val="16"/>
                <w:szCs w:val="16"/>
              </w:rPr>
              <w:t>]</w:t>
            </w:r>
          </w:p>
        </w:tc>
        <w:tc>
          <w:tcPr>
            <w:tcW w:w="1434" w:type="dxa"/>
            <w:vMerge/>
            <w:tcBorders>
              <w:bottom w:val="single" w:sz="8" w:space="0" w:color="auto"/>
            </w:tcBorders>
            <w:vAlign w:val="center"/>
            <w:hideMark/>
          </w:tcPr>
          <w:p w14:paraId="5691B076" w14:textId="77777777" w:rsidR="003670E8" w:rsidRPr="00677E16" w:rsidRDefault="003670E8" w:rsidP="00EA194A">
            <w:pPr>
              <w:suppressAutoHyphens w:val="0"/>
              <w:spacing w:line="240" w:lineRule="auto"/>
              <w:rPr>
                <w:rFonts w:eastAsia="Times New Roman"/>
                <w:i/>
                <w:iCs/>
                <w:color w:val="262626"/>
                <w:sz w:val="16"/>
                <w:szCs w:val="16"/>
              </w:rPr>
            </w:pPr>
          </w:p>
        </w:tc>
        <w:tc>
          <w:tcPr>
            <w:tcW w:w="1433" w:type="dxa"/>
            <w:tcBorders>
              <w:top w:val="nil"/>
              <w:left w:val="nil"/>
              <w:bottom w:val="single" w:sz="8" w:space="0" w:color="auto"/>
              <w:right w:val="nil"/>
            </w:tcBorders>
            <w:shd w:val="clear" w:color="auto" w:fill="FFFFFF" w:themeFill="background1"/>
            <w:vAlign w:val="bottom"/>
            <w:hideMark/>
          </w:tcPr>
          <w:p w14:paraId="2E2B83A6"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Party ITMO registry ID</w:t>
            </w:r>
            <w:r w:rsidRPr="00677E16">
              <w:rPr>
                <w:rFonts w:eastAsia="Times New Roman"/>
                <w:i/>
                <w:iCs/>
                <w:color w:val="262626" w:themeColor="text1" w:themeTint="D9"/>
                <w:sz w:val="16"/>
                <w:szCs w:val="16"/>
                <w:vertAlign w:val="superscript"/>
                <w:lang w:val="en-US"/>
              </w:rPr>
              <w:t>d</w:t>
            </w:r>
          </w:p>
        </w:tc>
        <w:tc>
          <w:tcPr>
            <w:tcW w:w="1274" w:type="dxa"/>
            <w:vMerge/>
            <w:tcBorders>
              <w:bottom w:val="single" w:sz="8" w:space="0" w:color="auto"/>
            </w:tcBorders>
            <w:vAlign w:val="center"/>
            <w:hideMark/>
          </w:tcPr>
          <w:p w14:paraId="5666368B" w14:textId="77777777" w:rsidR="003670E8" w:rsidRPr="00677E16" w:rsidRDefault="003670E8" w:rsidP="00EA194A">
            <w:pPr>
              <w:suppressAutoHyphens w:val="0"/>
              <w:spacing w:line="240" w:lineRule="auto"/>
              <w:rPr>
                <w:rFonts w:eastAsia="Times New Roman"/>
                <w:i/>
                <w:iCs/>
                <w:color w:val="262626"/>
                <w:sz w:val="16"/>
                <w:szCs w:val="16"/>
              </w:rPr>
            </w:pPr>
          </w:p>
        </w:tc>
        <w:tc>
          <w:tcPr>
            <w:tcW w:w="1116" w:type="dxa"/>
            <w:tcBorders>
              <w:top w:val="nil"/>
              <w:left w:val="nil"/>
              <w:bottom w:val="single" w:sz="8" w:space="0" w:color="auto"/>
              <w:right w:val="nil"/>
            </w:tcBorders>
            <w:shd w:val="clear" w:color="auto" w:fill="FFFFFF" w:themeFill="background1"/>
            <w:vAlign w:val="bottom"/>
            <w:hideMark/>
          </w:tcPr>
          <w:p w14:paraId="2A47580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ID</w:t>
            </w:r>
          </w:p>
        </w:tc>
        <w:tc>
          <w:tcPr>
            <w:tcW w:w="955" w:type="dxa"/>
            <w:tcBorders>
              <w:top w:val="nil"/>
              <w:left w:val="nil"/>
              <w:bottom w:val="single" w:sz="8" w:space="0" w:color="auto"/>
              <w:right w:val="nil"/>
            </w:tcBorders>
            <w:shd w:val="clear" w:color="auto" w:fill="FFFFFF" w:themeFill="background1"/>
            <w:vAlign w:val="bottom"/>
            <w:hideMark/>
          </w:tcPr>
          <w:p w14:paraId="0E08BCBE"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Last ID</w:t>
            </w:r>
          </w:p>
        </w:tc>
        <w:tc>
          <w:tcPr>
            <w:tcW w:w="319" w:type="dxa"/>
            <w:tcBorders>
              <w:top w:val="nil"/>
              <w:left w:val="nil"/>
              <w:bottom w:val="single" w:sz="8" w:space="0" w:color="auto"/>
              <w:right w:val="nil"/>
            </w:tcBorders>
            <w:shd w:val="clear" w:color="auto" w:fill="FFFFFF" w:themeFill="background1"/>
            <w:vAlign w:val="bottom"/>
            <w:hideMark/>
          </w:tcPr>
          <w:p w14:paraId="003D8158"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955" w:type="dxa"/>
            <w:tcBorders>
              <w:top w:val="nil"/>
              <w:left w:val="nil"/>
              <w:bottom w:val="single" w:sz="8" w:space="0" w:color="auto"/>
              <w:right w:val="nil"/>
            </w:tcBorders>
            <w:shd w:val="clear" w:color="auto" w:fill="FFFFFF" w:themeFill="background1"/>
            <w:vAlign w:val="bottom"/>
            <w:hideMark/>
          </w:tcPr>
          <w:p w14:paraId="5297C8E9"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ID</w:t>
            </w:r>
          </w:p>
        </w:tc>
        <w:tc>
          <w:tcPr>
            <w:tcW w:w="797" w:type="dxa"/>
            <w:tcBorders>
              <w:top w:val="nil"/>
              <w:left w:val="nil"/>
              <w:bottom w:val="single" w:sz="8" w:space="0" w:color="auto"/>
              <w:right w:val="nil"/>
            </w:tcBorders>
            <w:shd w:val="clear" w:color="auto" w:fill="FFFFFF" w:themeFill="background1"/>
            <w:vAlign w:val="bottom"/>
            <w:hideMark/>
          </w:tcPr>
          <w:p w14:paraId="2403787A"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Last ID</w:t>
            </w:r>
          </w:p>
        </w:tc>
        <w:tc>
          <w:tcPr>
            <w:tcW w:w="318" w:type="dxa"/>
            <w:tcBorders>
              <w:top w:val="nil"/>
              <w:left w:val="nil"/>
              <w:bottom w:val="nil"/>
              <w:right w:val="nil"/>
            </w:tcBorders>
            <w:shd w:val="clear" w:color="auto" w:fill="FFFFFF" w:themeFill="background1"/>
            <w:noWrap/>
            <w:vAlign w:val="bottom"/>
            <w:hideMark/>
          </w:tcPr>
          <w:p w14:paraId="34319C6A"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434" w:type="dxa"/>
            <w:tcBorders>
              <w:top w:val="nil"/>
              <w:left w:val="nil"/>
              <w:bottom w:val="single" w:sz="8" w:space="0" w:color="auto"/>
              <w:right w:val="nil"/>
            </w:tcBorders>
            <w:shd w:val="clear" w:color="auto" w:fill="FFFFFF" w:themeFill="background1"/>
            <w:vAlign w:val="bottom"/>
            <w:hideMark/>
          </w:tcPr>
          <w:p w14:paraId="6E4A5BE8" w14:textId="77777777" w:rsidR="003670E8" w:rsidRPr="00677E16" w:rsidRDefault="003670E8" w:rsidP="00EA194A">
            <w:pPr>
              <w:suppressAutoHyphens w:val="0"/>
              <w:spacing w:line="240" w:lineRule="auto"/>
              <w:rPr>
                <w:rFonts w:eastAsia="Times New Roman"/>
                <w:i/>
                <w:iCs/>
                <w:color w:val="262626"/>
                <w:sz w:val="16"/>
                <w:szCs w:val="16"/>
                <w:lang w:val="en-US"/>
              </w:rPr>
            </w:pPr>
            <w:r w:rsidRPr="00677E16">
              <w:rPr>
                <w:rFonts w:eastAsia="Times New Roman"/>
                <w:i/>
                <w:iCs/>
                <w:color w:val="262626" w:themeColor="text1" w:themeTint="D9"/>
                <w:sz w:val="16"/>
                <w:szCs w:val="16"/>
                <w:lang w:val="en-US"/>
              </w:rPr>
              <w:t>Underlying unit registry ID</w:t>
            </w:r>
            <w:r w:rsidRPr="00677E16">
              <w:rPr>
                <w:rFonts w:eastAsia="Times New Roman"/>
                <w:i/>
                <w:iCs/>
                <w:color w:val="262626" w:themeColor="text1" w:themeTint="D9"/>
                <w:sz w:val="16"/>
                <w:szCs w:val="16"/>
                <w:vertAlign w:val="superscript"/>
                <w:lang w:val="en-US"/>
              </w:rPr>
              <w:t>h</w:t>
            </w:r>
          </w:p>
        </w:tc>
      </w:tr>
      <w:tr w:rsidR="003670E8" w:rsidRPr="00677E16" w14:paraId="668C83EC" w14:textId="77777777" w:rsidTr="00EA194A">
        <w:trPr>
          <w:trHeight w:val="528"/>
        </w:trPr>
        <w:tc>
          <w:tcPr>
            <w:tcW w:w="1010" w:type="dxa"/>
            <w:tcBorders>
              <w:top w:val="nil"/>
              <w:left w:val="nil"/>
              <w:right w:val="nil"/>
            </w:tcBorders>
            <w:shd w:val="clear" w:color="auto" w:fill="FFFFFF" w:themeFill="background1"/>
            <w:hideMark/>
          </w:tcPr>
          <w:p w14:paraId="730885E6"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393" w:type="dxa"/>
            <w:vMerge w:val="restart"/>
            <w:tcBorders>
              <w:top w:val="single" w:sz="8" w:space="0" w:color="auto"/>
              <w:left w:val="nil"/>
              <w:right w:val="nil"/>
            </w:tcBorders>
            <w:shd w:val="clear" w:color="auto" w:fill="FFFFFF" w:themeFill="background1"/>
            <w:vAlign w:val="center"/>
            <w:hideMark/>
          </w:tcPr>
          <w:p w14:paraId="2905CBAE" w14:textId="77777777" w:rsidR="003670E8" w:rsidRPr="00677E16" w:rsidRDefault="003670E8" w:rsidP="00EA194A">
            <w:pPr>
              <w:spacing w:line="240" w:lineRule="auto"/>
              <w:jc w:val="center"/>
              <w:rPr>
                <w:rFonts w:eastAsia="Times New Roman"/>
                <w:color w:val="262626"/>
              </w:rPr>
            </w:pPr>
            <w:r w:rsidRPr="00677E16">
              <w:rPr>
                <w:rFonts w:eastAsia="Times New Roman"/>
                <w:color w:val="262626"/>
              </w:rPr>
              <w:t> </w:t>
            </w:r>
          </w:p>
        </w:tc>
        <w:tc>
          <w:tcPr>
            <w:tcW w:w="1737" w:type="dxa"/>
            <w:vMerge w:val="restart"/>
            <w:tcBorders>
              <w:top w:val="single" w:sz="8" w:space="0" w:color="auto"/>
              <w:left w:val="nil"/>
              <w:right w:val="nil"/>
            </w:tcBorders>
            <w:shd w:val="clear" w:color="auto" w:fill="FFFFFF" w:themeFill="background1"/>
            <w:vAlign w:val="center"/>
          </w:tcPr>
          <w:p w14:paraId="5E63A741" w14:textId="77777777" w:rsidR="003670E8" w:rsidRPr="00677E16" w:rsidRDefault="003670E8" w:rsidP="00EA194A">
            <w:pPr>
              <w:suppressAutoHyphens w:val="0"/>
              <w:spacing w:line="240" w:lineRule="auto"/>
              <w:jc w:val="center"/>
              <w:rPr>
                <w:rFonts w:eastAsia="Times New Roman"/>
                <w:color w:val="262626"/>
              </w:rPr>
            </w:pPr>
          </w:p>
        </w:tc>
        <w:tc>
          <w:tcPr>
            <w:tcW w:w="1434" w:type="dxa"/>
            <w:tcBorders>
              <w:top w:val="single" w:sz="8" w:space="0" w:color="auto"/>
              <w:left w:val="nil"/>
              <w:right w:val="nil"/>
            </w:tcBorders>
            <w:shd w:val="clear" w:color="auto" w:fill="FFFFFF" w:themeFill="background1"/>
            <w:vAlign w:val="center"/>
            <w:hideMark/>
          </w:tcPr>
          <w:p w14:paraId="301448AC"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433" w:type="dxa"/>
            <w:tcBorders>
              <w:top w:val="nil"/>
              <w:left w:val="nil"/>
              <w:right w:val="nil"/>
            </w:tcBorders>
            <w:shd w:val="clear" w:color="auto" w:fill="FFFFFF" w:themeFill="background1"/>
            <w:vAlign w:val="center"/>
            <w:hideMark/>
          </w:tcPr>
          <w:p w14:paraId="1534C315"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274" w:type="dxa"/>
            <w:tcBorders>
              <w:top w:val="single" w:sz="8" w:space="0" w:color="auto"/>
              <w:left w:val="nil"/>
              <w:right w:val="nil"/>
            </w:tcBorders>
            <w:shd w:val="clear" w:color="auto" w:fill="FFFFFF" w:themeFill="background1"/>
            <w:vAlign w:val="center"/>
            <w:hideMark/>
          </w:tcPr>
          <w:p w14:paraId="242CB2E1"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116" w:type="dxa"/>
            <w:tcBorders>
              <w:top w:val="nil"/>
              <w:left w:val="nil"/>
              <w:right w:val="nil"/>
            </w:tcBorders>
            <w:shd w:val="clear" w:color="auto" w:fill="FFFFFF" w:themeFill="background1"/>
            <w:vAlign w:val="center"/>
            <w:hideMark/>
          </w:tcPr>
          <w:p w14:paraId="61D728B2"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955" w:type="dxa"/>
            <w:tcBorders>
              <w:top w:val="nil"/>
              <w:left w:val="nil"/>
              <w:right w:val="nil"/>
            </w:tcBorders>
            <w:shd w:val="clear" w:color="auto" w:fill="FFFFFF" w:themeFill="background1"/>
            <w:noWrap/>
            <w:vAlign w:val="center"/>
            <w:hideMark/>
          </w:tcPr>
          <w:p w14:paraId="16410F08"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319" w:type="dxa"/>
            <w:tcBorders>
              <w:top w:val="nil"/>
              <w:left w:val="nil"/>
              <w:right w:val="nil"/>
            </w:tcBorders>
            <w:shd w:val="clear" w:color="auto" w:fill="FFFFFF" w:themeFill="background1"/>
            <w:vAlign w:val="center"/>
            <w:hideMark/>
          </w:tcPr>
          <w:p w14:paraId="58EA5BA1"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55" w:type="dxa"/>
            <w:tcBorders>
              <w:top w:val="nil"/>
              <w:left w:val="nil"/>
              <w:right w:val="nil"/>
            </w:tcBorders>
            <w:shd w:val="clear" w:color="auto" w:fill="FFFFFF" w:themeFill="background1"/>
            <w:vAlign w:val="center"/>
            <w:hideMark/>
          </w:tcPr>
          <w:p w14:paraId="31CA1265"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797" w:type="dxa"/>
            <w:tcBorders>
              <w:top w:val="nil"/>
              <w:left w:val="nil"/>
              <w:right w:val="nil"/>
            </w:tcBorders>
            <w:shd w:val="clear" w:color="auto" w:fill="FFFFFF" w:themeFill="background1"/>
            <w:vAlign w:val="center"/>
            <w:hideMark/>
          </w:tcPr>
          <w:p w14:paraId="30307D8A"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318" w:type="dxa"/>
            <w:tcBorders>
              <w:top w:val="single" w:sz="8" w:space="0" w:color="auto"/>
              <w:left w:val="nil"/>
              <w:right w:val="nil"/>
            </w:tcBorders>
            <w:shd w:val="clear" w:color="auto" w:fill="FFFFFF" w:themeFill="background1"/>
            <w:vAlign w:val="center"/>
            <w:hideMark/>
          </w:tcPr>
          <w:p w14:paraId="4F4CF09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34" w:type="dxa"/>
            <w:tcBorders>
              <w:top w:val="nil"/>
              <w:left w:val="nil"/>
              <w:right w:val="nil"/>
            </w:tcBorders>
            <w:shd w:val="clear" w:color="auto" w:fill="FFFFFF" w:themeFill="background1"/>
            <w:vAlign w:val="center"/>
            <w:hideMark/>
          </w:tcPr>
          <w:p w14:paraId="55B6F2C6"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r>
      <w:tr w:rsidR="003670E8" w:rsidRPr="00677E16" w14:paraId="7F386262" w14:textId="77777777" w:rsidTr="00EA194A">
        <w:trPr>
          <w:trHeight w:val="528"/>
        </w:trPr>
        <w:tc>
          <w:tcPr>
            <w:tcW w:w="1010" w:type="dxa"/>
            <w:tcBorders>
              <w:top w:val="nil"/>
              <w:left w:val="nil"/>
              <w:bottom w:val="single" w:sz="12" w:space="0" w:color="auto"/>
              <w:right w:val="nil"/>
            </w:tcBorders>
            <w:shd w:val="clear" w:color="auto" w:fill="FFFFFF" w:themeFill="background1"/>
            <w:hideMark/>
          </w:tcPr>
          <w:p w14:paraId="37ADE773"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393" w:type="dxa"/>
            <w:vMerge/>
            <w:tcBorders>
              <w:bottom w:val="single" w:sz="12" w:space="0" w:color="auto"/>
            </w:tcBorders>
            <w:vAlign w:val="center"/>
            <w:hideMark/>
          </w:tcPr>
          <w:p w14:paraId="25950424" w14:textId="77777777" w:rsidR="003670E8" w:rsidRPr="00677E16" w:rsidRDefault="003670E8" w:rsidP="00EA194A">
            <w:pPr>
              <w:suppressAutoHyphens w:val="0"/>
              <w:spacing w:line="240" w:lineRule="auto"/>
              <w:jc w:val="center"/>
              <w:rPr>
                <w:rFonts w:eastAsia="Times New Roman"/>
                <w:color w:val="262626"/>
              </w:rPr>
            </w:pPr>
          </w:p>
        </w:tc>
        <w:tc>
          <w:tcPr>
            <w:tcW w:w="1737" w:type="dxa"/>
            <w:vMerge/>
            <w:tcBorders>
              <w:bottom w:val="single" w:sz="12" w:space="0" w:color="auto"/>
            </w:tcBorders>
            <w:vAlign w:val="center"/>
          </w:tcPr>
          <w:p w14:paraId="60CC98FE" w14:textId="77777777" w:rsidR="003670E8" w:rsidRPr="00677E16" w:rsidRDefault="003670E8" w:rsidP="00EA194A">
            <w:pPr>
              <w:suppressAutoHyphens w:val="0"/>
              <w:spacing w:line="240" w:lineRule="auto"/>
              <w:jc w:val="center"/>
              <w:rPr>
                <w:rFonts w:eastAsia="Times New Roman"/>
                <w:color w:val="262626"/>
              </w:rPr>
            </w:pPr>
          </w:p>
        </w:tc>
        <w:tc>
          <w:tcPr>
            <w:tcW w:w="1434" w:type="dxa"/>
            <w:tcBorders>
              <w:top w:val="nil"/>
              <w:left w:val="nil"/>
              <w:bottom w:val="single" w:sz="12" w:space="0" w:color="auto"/>
              <w:right w:val="nil"/>
            </w:tcBorders>
            <w:shd w:val="clear" w:color="auto" w:fill="FFFFFF" w:themeFill="background1"/>
            <w:vAlign w:val="center"/>
            <w:hideMark/>
          </w:tcPr>
          <w:p w14:paraId="24161FCB"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433" w:type="dxa"/>
            <w:tcBorders>
              <w:top w:val="nil"/>
              <w:left w:val="nil"/>
              <w:bottom w:val="single" w:sz="12" w:space="0" w:color="auto"/>
              <w:right w:val="nil"/>
            </w:tcBorders>
            <w:shd w:val="clear" w:color="auto" w:fill="FFFFFF" w:themeFill="background1"/>
            <w:vAlign w:val="center"/>
            <w:hideMark/>
          </w:tcPr>
          <w:p w14:paraId="7FCE6836"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274" w:type="dxa"/>
            <w:tcBorders>
              <w:top w:val="nil"/>
              <w:left w:val="nil"/>
              <w:bottom w:val="single" w:sz="12" w:space="0" w:color="auto"/>
              <w:right w:val="nil"/>
            </w:tcBorders>
            <w:shd w:val="clear" w:color="auto" w:fill="FFFFFF" w:themeFill="background1"/>
            <w:vAlign w:val="center"/>
            <w:hideMark/>
          </w:tcPr>
          <w:p w14:paraId="2C80EC09"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116" w:type="dxa"/>
            <w:tcBorders>
              <w:top w:val="nil"/>
              <w:left w:val="nil"/>
              <w:bottom w:val="single" w:sz="12" w:space="0" w:color="auto"/>
              <w:right w:val="nil"/>
            </w:tcBorders>
            <w:shd w:val="clear" w:color="auto" w:fill="FFFFFF" w:themeFill="background1"/>
            <w:vAlign w:val="center"/>
            <w:hideMark/>
          </w:tcPr>
          <w:p w14:paraId="68EBD807"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955" w:type="dxa"/>
            <w:tcBorders>
              <w:top w:val="nil"/>
              <w:left w:val="nil"/>
              <w:bottom w:val="single" w:sz="12" w:space="0" w:color="auto"/>
              <w:right w:val="nil"/>
            </w:tcBorders>
            <w:shd w:val="clear" w:color="auto" w:fill="FFFFFF" w:themeFill="background1"/>
            <w:noWrap/>
            <w:vAlign w:val="center"/>
            <w:hideMark/>
          </w:tcPr>
          <w:p w14:paraId="3ACB7EAD"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319" w:type="dxa"/>
            <w:tcBorders>
              <w:top w:val="nil"/>
              <w:left w:val="nil"/>
              <w:bottom w:val="single" w:sz="12" w:space="0" w:color="auto"/>
              <w:right w:val="nil"/>
            </w:tcBorders>
            <w:shd w:val="clear" w:color="auto" w:fill="FFFFFF" w:themeFill="background1"/>
            <w:vAlign w:val="center"/>
            <w:hideMark/>
          </w:tcPr>
          <w:p w14:paraId="2BC78F8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55" w:type="dxa"/>
            <w:tcBorders>
              <w:top w:val="nil"/>
              <w:left w:val="nil"/>
              <w:bottom w:val="single" w:sz="12" w:space="0" w:color="auto"/>
              <w:right w:val="nil"/>
            </w:tcBorders>
            <w:shd w:val="clear" w:color="auto" w:fill="FFFFFF" w:themeFill="background1"/>
            <w:vAlign w:val="center"/>
            <w:hideMark/>
          </w:tcPr>
          <w:p w14:paraId="21DA48B2"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797" w:type="dxa"/>
            <w:tcBorders>
              <w:top w:val="nil"/>
              <w:left w:val="nil"/>
              <w:bottom w:val="single" w:sz="12" w:space="0" w:color="auto"/>
              <w:right w:val="nil"/>
            </w:tcBorders>
            <w:shd w:val="clear" w:color="auto" w:fill="FFFFFF" w:themeFill="background1"/>
            <w:vAlign w:val="center"/>
            <w:hideMark/>
          </w:tcPr>
          <w:p w14:paraId="4E23AAE8"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318" w:type="dxa"/>
            <w:tcBorders>
              <w:top w:val="nil"/>
              <w:left w:val="nil"/>
              <w:bottom w:val="single" w:sz="12" w:space="0" w:color="auto"/>
              <w:right w:val="nil"/>
            </w:tcBorders>
            <w:shd w:val="clear" w:color="auto" w:fill="FFFFFF" w:themeFill="background1"/>
            <w:vAlign w:val="center"/>
            <w:hideMark/>
          </w:tcPr>
          <w:p w14:paraId="496062BE"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34" w:type="dxa"/>
            <w:tcBorders>
              <w:top w:val="nil"/>
              <w:left w:val="nil"/>
              <w:bottom w:val="single" w:sz="12" w:space="0" w:color="auto"/>
              <w:right w:val="nil"/>
            </w:tcBorders>
            <w:shd w:val="clear" w:color="auto" w:fill="FFFFFF" w:themeFill="background1"/>
            <w:vAlign w:val="center"/>
            <w:hideMark/>
          </w:tcPr>
          <w:p w14:paraId="11B8F26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r>
    </w:tbl>
    <w:p w14:paraId="31234B4E" w14:textId="77777777" w:rsidR="003670E8" w:rsidRPr="00677E16" w:rsidRDefault="003670E8" w:rsidP="003670E8">
      <w:pPr>
        <w:pStyle w:val="FC2"/>
        <w:spacing w:before="240"/>
      </w:pPr>
      <w:r w:rsidRPr="00677E16">
        <w:t>Table 3 (</w:t>
      </w:r>
      <w:r w:rsidRPr="00677E16">
        <w:rPr>
          <w:i/>
          <w:iCs/>
        </w:rPr>
        <w:t>Continued</w:t>
      </w:r>
      <w:r w:rsidRPr="00677E16">
        <w:t>)</w:t>
      </w:r>
      <w:r w:rsidRPr="00677E16">
        <w:br/>
      </w:r>
      <w:r w:rsidRPr="00677E16">
        <w:rPr>
          <w:b/>
          <w:bCs/>
        </w:rPr>
        <w:t>Actions</w:t>
      </w:r>
    </w:p>
    <w:tbl>
      <w:tblPr>
        <w:tblW w:w="14286" w:type="dxa"/>
        <w:tblLayout w:type="fixed"/>
        <w:tblLook w:val="04A0" w:firstRow="1" w:lastRow="0" w:firstColumn="1" w:lastColumn="0" w:noHBand="0" w:noVBand="1"/>
      </w:tblPr>
      <w:tblGrid>
        <w:gridCol w:w="975"/>
        <w:gridCol w:w="975"/>
        <w:gridCol w:w="975"/>
        <w:gridCol w:w="1034"/>
        <w:gridCol w:w="937"/>
        <w:gridCol w:w="264"/>
        <w:gridCol w:w="1460"/>
        <w:gridCol w:w="1177"/>
        <w:gridCol w:w="803"/>
        <w:gridCol w:w="956"/>
        <w:gridCol w:w="782"/>
        <w:gridCol w:w="1147"/>
        <w:gridCol w:w="989"/>
        <w:gridCol w:w="1812"/>
      </w:tblGrid>
      <w:tr w:rsidR="003670E8" w:rsidRPr="00677E16" w14:paraId="69729575" w14:textId="77777777" w:rsidTr="00EA194A">
        <w:trPr>
          <w:trHeight w:val="288"/>
        </w:trPr>
        <w:tc>
          <w:tcPr>
            <w:tcW w:w="10338" w:type="dxa"/>
            <w:gridSpan w:val="11"/>
            <w:tcBorders>
              <w:top w:val="single" w:sz="4" w:space="0" w:color="auto"/>
              <w:left w:val="nil"/>
              <w:bottom w:val="single" w:sz="4" w:space="0" w:color="auto"/>
              <w:right w:val="nil"/>
            </w:tcBorders>
            <w:shd w:val="clear" w:color="auto" w:fill="FFFFFF" w:themeFill="background1"/>
            <w:noWrap/>
            <w:vAlign w:val="bottom"/>
            <w:hideMark/>
          </w:tcPr>
          <w:p w14:paraId="320CB2F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 (continues) </w:t>
            </w:r>
          </w:p>
        </w:tc>
        <w:tc>
          <w:tcPr>
            <w:tcW w:w="2136" w:type="dxa"/>
            <w:gridSpan w:val="2"/>
            <w:tcBorders>
              <w:top w:val="single" w:sz="4" w:space="0" w:color="auto"/>
              <w:left w:val="nil"/>
              <w:bottom w:val="single" w:sz="4" w:space="0" w:color="auto"/>
              <w:right w:val="nil"/>
            </w:tcBorders>
            <w:shd w:val="clear" w:color="auto" w:fill="FFFFFF" w:themeFill="background1"/>
          </w:tcPr>
          <w:p w14:paraId="2C3BBB4D"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Action details</w:t>
            </w:r>
          </w:p>
        </w:tc>
        <w:tc>
          <w:tcPr>
            <w:tcW w:w="1812" w:type="dxa"/>
            <w:tcBorders>
              <w:top w:val="single" w:sz="4" w:space="0" w:color="auto"/>
              <w:left w:val="nil"/>
              <w:bottom w:val="single" w:sz="4" w:space="0" w:color="auto"/>
              <w:right w:val="nil"/>
            </w:tcBorders>
            <w:shd w:val="clear" w:color="auto" w:fill="FFFFFF" w:themeFill="background1"/>
          </w:tcPr>
          <w:p w14:paraId="0A8D4A93" w14:textId="77777777" w:rsidR="003670E8" w:rsidRPr="00677E16" w:rsidRDefault="003670E8" w:rsidP="00EA194A">
            <w:pPr>
              <w:suppressAutoHyphens w:val="0"/>
              <w:spacing w:line="240" w:lineRule="auto"/>
              <w:jc w:val="center"/>
              <w:rPr>
                <w:rFonts w:eastAsia="Times New Roman"/>
                <w:i/>
                <w:iCs/>
                <w:color w:val="262626"/>
                <w:sz w:val="16"/>
                <w:szCs w:val="16"/>
              </w:rPr>
            </w:pPr>
          </w:p>
        </w:tc>
      </w:tr>
      <w:tr w:rsidR="003670E8" w:rsidRPr="00677E16" w14:paraId="51F29256" w14:textId="77777777" w:rsidTr="00EA194A">
        <w:trPr>
          <w:trHeight w:val="288"/>
        </w:trPr>
        <w:tc>
          <w:tcPr>
            <w:tcW w:w="4896" w:type="dxa"/>
            <w:gridSpan w:val="5"/>
            <w:tcBorders>
              <w:top w:val="single" w:sz="4" w:space="0" w:color="auto"/>
              <w:left w:val="nil"/>
              <w:bottom w:val="single" w:sz="4" w:space="0" w:color="auto"/>
              <w:right w:val="nil"/>
            </w:tcBorders>
            <w:shd w:val="clear" w:color="auto" w:fill="FFFFFF" w:themeFill="background1"/>
            <w:noWrap/>
            <w:vAlign w:val="bottom"/>
            <w:hideMark/>
          </w:tcPr>
          <w:p w14:paraId="6BDCA23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Metric and quantity</w:t>
            </w:r>
          </w:p>
        </w:tc>
        <w:tc>
          <w:tcPr>
            <w:tcW w:w="264" w:type="dxa"/>
            <w:tcBorders>
              <w:top w:val="single" w:sz="4" w:space="0" w:color="auto"/>
              <w:left w:val="nil"/>
              <w:bottom w:val="nil"/>
              <w:right w:val="nil"/>
            </w:tcBorders>
            <w:shd w:val="clear" w:color="auto" w:fill="FFFFFF" w:themeFill="background1"/>
            <w:noWrap/>
            <w:vAlign w:val="bottom"/>
            <w:hideMark/>
          </w:tcPr>
          <w:p w14:paraId="0A47E35D"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5178" w:type="dxa"/>
            <w:gridSpan w:val="5"/>
            <w:tcBorders>
              <w:top w:val="single" w:sz="4" w:space="0" w:color="auto"/>
              <w:left w:val="nil"/>
              <w:bottom w:val="single" w:sz="4" w:space="0" w:color="auto"/>
              <w:right w:val="nil"/>
            </w:tcBorders>
            <w:shd w:val="clear" w:color="auto" w:fill="FFFFFF" w:themeFill="background1"/>
            <w:noWrap/>
            <w:vAlign w:val="bottom"/>
            <w:hideMark/>
          </w:tcPr>
          <w:p w14:paraId="02EA101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 details</w:t>
            </w:r>
          </w:p>
        </w:tc>
        <w:tc>
          <w:tcPr>
            <w:tcW w:w="2136" w:type="dxa"/>
            <w:gridSpan w:val="2"/>
            <w:tcBorders>
              <w:top w:val="single" w:sz="4" w:space="0" w:color="auto"/>
              <w:left w:val="nil"/>
              <w:bottom w:val="single" w:sz="4" w:space="0" w:color="auto"/>
              <w:right w:val="nil"/>
            </w:tcBorders>
            <w:shd w:val="clear" w:color="auto" w:fill="FFFFFF" w:themeFill="background1"/>
          </w:tcPr>
          <w:p w14:paraId="68775F99" w14:textId="77777777" w:rsidR="003670E8" w:rsidRPr="001F0108" w:rsidRDefault="003670E8" w:rsidP="00EA194A">
            <w:pPr>
              <w:suppressAutoHyphens w:val="0"/>
              <w:spacing w:line="240" w:lineRule="auto"/>
              <w:jc w:val="center"/>
              <w:rPr>
                <w:rFonts w:eastAsia="Times New Roman"/>
                <w:b/>
                <w:bCs/>
                <w:i/>
                <w:iCs/>
                <w:color w:val="262626"/>
                <w:sz w:val="16"/>
                <w:szCs w:val="16"/>
              </w:rPr>
            </w:pPr>
            <w:r w:rsidRPr="00DC26FE">
              <w:rPr>
                <w:rFonts w:eastAsia="Times New Roman"/>
                <w:b/>
                <w:bCs/>
                <w:i/>
                <w:iCs/>
                <w:color w:val="262626"/>
                <w:sz w:val="16"/>
                <w:szCs w:val="16"/>
              </w:rPr>
              <w:t>Option 1:</w:t>
            </w:r>
            <w:r w:rsidRPr="004F01A0">
              <w:rPr>
                <w:rFonts w:eastAsia="Times New Roman"/>
                <w:i/>
                <w:iCs/>
                <w:color w:val="262626"/>
                <w:sz w:val="16"/>
                <w:szCs w:val="16"/>
              </w:rPr>
              <w:t xml:space="preserve"> Transfer / Acquisition</w:t>
            </w:r>
          </w:p>
        </w:tc>
        <w:tc>
          <w:tcPr>
            <w:tcW w:w="1812" w:type="dxa"/>
            <w:tcBorders>
              <w:top w:val="single" w:sz="4" w:space="0" w:color="auto"/>
              <w:left w:val="nil"/>
              <w:bottom w:val="single" w:sz="4" w:space="0" w:color="auto"/>
              <w:right w:val="nil"/>
            </w:tcBorders>
            <w:shd w:val="clear" w:color="auto" w:fill="FFFFFF" w:themeFill="background1"/>
          </w:tcPr>
          <w:p w14:paraId="469B615A" w14:textId="77777777" w:rsidR="003670E8" w:rsidRPr="009667A9" w:rsidRDefault="003670E8" w:rsidP="00EA194A">
            <w:pPr>
              <w:suppressAutoHyphens w:val="0"/>
              <w:spacing w:line="240" w:lineRule="auto"/>
              <w:jc w:val="center"/>
              <w:rPr>
                <w:rFonts w:eastAsia="Times New Roman"/>
                <w:b/>
                <w:bCs/>
                <w:i/>
                <w:iCs/>
                <w:color w:val="262626"/>
                <w:sz w:val="16"/>
                <w:szCs w:val="16"/>
              </w:rPr>
            </w:pPr>
            <w:r w:rsidRPr="009667A9">
              <w:rPr>
                <w:rFonts w:eastAsia="Times New Roman"/>
                <w:b/>
                <w:bCs/>
                <w:i/>
                <w:iCs/>
                <w:color w:val="262626"/>
                <w:sz w:val="16"/>
                <w:szCs w:val="16"/>
              </w:rPr>
              <w:t xml:space="preserve">Option </w:t>
            </w:r>
            <w:r>
              <w:rPr>
                <w:rFonts w:eastAsia="Times New Roman"/>
                <w:b/>
                <w:bCs/>
                <w:i/>
                <w:iCs/>
                <w:color w:val="262626"/>
                <w:sz w:val="16"/>
                <w:szCs w:val="16"/>
              </w:rPr>
              <w:t>2</w:t>
            </w:r>
            <w:r w:rsidRPr="009667A9">
              <w:rPr>
                <w:rFonts w:eastAsia="Times New Roman"/>
                <w:b/>
                <w:bCs/>
                <w:i/>
                <w:iCs/>
                <w:color w:val="262626"/>
                <w:sz w:val="16"/>
                <w:szCs w:val="16"/>
              </w:rPr>
              <w:t>:</w:t>
            </w:r>
            <w:r w:rsidRPr="004F01A0">
              <w:rPr>
                <w:rFonts w:eastAsia="Times New Roman"/>
                <w:i/>
                <w:iCs/>
                <w:color w:val="262626"/>
                <w:sz w:val="16"/>
                <w:szCs w:val="16"/>
              </w:rPr>
              <w:t xml:space="preserve"> Transfer / Acquisition</w:t>
            </w:r>
          </w:p>
        </w:tc>
      </w:tr>
      <w:tr w:rsidR="003670E8" w:rsidRPr="00677E16" w14:paraId="5559FC89" w14:textId="77777777" w:rsidTr="00EA194A">
        <w:trPr>
          <w:trHeight w:val="780"/>
        </w:trPr>
        <w:tc>
          <w:tcPr>
            <w:tcW w:w="975" w:type="dxa"/>
            <w:tcBorders>
              <w:top w:val="nil"/>
              <w:left w:val="nil"/>
              <w:bottom w:val="single" w:sz="8" w:space="0" w:color="auto"/>
              <w:right w:val="nil"/>
            </w:tcBorders>
            <w:shd w:val="clear" w:color="auto" w:fill="FFFFFF" w:themeFill="background1"/>
            <w:vAlign w:val="bottom"/>
            <w:hideMark/>
          </w:tcPr>
          <w:p w14:paraId="61E4C28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Metric</w:t>
            </w:r>
          </w:p>
        </w:tc>
        <w:tc>
          <w:tcPr>
            <w:tcW w:w="975" w:type="dxa"/>
            <w:tcBorders>
              <w:top w:val="nil"/>
              <w:left w:val="nil"/>
              <w:bottom w:val="single" w:sz="8" w:space="0" w:color="auto"/>
              <w:right w:val="nil"/>
            </w:tcBorders>
            <w:shd w:val="clear" w:color="auto" w:fill="FFFFFF" w:themeFill="background1"/>
            <w:vAlign w:val="bottom"/>
            <w:hideMark/>
          </w:tcPr>
          <w:p w14:paraId="2006EA31"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[Applicable GWP values</w:t>
            </w:r>
            <w:r w:rsidRPr="00677E16">
              <w:rPr>
                <w:rFonts w:eastAsia="Times New Roman"/>
                <w:i/>
                <w:iCs/>
                <w:color w:val="262626" w:themeColor="text1" w:themeTint="D9"/>
                <w:sz w:val="16"/>
                <w:szCs w:val="16"/>
                <w:vertAlign w:val="superscript"/>
                <w:lang w:val="en-US"/>
              </w:rPr>
              <w:t>i</w:t>
            </w:r>
            <w:r w:rsidRPr="00677E16">
              <w:rPr>
                <w:rFonts w:eastAsia="Times New Roman"/>
                <w:i/>
                <w:iCs/>
                <w:color w:val="262626" w:themeColor="text1" w:themeTint="D9"/>
                <w:sz w:val="16"/>
                <w:szCs w:val="16"/>
                <w:lang w:val="en-US"/>
              </w:rPr>
              <w:t>]</w:t>
            </w:r>
          </w:p>
        </w:tc>
        <w:tc>
          <w:tcPr>
            <w:tcW w:w="975" w:type="dxa"/>
            <w:tcBorders>
              <w:top w:val="nil"/>
              <w:left w:val="nil"/>
              <w:bottom w:val="single" w:sz="8" w:space="0" w:color="auto"/>
              <w:right w:val="nil"/>
            </w:tcBorders>
            <w:shd w:val="clear" w:color="auto" w:fill="FFFFFF" w:themeFill="background1"/>
            <w:vAlign w:val="bottom"/>
            <w:hideMark/>
          </w:tcPr>
          <w:p w14:paraId="44532208"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Applicable non-GHG metric</w:t>
            </w:r>
            <w:r w:rsidRPr="00677E16">
              <w:rPr>
                <w:rFonts w:eastAsia="Times New Roman"/>
                <w:i/>
                <w:iCs/>
                <w:color w:val="262626" w:themeColor="text1" w:themeTint="D9"/>
                <w:sz w:val="16"/>
                <w:szCs w:val="16"/>
                <w:vertAlign w:val="superscript"/>
                <w:lang w:val="en-US"/>
              </w:rPr>
              <w:t>j</w:t>
            </w:r>
            <w:r>
              <w:rPr>
                <w:rFonts w:eastAsia="Times New Roman"/>
                <w:i/>
                <w:iCs/>
                <w:color w:val="262626" w:themeColor="text1" w:themeTint="D9"/>
                <w:sz w:val="16"/>
                <w:szCs w:val="16"/>
                <w:vertAlign w:val="superscript"/>
                <w:lang w:val="en-US"/>
              </w:rPr>
              <w:t>]</w:t>
            </w:r>
          </w:p>
        </w:tc>
        <w:tc>
          <w:tcPr>
            <w:tcW w:w="1034" w:type="dxa"/>
            <w:tcBorders>
              <w:top w:val="nil"/>
              <w:left w:val="nil"/>
              <w:bottom w:val="single" w:sz="8" w:space="0" w:color="auto"/>
              <w:right w:val="nil"/>
            </w:tcBorders>
            <w:shd w:val="clear" w:color="auto" w:fill="FFFFFF" w:themeFill="background1"/>
            <w:vAlign w:val="bottom"/>
            <w:hideMark/>
          </w:tcPr>
          <w:p w14:paraId="444D6AA4" w14:textId="77777777" w:rsidR="003670E8" w:rsidRPr="00677E16" w:rsidRDefault="003670E8" w:rsidP="00EA194A">
            <w:pPr>
              <w:suppressAutoHyphens w:val="0"/>
              <w:spacing w:line="240" w:lineRule="auto"/>
              <w:jc w:val="center"/>
              <w:rPr>
                <w:rFonts w:eastAsia="Times New Roman"/>
                <w:i/>
                <w:iCs/>
                <w:color w:val="262626"/>
                <w:sz w:val="16"/>
                <w:szCs w:val="16"/>
                <w:lang w:val="fr-FR"/>
              </w:rPr>
            </w:pPr>
            <w:r w:rsidRPr="00677E16">
              <w:rPr>
                <w:rFonts w:eastAsia="Times New Roman"/>
                <w:i/>
                <w:iCs/>
                <w:color w:val="262626" w:themeColor="text1" w:themeTint="D9"/>
                <w:sz w:val="16"/>
                <w:szCs w:val="16"/>
                <w:lang w:val="fr-FR"/>
              </w:rPr>
              <w:t>[Quantity (t CO</w:t>
            </w:r>
            <w:r w:rsidRPr="00677E16">
              <w:rPr>
                <w:rFonts w:eastAsia="Times New Roman"/>
                <w:i/>
                <w:iCs/>
                <w:color w:val="262626" w:themeColor="text1" w:themeTint="D9"/>
                <w:sz w:val="16"/>
                <w:szCs w:val="16"/>
                <w:vertAlign w:val="subscript"/>
                <w:lang w:val="fr-FR"/>
              </w:rPr>
              <w:t>2</w:t>
            </w:r>
            <w:r w:rsidRPr="00677E16">
              <w:rPr>
                <w:rFonts w:eastAsia="Times New Roman"/>
                <w:i/>
                <w:iCs/>
                <w:color w:val="262626" w:themeColor="text1" w:themeTint="D9"/>
                <w:sz w:val="16"/>
                <w:szCs w:val="16"/>
                <w:lang w:val="fr-FR"/>
              </w:rPr>
              <w:t> eq)</w:t>
            </w:r>
            <w:r w:rsidRPr="00677E16">
              <w:rPr>
                <w:rFonts w:eastAsia="Times New Roman"/>
                <w:i/>
                <w:iCs/>
                <w:color w:val="262626" w:themeColor="text1" w:themeTint="D9"/>
                <w:sz w:val="16"/>
                <w:szCs w:val="16"/>
                <w:vertAlign w:val="superscript"/>
                <w:lang w:val="fr-FR"/>
              </w:rPr>
              <w:t>k</w:t>
            </w:r>
            <w:r w:rsidRPr="00677E16">
              <w:rPr>
                <w:rFonts w:eastAsia="Times New Roman"/>
                <w:i/>
                <w:iCs/>
                <w:color w:val="262626" w:themeColor="text1" w:themeTint="D9"/>
                <w:sz w:val="16"/>
                <w:szCs w:val="16"/>
                <w:lang w:val="fr-FR"/>
              </w:rPr>
              <w:t>]</w:t>
            </w:r>
          </w:p>
        </w:tc>
        <w:tc>
          <w:tcPr>
            <w:tcW w:w="937" w:type="dxa"/>
            <w:tcBorders>
              <w:top w:val="nil"/>
              <w:left w:val="nil"/>
              <w:bottom w:val="single" w:sz="8" w:space="0" w:color="auto"/>
              <w:right w:val="nil"/>
            </w:tcBorders>
            <w:shd w:val="clear" w:color="auto" w:fill="FFFFFF" w:themeFill="background1"/>
            <w:vAlign w:val="bottom"/>
            <w:hideMark/>
          </w:tcPr>
          <w:p w14:paraId="6900F855"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Quantity [(in non-GHG metric)</w:t>
            </w:r>
            <w:r w:rsidRPr="00677E16">
              <w:rPr>
                <w:rFonts w:eastAsia="Times New Roman"/>
                <w:i/>
                <w:iCs/>
                <w:color w:val="262626" w:themeColor="text1" w:themeTint="D9"/>
                <w:sz w:val="16"/>
                <w:szCs w:val="16"/>
                <w:vertAlign w:val="superscript"/>
                <w:lang w:val="en-US"/>
              </w:rPr>
              <w:t>l</w:t>
            </w:r>
            <w:r w:rsidRPr="00677E16">
              <w:rPr>
                <w:rFonts w:eastAsia="Times New Roman"/>
                <w:i/>
                <w:iCs/>
                <w:color w:val="262626" w:themeColor="text1" w:themeTint="D9"/>
                <w:sz w:val="16"/>
                <w:szCs w:val="16"/>
                <w:lang w:val="en-US"/>
              </w:rPr>
              <w:t>]</w:t>
            </w:r>
          </w:p>
        </w:tc>
        <w:tc>
          <w:tcPr>
            <w:tcW w:w="264" w:type="dxa"/>
            <w:tcBorders>
              <w:top w:val="nil"/>
              <w:left w:val="nil"/>
              <w:bottom w:val="single" w:sz="8" w:space="0" w:color="auto"/>
              <w:right w:val="nil"/>
            </w:tcBorders>
            <w:shd w:val="clear" w:color="auto" w:fill="FFFFFF" w:themeFill="background1"/>
            <w:vAlign w:val="bottom"/>
            <w:hideMark/>
          </w:tcPr>
          <w:p w14:paraId="6543BE27"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460" w:type="dxa"/>
            <w:tcBorders>
              <w:top w:val="nil"/>
              <w:left w:val="nil"/>
              <w:bottom w:val="single" w:sz="8" w:space="0" w:color="auto"/>
              <w:right w:val="nil"/>
            </w:tcBorders>
            <w:shd w:val="clear" w:color="auto" w:fill="FFFFFF" w:themeFill="background1"/>
            <w:vAlign w:val="bottom"/>
            <w:hideMark/>
          </w:tcPr>
          <w:p w14:paraId="72E2BFDF"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First transferring participating</w:t>
            </w:r>
            <w:r>
              <w:rPr>
                <w:rFonts w:eastAsia="Times New Roman"/>
                <w:i/>
                <w:iCs/>
                <w:color w:val="262626" w:themeColor="text1" w:themeTint="D9"/>
                <w:sz w:val="16"/>
                <w:szCs w:val="16"/>
                <w:lang w:val="en-US"/>
              </w:rPr>
              <w:t xml:space="preserve"> </w:t>
            </w:r>
            <w:r w:rsidRPr="00677E16">
              <w:rPr>
                <w:rFonts w:eastAsia="Times New Roman"/>
                <w:i/>
                <w:iCs/>
                <w:color w:val="262626" w:themeColor="text1" w:themeTint="D9"/>
                <w:sz w:val="16"/>
                <w:szCs w:val="16"/>
                <w:lang w:val="en-US"/>
              </w:rPr>
              <w:t>Party ID</w:t>
            </w:r>
            <w:r w:rsidRPr="00677E16">
              <w:rPr>
                <w:rFonts w:eastAsia="Times New Roman"/>
                <w:i/>
                <w:iCs/>
                <w:color w:val="262626" w:themeColor="text1" w:themeTint="D9"/>
                <w:sz w:val="16"/>
                <w:szCs w:val="16"/>
                <w:vertAlign w:val="superscript"/>
                <w:lang w:val="en-US"/>
              </w:rPr>
              <w:t>m</w:t>
            </w:r>
          </w:p>
        </w:tc>
        <w:tc>
          <w:tcPr>
            <w:tcW w:w="1177" w:type="dxa"/>
            <w:tcBorders>
              <w:top w:val="nil"/>
              <w:left w:val="nil"/>
              <w:bottom w:val="single" w:sz="8" w:space="0" w:color="auto"/>
              <w:right w:val="nil"/>
            </w:tcBorders>
            <w:shd w:val="clear" w:color="auto" w:fill="FFFFFF" w:themeFill="background1"/>
            <w:vAlign w:val="bottom"/>
            <w:hideMark/>
          </w:tcPr>
          <w:p w14:paraId="7FE7C8D1"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Mitigation type</w:t>
            </w:r>
          </w:p>
        </w:tc>
        <w:tc>
          <w:tcPr>
            <w:tcW w:w="803" w:type="dxa"/>
            <w:tcBorders>
              <w:top w:val="nil"/>
              <w:left w:val="nil"/>
              <w:bottom w:val="single" w:sz="8" w:space="0" w:color="auto"/>
              <w:right w:val="nil"/>
            </w:tcBorders>
            <w:shd w:val="clear" w:color="auto" w:fill="FFFFFF" w:themeFill="background1"/>
            <w:vAlign w:val="bottom"/>
            <w:hideMark/>
          </w:tcPr>
          <w:p w14:paraId="7A0FEF09"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[Reversal risk</w:t>
            </w:r>
            <w:r w:rsidRPr="00677E16">
              <w:rPr>
                <w:rFonts w:eastAsia="Times New Roman"/>
                <w:i/>
                <w:iCs/>
                <w:color w:val="262626" w:themeColor="text1" w:themeTint="D9"/>
                <w:sz w:val="16"/>
                <w:szCs w:val="16"/>
                <w:vertAlign w:val="superscript"/>
                <w:lang w:val="en-US"/>
              </w:rPr>
              <w:t>n</w:t>
            </w:r>
            <w:r w:rsidRPr="00677E16">
              <w:rPr>
                <w:rFonts w:eastAsia="Times New Roman"/>
                <w:i/>
                <w:iCs/>
                <w:color w:val="262626" w:themeColor="text1" w:themeTint="D9"/>
                <w:sz w:val="16"/>
                <w:szCs w:val="16"/>
                <w:lang w:val="en-US"/>
              </w:rPr>
              <w:t>]</w:t>
            </w:r>
          </w:p>
        </w:tc>
        <w:tc>
          <w:tcPr>
            <w:tcW w:w="956" w:type="dxa"/>
            <w:tcBorders>
              <w:top w:val="nil"/>
              <w:left w:val="nil"/>
              <w:bottom w:val="single" w:sz="8" w:space="0" w:color="auto"/>
              <w:right w:val="nil"/>
            </w:tcBorders>
            <w:shd w:val="clear" w:color="auto" w:fill="FFFFFF" w:themeFill="background1"/>
            <w:vAlign w:val="bottom"/>
            <w:hideMark/>
          </w:tcPr>
          <w:p w14:paraId="505228E0"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[Reversal risk category</w:t>
            </w:r>
            <w:r w:rsidRPr="00677E16">
              <w:rPr>
                <w:rFonts w:eastAsia="Times New Roman"/>
                <w:i/>
                <w:iCs/>
                <w:color w:val="262626" w:themeColor="text1" w:themeTint="D9"/>
                <w:sz w:val="16"/>
                <w:szCs w:val="16"/>
                <w:vertAlign w:val="superscript"/>
                <w:lang w:val="en-US"/>
              </w:rPr>
              <w:t>o</w:t>
            </w:r>
            <w:r w:rsidRPr="00677E16">
              <w:rPr>
                <w:rFonts w:eastAsia="Times New Roman"/>
                <w:i/>
                <w:iCs/>
                <w:color w:val="262626" w:themeColor="text1" w:themeTint="D9"/>
                <w:sz w:val="16"/>
                <w:szCs w:val="16"/>
                <w:lang w:val="en-US"/>
              </w:rPr>
              <w:t>]</w:t>
            </w:r>
          </w:p>
        </w:tc>
        <w:tc>
          <w:tcPr>
            <w:tcW w:w="782" w:type="dxa"/>
            <w:tcBorders>
              <w:top w:val="nil"/>
              <w:left w:val="nil"/>
              <w:bottom w:val="single" w:sz="8" w:space="0" w:color="auto"/>
              <w:right w:val="nil"/>
            </w:tcBorders>
            <w:shd w:val="clear" w:color="auto" w:fill="FFFFFF" w:themeFill="background1"/>
            <w:vAlign w:val="bottom"/>
            <w:hideMark/>
          </w:tcPr>
          <w:p w14:paraId="7AF6F5E8"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Vintage</w:t>
            </w:r>
            <w:r w:rsidRPr="00677E16">
              <w:rPr>
                <w:rFonts w:eastAsia="Times New Roman"/>
                <w:i/>
                <w:iCs/>
                <w:color w:val="262626" w:themeColor="text1" w:themeTint="D9"/>
                <w:sz w:val="16"/>
                <w:szCs w:val="16"/>
                <w:vertAlign w:val="superscript"/>
                <w:lang w:val="en-US"/>
              </w:rPr>
              <w:t>p</w:t>
            </w:r>
          </w:p>
        </w:tc>
        <w:tc>
          <w:tcPr>
            <w:tcW w:w="1147" w:type="dxa"/>
            <w:tcBorders>
              <w:top w:val="nil"/>
              <w:left w:val="nil"/>
              <w:bottom w:val="single" w:sz="8" w:space="0" w:color="auto"/>
              <w:right w:val="nil"/>
            </w:tcBorders>
            <w:shd w:val="clear" w:color="auto" w:fill="FFFFFF" w:themeFill="background1"/>
            <w:vAlign w:val="bottom"/>
          </w:tcPr>
          <w:p w14:paraId="6F44D1FE"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Transferring participating Party ID</w:t>
            </w:r>
            <w:r w:rsidRPr="00677E16">
              <w:rPr>
                <w:rFonts w:eastAsia="Times New Roman"/>
                <w:i/>
                <w:iCs/>
                <w:color w:val="262626"/>
                <w:sz w:val="16"/>
                <w:szCs w:val="16"/>
                <w:vertAlign w:val="superscript"/>
              </w:rPr>
              <w:t>q</w:t>
            </w:r>
          </w:p>
        </w:tc>
        <w:tc>
          <w:tcPr>
            <w:tcW w:w="989" w:type="dxa"/>
            <w:tcBorders>
              <w:top w:val="nil"/>
              <w:left w:val="nil"/>
              <w:bottom w:val="single" w:sz="8" w:space="0" w:color="auto"/>
              <w:right w:val="nil"/>
            </w:tcBorders>
            <w:shd w:val="clear" w:color="auto" w:fill="FFFFFF" w:themeFill="background1"/>
            <w:vAlign w:val="bottom"/>
          </w:tcPr>
          <w:p w14:paraId="3E39024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Acquiring participating</w:t>
            </w:r>
            <w:r>
              <w:rPr>
                <w:rFonts w:eastAsia="Times New Roman"/>
                <w:i/>
                <w:iCs/>
                <w:color w:val="262626"/>
                <w:sz w:val="16"/>
                <w:szCs w:val="16"/>
              </w:rPr>
              <w:t xml:space="preserve"> </w:t>
            </w:r>
            <w:r w:rsidRPr="00677E16">
              <w:rPr>
                <w:rFonts w:eastAsia="Times New Roman"/>
                <w:i/>
                <w:iCs/>
                <w:color w:val="262626"/>
                <w:sz w:val="16"/>
                <w:szCs w:val="16"/>
              </w:rPr>
              <w:t>Party ID</w:t>
            </w:r>
            <w:r w:rsidRPr="00677E16">
              <w:rPr>
                <w:rFonts w:eastAsia="Times New Roman"/>
                <w:i/>
                <w:iCs/>
                <w:color w:val="262626"/>
                <w:sz w:val="16"/>
                <w:szCs w:val="16"/>
                <w:vertAlign w:val="superscript"/>
              </w:rPr>
              <w:t>r</w:t>
            </w:r>
          </w:p>
        </w:tc>
        <w:tc>
          <w:tcPr>
            <w:tcW w:w="1812" w:type="dxa"/>
            <w:tcBorders>
              <w:top w:val="nil"/>
              <w:left w:val="nil"/>
              <w:bottom w:val="single" w:sz="8" w:space="0" w:color="auto"/>
              <w:right w:val="nil"/>
            </w:tcBorders>
            <w:shd w:val="clear" w:color="auto" w:fill="FFFFFF" w:themeFill="background1"/>
            <w:vAlign w:val="bottom"/>
          </w:tcPr>
          <w:p w14:paraId="2C18FACB" w14:textId="77777777" w:rsidR="003670E8" w:rsidRPr="00677E16" w:rsidRDefault="003670E8" w:rsidP="00EA194A">
            <w:pPr>
              <w:suppressAutoHyphens w:val="0"/>
              <w:spacing w:line="240" w:lineRule="auto"/>
              <w:jc w:val="center"/>
              <w:rPr>
                <w:rFonts w:eastAsia="Times New Roman"/>
                <w:i/>
                <w:iCs/>
                <w:color w:val="262626" w:themeColor="text1" w:themeTint="D9"/>
                <w:sz w:val="16"/>
                <w:szCs w:val="16"/>
                <w:lang w:val="en-US"/>
              </w:rPr>
            </w:pPr>
            <w:r w:rsidRPr="00C25B21">
              <w:rPr>
                <w:rFonts w:eastAsia="Times New Roman"/>
                <w:i/>
                <w:iCs/>
                <w:color w:val="262626" w:themeColor="text1" w:themeTint="D9"/>
                <w:sz w:val="16"/>
                <w:szCs w:val="16"/>
                <w:lang w:val="en-US"/>
              </w:rPr>
              <w:t>Transferring/acquiring participating Party ID</w:t>
            </w:r>
          </w:p>
        </w:tc>
      </w:tr>
      <w:tr w:rsidR="003670E8" w:rsidRPr="00677E16" w14:paraId="2FDE8F9B" w14:textId="77777777" w:rsidTr="00EA194A">
        <w:trPr>
          <w:trHeight w:val="528"/>
        </w:trPr>
        <w:tc>
          <w:tcPr>
            <w:tcW w:w="975" w:type="dxa"/>
            <w:tcBorders>
              <w:top w:val="nil"/>
              <w:left w:val="nil"/>
              <w:right w:val="nil"/>
            </w:tcBorders>
            <w:shd w:val="clear" w:color="auto" w:fill="FFFFFF" w:themeFill="background1"/>
            <w:vAlign w:val="center"/>
            <w:hideMark/>
          </w:tcPr>
          <w:p w14:paraId="7839F5D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GHG</w:t>
            </w:r>
          </w:p>
        </w:tc>
        <w:tc>
          <w:tcPr>
            <w:tcW w:w="975" w:type="dxa"/>
            <w:tcBorders>
              <w:top w:val="nil"/>
              <w:left w:val="nil"/>
              <w:right w:val="nil"/>
            </w:tcBorders>
            <w:shd w:val="clear" w:color="auto" w:fill="FFFFFF" w:themeFill="background1"/>
            <w:vAlign w:val="center"/>
            <w:hideMark/>
          </w:tcPr>
          <w:p w14:paraId="62997D1E"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75" w:type="dxa"/>
            <w:tcBorders>
              <w:top w:val="nil"/>
              <w:left w:val="nil"/>
              <w:right w:val="nil"/>
            </w:tcBorders>
            <w:shd w:val="clear" w:color="auto" w:fill="FFFFFF" w:themeFill="background1"/>
            <w:vAlign w:val="center"/>
            <w:hideMark/>
          </w:tcPr>
          <w:p w14:paraId="3561C855"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034" w:type="dxa"/>
            <w:tcBorders>
              <w:top w:val="nil"/>
              <w:left w:val="nil"/>
              <w:right w:val="nil"/>
            </w:tcBorders>
            <w:shd w:val="clear" w:color="auto" w:fill="FFFFFF" w:themeFill="background1"/>
            <w:vAlign w:val="center"/>
            <w:hideMark/>
          </w:tcPr>
          <w:p w14:paraId="034F35F5"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37" w:type="dxa"/>
            <w:tcBorders>
              <w:top w:val="nil"/>
              <w:left w:val="nil"/>
              <w:right w:val="nil"/>
            </w:tcBorders>
            <w:shd w:val="clear" w:color="auto" w:fill="FFFFFF" w:themeFill="background1"/>
            <w:vAlign w:val="center"/>
            <w:hideMark/>
          </w:tcPr>
          <w:p w14:paraId="10D599A6"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64" w:type="dxa"/>
            <w:tcBorders>
              <w:top w:val="nil"/>
              <w:left w:val="nil"/>
              <w:right w:val="nil"/>
            </w:tcBorders>
            <w:shd w:val="clear" w:color="auto" w:fill="FFFFFF" w:themeFill="background1"/>
            <w:vAlign w:val="center"/>
            <w:hideMark/>
          </w:tcPr>
          <w:p w14:paraId="6D743E23"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60" w:type="dxa"/>
            <w:tcBorders>
              <w:top w:val="nil"/>
              <w:left w:val="nil"/>
              <w:right w:val="nil"/>
            </w:tcBorders>
            <w:shd w:val="clear" w:color="auto" w:fill="FFFFFF" w:themeFill="background1"/>
            <w:vAlign w:val="center"/>
            <w:hideMark/>
          </w:tcPr>
          <w:p w14:paraId="1F80A47A"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177" w:type="dxa"/>
            <w:tcBorders>
              <w:top w:val="nil"/>
              <w:left w:val="nil"/>
              <w:right w:val="nil"/>
            </w:tcBorders>
            <w:shd w:val="clear" w:color="auto" w:fill="FFFFFF" w:themeFill="background1"/>
            <w:vAlign w:val="center"/>
            <w:hideMark/>
          </w:tcPr>
          <w:p w14:paraId="25329531"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Emission reductions</w:t>
            </w:r>
          </w:p>
        </w:tc>
        <w:tc>
          <w:tcPr>
            <w:tcW w:w="803" w:type="dxa"/>
            <w:tcBorders>
              <w:top w:val="nil"/>
              <w:left w:val="nil"/>
              <w:right w:val="nil"/>
            </w:tcBorders>
            <w:shd w:val="clear" w:color="auto" w:fill="FFFFFF" w:themeFill="background1"/>
            <w:vAlign w:val="center"/>
            <w:hideMark/>
          </w:tcPr>
          <w:p w14:paraId="20924D7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Yes</w:t>
            </w:r>
          </w:p>
        </w:tc>
        <w:tc>
          <w:tcPr>
            <w:tcW w:w="956" w:type="dxa"/>
            <w:tcBorders>
              <w:top w:val="nil"/>
              <w:left w:val="nil"/>
              <w:right w:val="nil"/>
            </w:tcBorders>
            <w:shd w:val="clear" w:color="auto" w:fill="FFFFFF" w:themeFill="background1"/>
            <w:vAlign w:val="center"/>
            <w:hideMark/>
          </w:tcPr>
          <w:p w14:paraId="27B2D82D"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782" w:type="dxa"/>
            <w:tcBorders>
              <w:top w:val="nil"/>
              <w:left w:val="nil"/>
              <w:right w:val="nil"/>
            </w:tcBorders>
            <w:shd w:val="clear" w:color="auto" w:fill="FFFFFF" w:themeFill="background1"/>
            <w:vAlign w:val="center"/>
            <w:hideMark/>
          </w:tcPr>
          <w:p w14:paraId="131BF930"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147" w:type="dxa"/>
            <w:tcBorders>
              <w:top w:val="nil"/>
              <w:left w:val="nil"/>
              <w:right w:val="nil"/>
            </w:tcBorders>
            <w:shd w:val="clear" w:color="auto" w:fill="FFFFFF" w:themeFill="background1"/>
          </w:tcPr>
          <w:p w14:paraId="33335AD0" w14:textId="77777777" w:rsidR="003670E8" w:rsidRPr="00677E16" w:rsidRDefault="003670E8" w:rsidP="00EA194A">
            <w:pPr>
              <w:suppressAutoHyphens w:val="0"/>
              <w:spacing w:line="240" w:lineRule="auto"/>
              <w:rPr>
                <w:rFonts w:eastAsia="Times New Roman"/>
                <w:color w:val="000000"/>
              </w:rPr>
            </w:pPr>
          </w:p>
        </w:tc>
        <w:tc>
          <w:tcPr>
            <w:tcW w:w="989" w:type="dxa"/>
            <w:tcBorders>
              <w:top w:val="nil"/>
              <w:left w:val="nil"/>
              <w:right w:val="nil"/>
            </w:tcBorders>
            <w:shd w:val="clear" w:color="auto" w:fill="FFFFFF" w:themeFill="background1"/>
          </w:tcPr>
          <w:p w14:paraId="542FB620" w14:textId="77777777" w:rsidR="003670E8" w:rsidRPr="00677E16" w:rsidRDefault="003670E8" w:rsidP="00EA194A">
            <w:pPr>
              <w:suppressAutoHyphens w:val="0"/>
              <w:spacing w:line="240" w:lineRule="auto"/>
              <w:rPr>
                <w:rFonts w:eastAsia="Times New Roman"/>
                <w:color w:val="000000"/>
              </w:rPr>
            </w:pPr>
          </w:p>
        </w:tc>
        <w:tc>
          <w:tcPr>
            <w:tcW w:w="1812" w:type="dxa"/>
            <w:tcBorders>
              <w:top w:val="nil"/>
              <w:left w:val="nil"/>
              <w:right w:val="nil"/>
            </w:tcBorders>
            <w:shd w:val="clear" w:color="auto" w:fill="FFFFFF" w:themeFill="background1"/>
          </w:tcPr>
          <w:p w14:paraId="456ADE4A" w14:textId="77777777" w:rsidR="003670E8" w:rsidRPr="00677E16" w:rsidRDefault="003670E8" w:rsidP="00EA194A">
            <w:pPr>
              <w:suppressAutoHyphens w:val="0"/>
              <w:spacing w:line="240" w:lineRule="auto"/>
              <w:rPr>
                <w:rFonts w:eastAsia="Times New Roman"/>
                <w:color w:val="000000"/>
              </w:rPr>
            </w:pPr>
          </w:p>
        </w:tc>
      </w:tr>
      <w:tr w:rsidR="003670E8" w:rsidRPr="00677E16" w14:paraId="60217550" w14:textId="77777777" w:rsidTr="00EA194A">
        <w:trPr>
          <w:trHeight w:val="528"/>
        </w:trPr>
        <w:tc>
          <w:tcPr>
            <w:tcW w:w="975" w:type="dxa"/>
            <w:tcBorders>
              <w:top w:val="nil"/>
              <w:left w:val="nil"/>
              <w:bottom w:val="single" w:sz="12" w:space="0" w:color="auto"/>
              <w:right w:val="nil"/>
            </w:tcBorders>
            <w:shd w:val="clear" w:color="auto" w:fill="FFFFFF" w:themeFill="background1"/>
            <w:vAlign w:val="center"/>
            <w:hideMark/>
          </w:tcPr>
          <w:p w14:paraId="0837F52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non-GHG</w:t>
            </w:r>
          </w:p>
        </w:tc>
        <w:tc>
          <w:tcPr>
            <w:tcW w:w="975" w:type="dxa"/>
            <w:tcBorders>
              <w:top w:val="nil"/>
              <w:left w:val="nil"/>
              <w:bottom w:val="single" w:sz="12" w:space="0" w:color="auto"/>
              <w:right w:val="nil"/>
            </w:tcBorders>
            <w:shd w:val="clear" w:color="auto" w:fill="FFFFFF" w:themeFill="background1"/>
            <w:vAlign w:val="center"/>
            <w:hideMark/>
          </w:tcPr>
          <w:p w14:paraId="65C52D83"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75" w:type="dxa"/>
            <w:tcBorders>
              <w:top w:val="nil"/>
              <w:left w:val="nil"/>
              <w:bottom w:val="single" w:sz="12" w:space="0" w:color="auto"/>
              <w:right w:val="nil"/>
            </w:tcBorders>
            <w:shd w:val="clear" w:color="auto" w:fill="FFFFFF" w:themeFill="background1"/>
            <w:vAlign w:val="center"/>
            <w:hideMark/>
          </w:tcPr>
          <w:p w14:paraId="586FF1F3"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034" w:type="dxa"/>
            <w:tcBorders>
              <w:top w:val="nil"/>
              <w:left w:val="nil"/>
              <w:bottom w:val="single" w:sz="12" w:space="0" w:color="auto"/>
              <w:right w:val="nil"/>
            </w:tcBorders>
            <w:shd w:val="clear" w:color="auto" w:fill="FFFFFF" w:themeFill="background1"/>
            <w:vAlign w:val="center"/>
            <w:hideMark/>
          </w:tcPr>
          <w:p w14:paraId="59A1DEAD"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937" w:type="dxa"/>
            <w:tcBorders>
              <w:top w:val="nil"/>
              <w:left w:val="nil"/>
              <w:bottom w:val="single" w:sz="12" w:space="0" w:color="auto"/>
              <w:right w:val="nil"/>
            </w:tcBorders>
            <w:shd w:val="clear" w:color="auto" w:fill="FFFFFF" w:themeFill="background1"/>
            <w:vAlign w:val="center"/>
            <w:hideMark/>
          </w:tcPr>
          <w:p w14:paraId="31E8862A"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64" w:type="dxa"/>
            <w:tcBorders>
              <w:top w:val="nil"/>
              <w:left w:val="nil"/>
              <w:bottom w:val="single" w:sz="12" w:space="0" w:color="auto"/>
              <w:right w:val="nil"/>
            </w:tcBorders>
            <w:shd w:val="clear" w:color="auto" w:fill="FFFFFF" w:themeFill="background1"/>
            <w:vAlign w:val="center"/>
            <w:hideMark/>
          </w:tcPr>
          <w:p w14:paraId="406FC1A4"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60" w:type="dxa"/>
            <w:tcBorders>
              <w:top w:val="nil"/>
              <w:left w:val="nil"/>
              <w:bottom w:val="single" w:sz="12" w:space="0" w:color="auto"/>
              <w:right w:val="nil"/>
            </w:tcBorders>
            <w:shd w:val="clear" w:color="auto" w:fill="FFFFFF" w:themeFill="background1"/>
            <w:vAlign w:val="center"/>
            <w:hideMark/>
          </w:tcPr>
          <w:p w14:paraId="1A6475E4"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177" w:type="dxa"/>
            <w:tcBorders>
              <w:top w:val="nil"/>
              <w:left w:val="nil"/>
              <w:bottom w:val="single" w:sz="12" w:space="0" w:color="auto"/>
              <w:right w:val="nil"/>
            </w:tcBorders>
            <w:shd w:val="clear" w:color="auto" w:fill="FFFFFF" w:themeFill="background1"/>
            <w:vAlign w:val="center"/>
            <w:hideMark/>
          </w:tcPr>
          <w:p w14:paraId="1B0B5FF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Removals</w:t>
            </w:r>
          </w:p>
        </w:tc>
        <w:tc>
          <w:tcPr>
            <w:tcW w:w="803" w:type="dxa"/>
            <w:tcBorders>
              <w:top w:val="nil"/>
              <w:left w:val="nil"/>
              <w:bottom w:val="single" w:sz="12" w:space="0" w:color="auto"/>
              <w:right w:val="nil"/>
            </w:tcBorders>
            <w:shd w:val="clear" w:color="auto" w:fill="FFFFFF" w:themeFill="background1"/>
            <w:vAlign w:val="center"/>
            <w:hideMark/>
          </w:tcPr>
          <w:p w14:paraId="1E6DE3D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No</w:t>
            </w:r>
          </w:p>
        </w:tc>
        <w:tc>
          <w:tcPr>
            <w:tcW w:w="956" w:type="dxa"/>
            <w:tcBorders>
              <w:top w:val="nil"/>
              <w:left w:val="nil"/>
              <w:bottom w:val="single" w:sz="12" w:space="0" w:color="auto"/>
              <w:right w:val="nil"/>
            </w:tcBorders>
            <w:shd w:val="clear" w:color="auto" w:fill="FFFFFF" w:themeFill="background1"/>
            <w:vAlign w:val="center"/>
            <w:hideMark/>
          </w:tcPr>
          <w:p w14:paraId="78CAB021"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782" w:type="dxa"/>
            <w:tcBorders>
              <w:top w:val="nil"/>
              <w:left w:val="nil"/>
              <w:bottom w:val="single" w:sz="12" w:space="0" w:color="auto"/>
              <w:right w:val="nil"/>
            </w:tcBorders>
            <w:shd w:val="clear" w:color="auto" w:fill="FFFFFF" w:themeFill="background1"/>
            <w:vAlign w:val="center"/>
            <w:hideMark/>
          </w:tcPr>
          <w:p w14:paraId="12D3D9F4"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147" w:type="dxa"/>
            <w:tcBorders>
              <w:top w:val="nil"/>
              <w:left w:val="nil"/>
              <w:bottom w:val="single" w:sz="12" w:space="0" w:color="auto"/>
              <w:right w:val="nil"/>
            </w:tcBorders>
            <w:shd w:val="clear" w:color="auto" w:fill="FFFFFF" w:themeFill="background1"/>
          </w:tcPr>
          <w:p w14:paraId="645D11C6" w14:textId="77777777" w:rsidR="003670E8" w:rsidRPr="00677E16" w:rsidRDefault="003670E8" w:rsidP="00EA194A">
            <w:pPr>
              <w:suppressAutoHyphens w:val="0"/>
              <w:spacing w:line="240" w:lineRule="auto"/>
              <w:rPr>
                <w:rFonts w:eastAsia="Times New Roman"/>
                <w:color w:val="000000"/>
              </w:rPr>
            </w:pPr>
          </w:p>
        </w:tc>
        <w:tc>
          <w:tcPr>
            <w:tcW w:w="989" w:type="dxa"/>
            <w:tcBorders>
              <w:top w:val="nil"/>
              <w:left w:val="nil"/>
              <w:bottom w:val="single" w:sz="12" w:space="0" w:color="auto"/>
              <w:right w:val="nil"/>
            </w:tcBorders>
            <w:shd w:val="clear" w:color="auto" w:fill="FFFFFF" w:themeFill="background1"/>
          </w:tcPr>
          <w:p w14:paraId="617FB23E" w14:textId="77777777" w:rsidR="003670E8" w:rsidRPr="00677E16" w:rsidRDefault="003670E8" w:rsidP="00EA194A">
            <w:pPr>
              <w:suppressAutoHyphens w:val="0"/>
              <w:spacing w:line="240" w:lineRule="auto"/>
              <w:rPr>
                <w:rFonts w:eastAsia="Times New Roman"/>
                <w:color w:val="000000"/>
              </w:rPr>
            </w:pPr>
          </w:p>
        </w:tc>
        <w:tc>
          <w:tcPr>
            <w:tcW w:w="1812" w:type="dxa"/>
            <w:tcBorders>
              <w:top w:val="nil"/>
              <w:left w:val="nil"/>
              <w:bottom w:val="single" w:sz="12" w:space="0" w:color="auto"/>
              <w:right w:val="nil"/>
            </w:tcBorders>
            <w:shd w:val="clear" w:color="auto" w:fill="FFFFFF" w:themeFill="background1"/>
          </w:tcPr>
          <w:p w14:paraId="7AE5E224" w14:textId="77777777" w:rsidR="003670E8" w:rsidRPr="00677E16" w:rsidRDefault="003670E8" w:rsidP="00EA194A">
            <w:pPr>
              <w:suppressAutoHyphens w:val="0"/>
              <w:spacing w:line="240" w:lineRule="auto"/>
              <w:rPr>
                <w:rFonts w:eastAsia="Times New Roman"/>
                <w:color w:val="000000"/>
              </w:rPr>
            </w:pPr>
          </w:p>
        </w:tc>
      </w:tr>
    </w:tbl>
    <w:p w14:paraId="1F4260B1" w14:textId="77777777" w:rsidR="003670E8" w:rsidRDefault="003670E8" w:rsidP="003670E8">
      <w:pPr>
        <w:pStyle w:val="FC2"/>
        <w:spacing w:before="240"/>
      </w:pPr>
    </w:p>
    <w:p w14:paraId="508420F8" w14:textId="77777777" w:rsidR="003670E8" w:rsidRDefault="003670E8" w:rsidP="003670E8">
      <w:pPr>
        <w:pStyle w:val="FC2"/>
        <w:spacing w:before="240"/>
      </w:pPr>
    </w:p>
    <w:p w14:paraId="77F1AC8C" w14:textId="77777777" w:rsidR="003670E8" w:rsidRPr="00677E16" w:rsidRDefault="003670E8" w:rsidP="003670E8">
      <w:pPr>
        <w:pStyle w:val="FC2"/>
        <w:spacing w:before="240"/>
      </w:pPr>
      <w:r w:rsidRPr="00677E16">
        <w:t>Table 3 (</w:t>
      </w:r>
      <w:r w:rsidRPr="00677E16">
        <w:rPr>
          <w:i/>
          <w:iCs/>
        </w:rPr>
        <w:t>Continued</w:t>
      </w:r>
      <w:r w:rsidRPr="00677E16">
        <w:t>)</w:t>
      </w:r>
      <w:r w:rsidRPr="00677E16">
        <w:br/>
      </w:r>
      <w:r w:rsidRPr="00677E16">
        <w:rPr>
          <w:b/>
          <w:bCs/>
        </w:rPr>
        <w:t>Actions</w:t>
      </w:r>
    </w:p>
    <w:tbl>
      <w:tblPr>
        <w:tblW w:w="14286" w:type="dxa"/>
        <w:tblLook w:val="04A0" w:firstRow="1" w:lastRow="0" w:firstColumn="1" w:lastColumn="0" w:noHBand="0" w:noVBand="1"/>
      </w:tblPr>
      <w:tblGrid>
        <w:gridCol w:w="1177"/>
        <w:gridCol w:w="1091"/>
        <w:gridCol w:w="1843"/>
        <w:gridCol w:w="1418"/>
        <w:gridCol w:w="1842"/>
        <w:gridCol w:w="284"/>
        <w:gridCol w:w="1701"/>
        <w:gridCol w:w="1276"/>
        <w:gridCol w:w="1275"/>
        <w:gridCol w:w="1134"/>
        <w:gridCol w:w="1245"/>
      </w:tblGrid>
      <w:tr w:rsidR="003670E8" w:rsidRPr="00677E16" w14:paraId="27BC63B8" w14:textId="77777777" w:rsidTr="00EA194A">
        <w:trPr>
          <w:trHeight w:val="288"/>
        </w:trPr>
        <w:tc>
          <w:tcPr>
            <w:tcW w:w="7371" w:type="dxa"/>
            <w:gridSpan w:val="5"/>
            <w:tcBorders>
              <w:top w:val="single" w:sz="4" w:space="0" w:color="auto"/>
              <w:left w:val="nil"/>
              <w:bottom w:val="nil"/>
              <w:right w:val="nil"/>
            </w:tcBorders>
            <w:shd w:val="clear" w:color="auto" w:fill="FFFFFF" w:themeFill="background1"/>
            <w:noWrap/>
            <w:vAlign w:val="bottom"/>
            <w:hideMark/>
          </w:tcPr>
          <w:p w14:paraId="0D756AA1"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Action</w:t>
            </w:r>
          </w:p>
        </w:tc>
        <w:tc>
          <w:tcPr>
            <w:tcW w:w="284" w:type="dxa"/>
            <w:tcBorders>
              <w:top w:val="single" w:sz="4" w:space="0" w:color="auto"/>
              <w:left w:val="nil"/>
              <w:bottom w:val="nil"/>
              <w:right w:val="nil"/>
            </w:tcBorders>
            <w:shd w:val="clear" w:color="auto" w:fill="FFFFFF" w:themeFill="background1"/>
            <w:noWrap/>
            <w:vAlign w:val="bottom"/>
            <w:hideMark/>
          </w:tcPr>
          <w:p w14:paraId="6C88480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4252" w:type="dxa"/>
            <w:gridSpan w:val="3"/>
            <w:tcBorders>
              <w:top w:val="single" w:sz="4" w:space="0" w:color="auto"/>
              <w:left w:val="nil"/>
              <w:bottom w:val="single" w:sz="4" w:space="0" w:color="auto"/>
              <w:right w:val="nil"/>
            </w:tcBorders>
            <w:shd w:val="clear" w:color="auto" w:fill="FFFFFF" w:themeFill="background1"/>
            <w:noWrap/>
            <w:vAlign w:val="bottom"/>
            <w:hideMark/>
          </w:tcPr>
          <w:p w14:paraId="43400E7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[SOP and OMGE]</w:t>
            </w:r>
          </w:p>
        </w:tc>
        <w:tc>
          <w:tcPr>
            <w:tcW w:w="1134" w:type="dxa"/>
            <w:vMerge w:val="restart"/>
            <w:tcBorders>
              <w:top w:val="single" w:sz="4" w:space="0" w:color="auto"/>
              <w:left w:val="nil"/>
              <w:right w:val="nil"/>
            </w:tcBorders>
            <w:shd w:val="clear" w:color="auto" w:fill="FFFFFF" w:themeFill="background1"/>
            <w:vAlign w:val="bottom"/>
            <w:hideMark/>
          </w:tcPr>
          <w:p w14:paraId="0B777726"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[Result of the consistency checks</w:t>
            </w:r>
            <w:r w:rsidRPr="00677E16">
              <w:rPr>
                <w:rFonts w:eastAsia="Times New Roman"/>
                <w:i/>
                <w:iCs/>
                <w:color w:val="262626" w:themeColor="text1" w:themeTint="D9"/>
                <w:sz w:val="16"/>
                <w:szCs w:val="16"/>
                <w:vertAlign w:val="superscript"/>
                <w:lang w:val="en-US"/>
              </w:rPr>
              <w:t>z</w:t>
            </w:r>
            <w:r w:rsidRPr="00677E16">
              <w:rPr>
                <w:rFonts w:eastAsia="Times New Roman"/>
                <w:i/>
                <w:iCs/>
                <w:color w:val="262626" w:themeColor="text1" w:themeTint="D9"/>
                <w:sz w:val="16"/>
                <w:szCs w:val="16"/>
                <w:lang w:val="en-US"/>
              </w:rPr>
              <w:t>]</w:t>
            </w:r>
          </w:p>
        </w:tc>
        <w:tc>
          <w:tcPr>
            <w:tcW w:w="1245" w:type="dxa"/>
            <w:tcBorders>
              <w:top w:val="single" w:sz="4" w:space="0" w:color="auto"/>
              <w:left w:val="nil"/>
              <w:right w:val="nil"/>
            </w:tcBorders>
            <w:shd w:val="clear" w:color="auto" w:fill="FFFFFF" w:themeFill="background1"/>
          </w:tcPr>
          <w:p w14:paraId="01229BB7" w14:textId="77777777" w:rsidR="003670E8" w:rsidRPr="00677E16" w:rsidRDefault="003670E8" w:rsidP="00EA194A">
            <w:pPr>
              <w:suppressAutoHyphens w:val="0"/>
              <w:spacing w:line="240" w:lineRule="auto"/>
              <w:jc w:val="center"/>
              <w:rPr>
                <w:rFonts w:eastAsia="Times New Roman"/>
                <w:i/>
                <w:iCs/>
                <w:color w:val="262626" w:themeColor="text1" w:themeTint="D9"/>
                <w:sz w:val="16"/>
                <w:szCs w:val="16"/>
                <w:lang w:val="en-US"/>
              </w:rPr>
            </w:pPr>
          </w:p>
        </w:tc>
      </w:tr>
      <w:tr w:rsidR="003670E8" w:rsidRPr="00677E16" w14:paraId="15954373" w14:textId="77777777" w:rsidTr="00EA194A">
        <w:trPr>
          <w:trHeight w:val="288"/>
        </w:trPr>
        <w:tc>
          <w:tcPr>
            <w:tcW w:w="7371" w:type="dxa"/>
            <w:gridSpan w:val="5"/>
            <w:tcBorders>
              <w:top w:val="single" w:sz="4" w:space="0" w:color="auto"/>
              <w:left w:val="nil"/>
              <w:bottom w:val="single" w:sz="4" w:space="0" w:color="auto"/>
              <w:right w:val="nil"/>
            </w:tcBorders>
            <w:shd w:val="clear" w:color="auto" w:fill="FFFFFF" w:themeFill="background1"/>
            <w:vAlign w:val="bottom"/>
            <w:hideMark/>
          </w:tcPr>
          <w:p w14:paraId="014A521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Action details</w:t>
            </w:r>
          </w:p>
        </w:tc>
        <w:tc>
          <w:tcPr>
            <w:tcW w:w="284" w:type="dxa"/>
            <w:tcBorders>
              <w:top w:val="nil"/>
              <w:left w:val="nil"/>
              <w:bottom w:val="nil"/>
              <w:right w:val="nil"/>
            </w:tcBorders>
            <w:shd w:val="clear" w:color="auto" w:fill="FFFFFF" w:themeFill="background1"/>
            <w:noWrap/>
            <w:vAlign w:val="bottom"/>
            <w:hideMark/>
          </w:tcPr>
          <w:p w14:paraId="1B3B8C24"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701" w:type="dxa"/>
            <w:tcBorders>
              <w:top w:val="nil"/>
              <w:left w:val="nil"/>
              <w:bottom w:val="nil"/>
              <w:right w:val="nil"/>
            </w:tcBorders>
            <w:shd w:val="clear" w:color="auto" w:fill="FFFFFF" w:themeFill="background1"/>
            <w:vAlign w:val="bottom"/>
            <w:hideMark/>
          </w:tcPr>
          <w:p w14:paraId="567C0C1E"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276" w:type="dxa"/>
            <w:tcBorders>
              <w:top w:val="nil"/>
              <w:left w:val="nil"/>
              <w:bottom w:val="nil"/>
              <w:right w:val="nil"/>
            </w:tcBorders>
            <w:shd w:val="clear" w:color="auto" w:fill="FFFFFF" w:themeFill="background1"/>
            <w:vAlign w:val="bottom"/>
            <w:hideMark/>
          </w:tcPr>
          <w:p w14:paraId="6FE9D015"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275" w:type="dxa"/>
            <w:tcBorders>
              <w:top w:val="single" w:sz="4" w:space="0" w:color="auto"/>
              <w:left w:val="nil"/>
              <w:right w:val="nil"/>
            </w:tcBorders>
          </w:tcPr>
          <w:p w14:paraId="77E0B920" w14:textId="77777777" w:rsidR="003670E8" w:rsidRPr="00677E16" w:rsidRDefault="003670E8" w:rsidP="00EA194A">
            <w:pPr>
              <w:suppressAutoHyphens w:val="0"/>
              <w:spacing w:line="240" w:lineRule="auto"/>
              <w:rPr>
                <w:rFonts w:eastAsia="Times New Roman"/>
                <w:i/>
                <w:iCs/>
                <w:color w:val="262626"/>
                <w:sz w:val="16"/>
                <w:szCs w:val="16"/>
              </w:rPr>
            </w:pPr>
          </w:p>
        </w:tc>
        <w:tc>
          <w:tcPr>
            <w:tcW w:w="1134" w:type="dxa"/>
            <w:vMerge/>
            <w:vAlign w:val="center"/>
            <w:hideMark/>
          </w:tcPr>
          <w:p w14:paraId="032AF870" w14:textId="77777777" w:rsidR="003670E8" w:rsidRPr="00677E16" w:rsidRDefault="003670E8" w:rsidP="00EA194A">
            <w:pPr>
              <w:suppressAutoHyphens w:val="0"/>
              <w:spacing w:line="240" w:lineRule="auto"/>
              <w:rPr>
                <w:rFonts w:eastAsia="Times New Roman"/>
                <w:i/>
                <w:iCs/>
                <w:color w:val="262626"/>
                <w:sz w:val="16"/>
                <w:szCs w:val="16"/>
              </w:rPr>
            </w:pPr>
          </w:p>
        </w:tc>
        <w:tc>
          <w:tcPr>
            <w:tcW w:w="1245" w:type="dxa"/>
          </w:tcPr>
          <w:p w14:paraId="2289A540"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3EC7C766" w14:textId="77777777" w:rsidTr="00EA194A">
        <w:trPr>
          <w:trHeight w:val="288"/>
        </w:trPr>
        <w:tc>
          <w:tcPr>
            <w:tcW w:w="1177" w:type="dxa"/>
            <w:tcBorders>
              <w:top w:val="single" w:sz="4" w:space="0" w:color="auto"/>
              <w:left w:val="nil"/>
              <w:bottom w:val="single" w:sz="4" w:space="0" w:color="auto"/>
              <w:right w:val="nil"/>
            </w:tcBorders>
            <w:shd w:val="clear" w:color="auto" w:fill="FFFFFF" w:themeFill="background1"/>
            <w:vAlign w:val="center"/>
            <w:hideMark/>
          </w:tcPr>
          <w:p w14:paraId="1A4949ED"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6194" w:type="dxa"/>
            <w:gridSpan w:val="4"/>
            <w:tcBorders>
              <w:top w:val="single" w:sz="4" w:space="0" w:color="auto"/>
              <w:left w:val="nil"/>
              <w:bottom w:val="single" w:sz="4" w:space="0" w:color="auto"/>
              <w:right w:val="nil"/>
            </w:tcBorders>
            <w:shd w:val="clear" w:color="auto" w:fill="FFFFFF" w:themeFill="background1"/>
            <w:vAlign w:val="bottom"/>
            <w:hideMark/>
          </w:tcPr>
          <w:p w14:paraId="08A5D6F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Use or cancellation</w:t>
            </w:r>
          </w:p>
        </w:tc>
        <w:tc>
          <w:tcPr>
            <w:tcW w:w="284" w:type="dxa"/>
            <w:tcBorders>
              <w:top w:val="nil"/>
              <w:left w:val="nil"/>
              <w:bottom w:val="nil"/>
              <w:right w:val="nil"/>
            </w:tcBorders>
            <w:shd w:val="clear" w:color="auto" w:fill="FFFFFF" w:themeFill="background1"/>
            <w:noWrap/>
            <w:vAlign w:val="bottom"/>
            <w:hideMark/>
          </w:tcPr>
          <w:p w14:paraId="5D33F78D"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701" w:type="dxa"/>
            <w:tcBorders>
              <w:top w:val="nil"/>
              <w:left w:val="nil"/>
              <w:bottom w:val="nil"/>
              <w:right w:val="nil"/>
            </w:tcBorders>
            <w:shd w:val="clear" w:color="auto" w:fill="FFFFFF" w:themeFill="background1"/>
            <w:vAlign w:val="bottom"/>
            <w:hideMark/>
          </w:tcPr>
          <w:p w14:paraId="2DACBCC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6" w:type="dxa"/>
            <w:tcBorders>
              <w:top w:val="nil"/>
              <w:left w:val="nil"/>
              <w:bottom w:val="nil"/>
              <w:right w:val="nil"/>
            </w:tcBorders>
            <w:shd w:val="clear" w:color="auto" w:fill="FFFFFF" w:themeFill="background1"/>
            <w:vAlign w:val="bottom"/>
            <w:hideMark/>
          </w:tcPr>
          <w:p w14:paraId="56D409D8"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5" w:type="dxa"/>
            <w:tcBorders>
              <w:left w:val="nil"/>
              <w:right w:val="nil"/>
            </w:tcBorders>
          </w:tcPr>
          <w:p w14:paraId="1F8A8999" w14:textId="77777777" w:rsidR="003670E8" w:rsidRPr="00677E16" w:rsidRDefault="003670E8" w:rsidP="00EA194A">
            <w:pPr>
              <w:suppressAutoHyphens w:val="0"/>
              <w:spacing w:line="240" w:lineRule="auto"/>
              <w:rPr>
                <w:rFonts w:eastAsia="Times New Roman"/>
                <w:i/>
                <w:iCs/>
                <w:color w:val="262626"/>
                <w:sz w:val="16"/>
                <w:szCs w:val="16"/>
              </w:rPr>
            </w:pPr>
          </w:p>
        </w:tc>
        <w:tc>
          <w:tcPr>
            <w:tcW w:w="1134" w:type="dxa"/>
            <w:vMerge/>
            <w:tcBorders>
              <w:left w:val="nil"/>
              <w:right w:val="nil"/>
            </w:tcBorders>
            <w:vAlign w:val="center"/>
            <w:hideMark/>
          </w:tcPr>
          <w:p w14:paraId="20CD7C2A" w14:textId="77777777" w:rsidR="003670E8" w:rsidRPr="00677E16" w:rsidRDefault="003670E8" w:rsidP="00EA194A">
            <w:pPr>
              <w:suppressAutoHyphens w:val="0"/>
              <w:spacing w:line="240" w:lineRule="auto"/>
              <w:rPr>
                <w:rFonts w:eastAsia="Times New Roman"/>
                <w:i/>
                <w:iCs/>
                <w:color w:val="262626"/>
                <w:sz w:val="16"/>
                <w:szCs w:val="16"/>
              </w:rPr>
            </w:pPr>
          </w:p>
        </w:tc>
        <w:tc>
          <w:tcPr>
            <w:tcW w:w="1245" w:type="dxa"/>
            <w:tcBorders>
              <w:left w:val="nil"/>
              <w:right w:val="nil"/>
            </w:tcBorders>
          </w:tcPr>
          <w:p w14:paraId="062118F9"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7558C7EA" w14:textId="77777777" w:rsidTr="00EA194A">
        <w:trPr>
          <w:trHeight w:val="540"/>
        </w:trPr>
        <w:tc>
          <w:tcPr>
            <w:tcW w:w="1177" w:type="dxa"/>
            <w:tcBorders>
              <w:top w:val="nil"/>
              <w:left w:val="nil"/>
              <w:bottom w:val="nil"/>
              <w:right w:val="nil"/>
            </w:tcBorders>
            <w:shd w:val="clear" w:color="auto" w:fill="FFFFFF" w:themeFill="background1"/>
            <w:vAlign w:val="center"/>
            <w:hideMark/>
          </w:tcPr>
          <w:p w14:paraId="11395DB6"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091" w:type="dxa"/>
            <w:tcBorders>
              <w:top w:val="nil"/>
              <w:left w:val="nil"/>
              <w:bottom w:val="nil"/>
              <w:right w:val="nil"/>
            </w:tcBorders>
            <w:shd w:val="clear" w:color="auto" w:fill="FFFFFF" w:themeFill="background1"/>
            <w:vAlign w:val="bottom"/>
            <w:hideMark/>
          </w:tcPr>
          <w:p w14:paraId="60CCD7CC"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843" w:type="dxa"/>
            <w:tcBorders>
              <w:top w:val="nil"/>
              <w:left w:val="nil"/>
              <w:bottom w:val="nil"/>
              <w:right w:val="nil"/>
            </w:tcBorders>
            <w:shd w:val="clear" w:color="auto" w:fill="FFFFFF" w:themeFill="background1"/>
            <w:vAlign w:val="bottom"/>
            <w:hideMark/>
          </w:tcPr>
          <w:p w14:paraId="2D7F8E4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18" w:type="dxa"/>
            <w:tcBorders>
              <w:top w:val="nil"/>
              <w:left w:val="nil"/>
              <w:bottom w:val="nil"/>
              <w:right w:val="nil"/>
            </w:tcBorders>
            <w:shd w:val="clear" w:color="auto" w:fill="FFFFFF" w:themeFill="background1"/>
            <w:vAlign w:val="bottom"/>
            <w:hideMark/>
          </w:tcPr>
          <w:p w14:paraId="11829D4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842" w:type="dxa"/>
            <w:tcBorders>
              <w:top w:val="nil"/>
              <w:left w:val="nil"/>
              <w:bottom w:val="nil"/>
              <w:right w:val="nil"/>
            </w:tcBorders>
            <w:shd w:val="clear" w:color="auto" w:fill="FFFFFF" w:themeFill="background1"/>
            <w:vAlign w:val="bottom"/>
            <w:hideMark/>
          </w:tcPr>
          <w:p w14:paraId="5AD871F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284" w:type="dxa"/>
            <w:tcBorders>
              <w:top w:val="nil"/>
              <w:left w:val="nil"/>
              <w:bottom w:val="nil"/>
              <w:right w:val="nil"/>
            </w:tcBorders>
            <w:shd w:val="clear" w:color="auto" w:fill="FFFFFF" w:themeFill="background1"/>
            <w:noWrap/>
            <w:vAlign w:val="bottom"/>
            <w:hideMark/>
          </w:tcPr>
          <w:p w14:paraId="3C986A38"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701" w:type="dxa"/>
            <w:tcBorders>
              <w:top w:val="nil"/>
              <w:left w:val="nil"/>
              <w:bottom w:val="nil"/>
              <w:right w:val="nil"/>
            </w:tcBorders>
            <w:shd w:val="clear" w:color="auto" w:fill="FFFFFF" w:themeFill="background1"/>
            <w:vAlign w:val="bottom"/>
            <w:hideMark/>
          </w:tcPr>
          <w:p w14:paraId="3E2FB23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6" w:type="dxa"/>
            <w:tcBorders>
              <w:top w:val="nil"/>
              <w:left w:val="nil"/>
              <w:bottom w:val="nil"/>
              <w:right w:val="nil"/>
            </w:tcBorders>
            <w:shd w:val="clear" w:color="auto" w:fill="FFFFFF" w:themeFill="background1"/>
            <w:vAlign w:val="bottom"/>
            <w:hideMark/>
          </w:tcPr>
          <w:p w14:paraId="46D5F4CD"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75" w:type="dxa"/>
            <w:tcBorders>
              <w:left w:val="nil"/>
              <w:right w:val="nil"/>
            </w:tcBorders>
          </w:tcPr>
          <w:p w14:paraId="191D351E" w14:textId="77777777" w:rsidR="003670E8" w:rsidRPr="00677E16" w:rsidRDefault="003670E8" w:rsidP="00EA194A">
            <w:pPr>
              <w:suppressAutoHyphens w:val="0"/>
              <w:spacing w:line="240" w:lineRule="auto"/>
              <w:rPr>
                <w:rFonts w:eastAsia="Times New Roman"/>
                <w:i/>
                <w:iCs/>
                <w:color w:val="262626"/>
                <w:sz w:val="16"/>
                <w:szCs w:val="16"/>
              </w:rPr>
            </w:pPr>
          </w:p>
        </w:tc>
        <w:tc>
          <w:tcPr>
            <w:tcW w:w="1134" w:type="dxa"/>
            <w:vMerge/>
            <w:tcBorders>
              <w:left w:val="nil"/>
              <w:right w:val="nil"/>
            </w:tcBorders>
            <w:vAlign w:val="center"/>
            <w:hideMark/>
          </w:tcPr>
          <w:p w14:paraId="108B6ECF" w14:textId="77777777" w:rsidR="003670E8" w:rsidRPr="00677E16" w:rsidRDefault="003670E8" w:rsidP="00EA194A">
            <w:pPr>
              <w:suppressAutoHyphens w:val="0"/>
              <w:spacing w:line="240" w:lineRule="auto"/>
              <w:rPr>
                <w:rFonts w:eastAsia="Times New Roman"/>
                <w:i/>
                <w:iCs/>
                <w:color w:val="262626"/>
                <w:sz w:val="16"/>
                <w:szCs w:val="16"/>
              </w:rPr>
            </w:pPr>
          </w:p>
        </w:tc>
        <w:tc>
          <w:tcPr>
            <w:tcW w:w="1245" w:type="dxa"/>
            <w:tcBorders>
              <w:left w:val="nil"/>
              <w:right w:val="nil"/>
            </w:tcBorders>
          </w:tcPr>
          <w:p w14:paraId="5026A36F"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3486C0F0" w14:textId="77777777" w:rsidTr="00EA194A">
        <w:trPr>
          <w:trHeight w:val="780"/>
        </w:trPr>
        <w:tc>
          <w:tcPr>
            <w:tcW w:w="2268" w:type="dxa"/>
            <w:gridSpan w:val="2"/>
            <w:tcBorders>
              <w:top w:val="nil"/>
              <w:left w:val="nil"/>
              <w:bottom w:val="single" w:sz="8" w:space="0" w:color="auto"/>
              <w:right w:val="nil"/>
            </w:tcBorders>
            <w:shd w:val="clear" w:color="auto" w:fill="FFFFFF" w:themeFill="background1"/>
            <w:vAlign w:val="bottom"/>
            <w:hideMark/>
          </w:tcPr>
          <w:p w14:paraId="69FA601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Style w:val="EndnoteReference"/>
                <w:rFonts w:eastAsia="Times New Roman"/>
                <w:iCs/>
                <w:color w:val="FFFFFF" w:themeColor="background1"/>
                <w:szCs w:val="16"/>
              </w:rPr>
              <w:endnoteReference w:id="7"/>
            </w:r>
            <w:r w:rsidRPr="00677E16">
              <w:rPr>
                <w:rFonts w:eastAsia="Times New Roman"/>
                <w:i/>
                <w:iCs/>
                <w:color w:val="262626"/>
                <w:sz w:val="16"/>
                <w:szCs w:val="16"/>
              </w:rPr>
              <w:t> </w:t>
            </w:r>
          </w:p>
          <w:p w14:paraId="4545CEA4"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 xml:space="preserve">Purpose for which the ITMO has been </w:t>
            </w: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 xml:space="preserve">used [towards ]or </w:t>
            </w: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cancelled [towards][for] OIMP</w:t>
            </w:r>
            <w:r w:rsidRPr="00677E16">
              <w:rPr>
                <w:rFonts w:eastAsia="Times New Roman"/>
                <w:i/>
                <w:iCs/>
                <w:color w:val="262626" w:themeColor="text1" w:themeTint="D9"/>
                <w:sz w:val="16"/>
                <w:szCs w:val="16"/>
                <w:vertAlign w:val="superscript"/>
                <w:lang w:val="en-US"/>
              </w:rPr>
              <w:t>s</w:t>
            </w:r>
          </w:p>
        </w:tc>
        <w:tc>
          <w:tcPr>
            <w:tcW w:w="1843" w:type="dxa"/>
            <w:tcBorders>
              <w:top w:val="nil"/>
              <w:left w:val="nil"/>
              <w:bottom w:val="single" w:sz="8" w:space="0" w:color="auto"/>
              <w:right w:val="nil"/>
            </w:tcBorders>
            <w:shd w:val="clear" w:color="auto" w:fill="FFFFFF" w:themeFill="background1"/>
            <w:vAlign w:val="bottom"/>
            <w:hideMark/>
          </w:tcPr>
          <w:p w14:paraId="22153376"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[Using/cancelling participating Party ID</w:t>
            </w:r>
            <w:r w:rsidRPr="00677E16">
              <w:rPr>
                <w:rFonts w:eastAsia="Times New Roman"/>
                <w:i/>
                <w:iCs/>
                <w:color w:val="262626" w:themeColor="text1" w:themeTint="D9"/>
                <w:sz w:val="16"/>
                <w:szCs w:val="16"/>
                <w:vertAlign w:val="superscript"/>
                <w:lang w:val="en-US"/>
              </w:rPr>
              <w:t>t</w:t>
            </w:r>
            <w:r w:rsidRPr="00677E16">
              <w:rPr>
                <w:rFonts w:eastAsia="Times New Roman"/>
                <w:i/>
                <w:iCs/>
                <w:color w:val="262626" w:themeColor="text1" w:themeTint="D9"/>
                <w:sz w:val="16"/>
                <w:szCs w:val="16"/>
                <w:lang w:val="en-US"/>
              </w:rPr>
              <w:t>]</w:t>
            </w:r>
          </w:p>
        </w:tc>
        <w:tc>
          <w:tcPr>
            <w:tcW w:w="1418" w:type="dxa"/>
            <w:tcBorders>
              <w:top w:val="nil"/>
              <w:left w:val="nil"/>
              <w:bottom w:val="single" w:sz="8" w:space="0" w:color="auto"/>
              <w:right w:val="nil"/>
            </w:tcBorders>
            <w:shd w:val="clear" w:color="auto" w:fill="FFFFFF" w:themeFill="background1"/>
            <w:vAlign w:val="bottom"/>
            <w:hideMark/>
          </w:tcPr>
          <w:p w14:paraId="2263ED17"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Using/cancelling authorized entity ID</w:t>
            </w:r>
            <w:r w:rsidRPr="00677E16">
              <w:rPr>
                <w:rFonts w:eastAsia="Times New Roman"/>
                <w:i/>
                <w:iCs/>
                <w:color w:val="262626" w:themeColor="text1" w:themeTint="D9"/>
                <w:sz w:val="16"/>
                <w:szCs w:val="16"/>
                <w:vertAlign w:val="superscript"/>
                <w:lang w:val="en-US"/>
              </w:rPr>
              <w:t>u</w:t>
            </w:r>
          </w:p>
        </w:tc>
        <w:tc>
          <w:tcPr>
            <w:tcW w:w="1842" w:type="dxa"/>
            <w:tcBorders>
              <w:top w:val="nil"/>
              <w:left w:val="nil"/>
              <w:bottom w:val="single" w:sz="8" w:space="0" w:color="auto"/>
              <w:right w:val="nil"/>
            </w:tcBorders>
            <w:shd w:val="clear" w:color="auto" w:fill="FFFFFF" w:themeFill="background1"/>
            <w:vAlign w:val="bottom"/>
            <w:hideMark/>
          </w:tcPr>
          <w:p w14:paraId="6E8B602C"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Calendar year [for][towards] which the ITMOs are used towards NDC</w:t>
            </w:r>
            <w:r w:rsidRPr="00677E16">
              <w:rPr>
                <w:rFonts w:eastAsia="Times New Roman"/>
                <w:i/>
                <w:iCs/>
                <w:color w:val="262626" w:themeColor="text1" w:themeTint="D9"/>
                <w:sz w:val="16"/>
                <w:szCs w:val="16"/>
                <w:vertAlign w:val="superscript"/>
                <w:lang w:val="en-US"/>
              </w:rPr>
              <w:t>v</w:t>
            </w:r>
          </w:p>
        </w:tc>
        <w:tc>
          <w:tcPr>
            <w:tcW w:w="284" w:type="dxa"/>
            <w:tcBorders>
              <w:top w:val="nil"/>
              <w:left w:val="nil"/>
              <w:bottom w:val="single" w:sz="8" w:space="0" w:color="auto"/>
              <w:right w:val="nil"/>
            </w:tcBorders>
            <w:shd w:val="clear" w:color="auto" w:fill="FFFFFF" w:themeFill="background1"/>
            <w:vAlign w:val="bottom"/>
            <w:hideMark/>
          </w:tcPr>
          <w:p w14:paraId="73F5697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701" w:type="dxa"/>
            <w:tcBorders>
              <w:top w:val="nil"/>
              <w:left w:val="nil"/>
              <w:bottom w:val="single" w:sz="8" w:space="0" w:color="auto"/>
              <w:right w:val="nil"/>
            </w:tcBorders>
            <w:shd w:val="clear" w:color="auto" w:fill="FFFFFF" w:themeFill="background1"/>
            <w:vAlign w:val="bottom"/>
            <w:hideMark/>
          </w:tcPr>
          <w:p w14:paraId="28DD3489"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[Share of proceeds</w:t>
            </w:r>
            <w:r w:rsidRPr="00677E16">
              <w:rPr>
                <w:rFonts w:eastAsia="Times New Roman"/>
                <w:i/>
                <w:iCs/>
                <w:color w:val="262626" w:themeColor="text1" w:themeTint="D9"/>
                <w:sz w:val="16"/>
                <w:szCs w:val="16"/>
                <w:vertAlign w:val="superscript"/>
                <w:lang w:val="en-US"/>
              </w:rPr>
              <w:t>w</w:t>
            </w:r>
            <w:r w:rsidRPr="00677E16">
              <w:rPr>
                <w:rFonts w:eastAsia="Times New Roman"/>
                <w:i/>
                <w:iCs/>
                <w:color w:val="262626" w:themeColor="text1" w:themeTint="D9"/>
                <w:sz w:val="16"/>
                <w:szCs w:val="16"/>
                <w:lang w:val="en-US"/>
              </w:rPr>
              <w:t>]</w:t>
            </w:r>
          </w:p>
        </w:tc>
        <w:tc>
          <w:tcPr>
            <w:tcW w:w="1276" w:type="dxa"/>
            <w:tcBorders>
              <w:top w:val="nil"/>
              <w:left w:val="nil"/>
              <w:bottom w:val="single" w:sz="8" w:space="0" w:color="auto"/>
              <w:right w:val="nil"/>
            </w:tcBorders>
            <w:shd w:val="clear" w:color="auto" w:fill="FFFFFF" w:themeFill="background1"/>
            <w:vAlign w:val="bottom"/>
            <w:hideMark/>
          </w:tcPr>
          <w:p w14:paraId="493527F0"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[Overall mitigation of global emissions</w:t>
            </w:r>
            <w:r w:rsidRPr="00677E16">
              <w:rPr>
                <w:rFonts w:eastAsia="Times New Roman"/>
                <w:i/>
                <w:iCs/>
                <w:color w:val="262626" w:themeColor="text1" w:themeTint="D9"/>
                <w:sz w:val="16"/>
                <w:szCs w:val="16"/>
                <w:vertAlign w:val="superscript"/>
                <w:lang w:val="en-US"/>
              </w:rPr>
              <w:t>x</w:t>
            </w:r>
            <w:r w:rsidRPr="00677E16">
              <w:rPr>
                <w:rFonts w:eastAsia="Times New Roman"/>
                <w:i/>
                <w:iCs/>
                <w:color w:val="262626" w:themeColor="text1" w:themeTint="D9"/>
                <w:sz w:val="16"/>
                <w:szCs w:val="16"/>
                <w:lang w:val="en-US"/>
              </w:rPr>
              <w:t>]</w:t>
            </w:r>
          </w:p>
        </w:tc>
        <w:tc>
          <w:tcPr>
            <w:tcW w:w="1275" w:type="dxa"/>
            <w:tcBorders>
              <w:left w:val="nil"/>
              <w:bottom w:val="single" w:sz="8" w:space="0" w:color="auto"/>
              <w:right w:val="nil"/>
            </w:tcBorders>
            <w:vAlign w:val="bottom"/>
          </w:tcPr>
          <w:p w14:paraId="1749F68F"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[Quantity directed to share of proceeds</w:t>
            </w:r>
            <w:r w:rsidRPr="00677E16">
              <w:rPr>
                <w:rFonts w:eastAsia="Times New Roman"/>
                <w:i/>
                <w:iCs/>
                <w:color w:val="262626" w:themeColor="text1" w:themeTint="D9"/>
                <w:sz w:val="16"/>
                <w:szCs w:val="16"/>
                <w:vertAlign w:val="superscript"/>
                <w:lang w:val="en-US"/>
              </w:rPr>
              <w:t>y</w:t>
            </w:r>
            <w:r w:rsidRPr="00677E16">
              <w:rPr>
                <w:rFonts w:eastAsia="Times New Roman"/>
                <w:i/>
                <w:iCs/>
                <w:color w:val="262626" w:themeColor="text1" w:themeTint="D9"/>
                <w:sz w:val="16"/>
                <w:szCs w:val="16"/>
                <w:lang w:val="en-US"/>
              </w:rPr>
              <w:t>]</w:t>
            </w:r>
          </w:p>
        </w:tc>
        <w:tc>
          <w:tcPr>
            <w:tcW w:w="1134" w:type="dxa"/>
            <w:vMerge/>
            <w:tcBorders>
              <w:left w:val="nil"/>
              <w:bottom w:val="single" w:sz="8" w:space="0" w:color="000000" w:themeColor="text1"/>
              <w:right w:val="nil"/>
            </w:tcBorders>
            <w:vAlign w:val="center"/>
            <w:hideMark/>
          </w:tcPr>
          <w:p w14:paraId="0B8493A9" w14:textId="77777777" w:rsidR="003670E8" w:rsidRPr="00677E16" w:rsidRDefault="003670E8" w:rsidP="00EA194A">
            <w:pPr>
              <w:suppressAutoHyphens w:val="0"/>
              <w:spacing w:line="240" w:lineRule="auto"/>
              <w:rPr>
                <w:rFonts w:eastAsia="Times New Roman"/>
                <w:i/>
                <w:iCs/>
                <w:color w:val="262626"/>
                <w:sz w:val="16"/>
                <w:szCs w:val="16"/>
              </w:rPr>
            </w:pPr>
          </w:p>
        </w:tc>
        <w:tc>
          <w:tcPr>
            <w:tcW w:w="1245" w:type="dxa"/>
            <w:tcBorders>
              <w:left w:val="nil"/>
              <w:bottom w:val="single" w:sz="8" w:space="0" w:color="000000" w:themeColor="text1"/>
              <w:right w:val="nil"/>
            </w:tcBorders>
            <w:vAlign w:val="bottom"/>
          </w:tcPr>
          <w:p w14:paraId="78216759" w14:textId="77777777" w:rsidR="003670E8" w:rsidRPr="00677E16" w:rsidRDefault="003670E8" w:rsidP="00EA194A">
            <w:pPr>
              <w:suppressAutoHyphens w:val="0"/>
              <w:spacing w:line="240" w:lineRule="auto"/>
              <w:jc w:val="center"/>
              <w:rPr>
                <w:rFonts w:eastAsia="Times New Roman"/>
                <w:i/>
                <w:iCs/>
                <w:color w:val="262626"/>
                <w:sz w:val="16"/>
                <w:szCs w:val="16"/>
              </w:rPr>
            </w:pPr>
            <w:r w:rsidRPr="007D5BA7">
              <w:rPr>
                <w:rFonts w:eastAsia="Times New Roman"/>
                <w:i/>
                <w:iCs/>
                <w:color w:val="262626"/>
                <w:sz w:val="16"/>
                <w:szCs w:val="16"/>
              </w:rPr>
              <w:t>Additional explanatory information</w:t>
            </w:r>
          </w:p>
        </w:tc>
      </w:tr>
      <w:tr w:rsidR="003670E8" w:rsidRPr="00677E16" w14:paraId="4630B5DD" w14:textId="77777777" w:rsidTr="00EA194A">
        <w:trPr>
          <w:trHeight w:val="528"/>
        </w:trPr>
        <w:tc>
          <w:tcPr>
            <w:tcW w:w="2268" w:type="dxa"/>
            <w:gridSpan w:val="2"/>
            <w:tcBorders>
              <w:top w:val="nil"/>
              <w:left w:val="nil"/>
              <w:right w:val="nil"/>
            </w:tcBorders>
            <w:shd w:val="clear" w:color="auto" w:fill="FFFFFF" w:themeFill="background1"/>
            <w:vAlign w:val="center"/>
            <w:hideMark/>
          </w:tcPr>
          <w:p w14:paraId="30A4778D" w14:textId="77777777" w:rsidR="003670E8" w:rsidRPr="00677E16" w:rsidRDefault="003670E8" w:rsidP="00EA194A">
            <w:pPr>
              <w:suppressAutoHyphens w:val="0"/>
              <w:spacing w:line="240" w:lineRule="auto"/>
              <w:jc w:val="center"/>
              <w:rPr>
                <w:rFonts w:eastAsia="Times New Roman"/>
                <w:b/>
                <w:bCs/>
                <w:color w:val="262626"/>
              </w:rPr>
            </w:pPr>
          </w:p>
          <w:p w14:paraId="308B3730" w14:textId="77777777" w:rsidR="003670E8" w:rsidRPr="00677E16" w:rsidRDefault="003670E8" w:rsidP="00EA194A">
            <w:pPr>
              <w:suppressAutoHyphens w:val="0"/>
              <w:spacing w:line="240" w:lineRule="auto"/>
              <w:jc w:val="center"/>
              <w:rPr>
                <w:rFonts w:eastAsia="Times New Roman"/>
                <w:b/>
                <w:bCs/>
                <w:color w:val="262626"/>
              </w:rPr>
            </w:pPr>
            <w:r w:rsidRPr="00677E16">
              <w:rPr>
                <w:rFonts w:eastAsia="Times New Roman"/>
                <w:b/>
                <w:bCs/>
                <w:color w:val="262626"/>
              </w:rPr>
              <w:t> </w:t>
            </w:r>
          </w:p>
        </w:tc>
        <w:tc>
          <w:tcPr>
            <w:tcW w:w="1843" w:type="dxa"/>
            <w:tcBorders>
              <w:top w:val="nil"/>
              <w:left w:val="nil"/>
              <w:right w:val="nil"/>
            </w:tcBorders>
            <w:shd w:val="clear" w:color="auto" w:fill="FFFFFF" w:themeFill="background1"/>
            <w:hideMark/>
          </w:tcPr>
          <w:p w14:paraId="67D0F38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18" w:type="dxa"/>
            <w:tcBorders>
              <w:top w:val="nil"/>
              <w:left w:val="nil"/>
              <w:right w:val="nil"/>
            </w:tcBorders>
            <w:shd w:val="clear" w:color="auto" w:fill="FFFFFF" w:themeFill="background1"/>
            <w:hideMark/>
          </w:tcPr>
          <w:p w14:paraId="561C03CC"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842" w:type="dxa"/>
            <w:tcBorders>
              <w:top w:val="nil"/>
              <w:left w:val="nil"/>
              <w:right w:val="nil"/>
            </w:tcBorders>
            <w:shd w:val="clear" w:color="auto" w:fill="FFFFFF" w:themeFill="background1"/>
            <w:hideMark/>
          </w:tcPr>
          <w:p w14:paraId="0BCA7CF5"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84" w:type="dxa"/>
            <w:tcBorders>
              <w:top w:val="nil"/>
              <w:left w:val="nil"/>
              <w:right w:val="nil"/>
            </w:tcBorders>
            <w:shd w:val="clear" w:color="auto" w:fill="FFFFFF" w:themeFill="background1"/>
            <w:vAlign w:val="center"/>
            <w:hideMark/>
          </w:tcPr>
          <w:p w14:paraId="7228804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701" w:type="dxa"/>
            <w:tcBorders>
              <w:top w:val="nil"/>
              <w:left w:val="nil"/>
              <w:right w:val="nil"/>
            </w:tcBorders>
            <w:shd w:val="clear" w:color="auto" w:fill="FFFFFF" w:themeFill="background1"/>
            <w:hideMark/>
          </w:tcPr>
          <w:p w14:paraId="16CEAD6B" w14:textId="77777777" w:rsidR="003670E8" w:rsidRPr="00677E16" w:rsidRDefault="003670E8" w:rsidP="00EA194A">
            <w:pPr>
              <w:suppressAutoHyphens w:val="0"/>
              <w:spacing w:line="240" w:lineRule="auto"/>
              <w:jc w:val="center"/>
              <w:rPr>
                <w:rFonts w:eastAsia="Times New Roman"/>
                <w:color w:val="000000"/>
              </w:rPr>
            </w:pPr>
            <w:r w:rsidRPr="00677E16">
              <w:rPr>
                <w:color w:val="000000"/>
              </w:rPr>
              <w:t>[Yes. To Adaptation Fund]</w:t>
            </w:r>
          </w:p>
        </w:tc>
        <w:tc>
          <w:tcPr>
            <w:tcW w:w="1276" w:type="dxa"/>
            <w:tcBorders>
              <w:top w:val="nil"/>
              <w:left w:val="nil"/>
              <w:right w:val="nil"/>
            </w:tcBorders>
            <w:shd w:val="clear" w:color="auto" w:fill="FFFFFF" w:themeFill="background1"/>
            <w:hideMark/>
          </w:tcPr>
          <w:p w14:paraId="11DF9234" w14:textId="77777777" w:rsidR="003670E8" w:rsidRPr="00677E16" w:rsidRDefault="003670E8" w:rsidP="00EA194A">
            <w:pPr>
              <w:suppressAutoHyphens w:val="0"/>
              <w:spacing w:line="240" w:lineRule="auto"/>
              <w:jc w:val="center"/>
              <w:rPr>
                <w:rFonts w:eastAsia="Times New Roman"/>
                <w:color w:val="000000"/>
              </w:rPr>
            </w:pPr>
            <w:r w:rsidRPr="00677E16">
              <w:rPr>
                <w:color w:val="000000"/>
              </w:rPr>
              <w:t xml:space="preserve">[Yes] </w:t>
            </w:r>
          </w:p>
        </w:tc>
        <w:tc>
          <w:tcPr>
            <w:tcW w:w="1275" w:type="dxa"/>
            <w:tcBorders>
              <w:top w:val="single" w:sz="8" w:space="0" w:color="auto"/>
              <w:left w:val="nil"/>
              <w:right w:val="nil"/>
            </w:tcBorders>
            <w:shd w:val="clear" w:color="auto" w:fill="FFFFFF" w:themeFill="background1"/>
          </w:tcPr>
          <w:p w14:paraId="48F88E6F"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134" w:type="dxa"/>
            <w:tcBorders>
              <w:top w:val="nil"/>
              <w:left w:val="nil"/>
              <w:right w:val="nil"/>
            </w:tcBorders>
            <w:shd w:val="clear" w:color="auto" w:fill="FFFFFF" w:themeFill="background1"/>
            <w:noWrap/>
            <w:vAlign w:val="bottom"/>
            <w:hideMark/>
          </w:tcPr>
          <w:p w14:paraId="027D2559"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45" w:type="dxa"/>
            <w:tcBorders>
              <w:top w:val="nil"/>
              <w:left w:val="nil"/>
              <w:right w:val="nil"/>
            </w:tcBorders>
            <w:shd w:val="clear" w:color="auto" w:fill="FFFFFF" w:themeFill="background1"/>
          </w:tcPr>
          <w:p w14:paraId="160E85D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r w:rsidR="003670E8" w:rsidRPr="00677E16" w14:paraId="4B588A99" w14:textId="77777777" w:rsidTr="00EA194A">
        <w:trPr>
          <w:trHeight w:val="528"/>
        </w:trPr>
        <w:tc>
          <w:tcPr>
            <w:tcW w:w="2268" w:type="dxa"/>
            <w:gridSpan w:val="2"/>
            <w:tcBorders>
              <w:top w:val="nil"/>
              <w:left w:val="nil"/>
              <w:right w:val="nil"/>
            </w:tcBorders>
            <w:shd w:val="clear" w:color="auto" w:fill="FFFFFF" w:themeFill="background1"/>
            <w:vAlign w:val="center"/>
          </w:tcPr>
          <w:p w14:paraId="55BDB155" w14:textId="77777777" w:rsidR="003670E8" w:rsidRPr="00677E16" w:rsidRDefault="003670E8" w:rsidP="00EA194A">
            <w:pPr>
              <w:suppressAutoHyphens w:val="0"/>
              <w:spacing w:line="240" w:lineRule="auto"/>
              <w:jc w:val="center"/>
              <w:rPr>
                <w:rFonts w:eastAsia="Times New Roman"/>
                <w:b/>
                <w:bCs/>
                <w:color w:val="262626"/>
              </w:rPr>
            </w:pPr>
          </w:p>
        </w:tc>
        <w:tc>
          <w:tcPr>
            <w:tcW w:w="1843" w:type="dxa"/>
            <w:tcBorders>
              <w:top w:val="nil"/>
              <w:left w:val="nil"/>
              <w:right w:val="nil"/>
            </w:tcBorders>
            <w:shd w:val="clear" w:color="auto" w:fill="FFFFFF" w:themeFill="background1"/>
          </w:tcPr>
          <w:p w14:paraId="6948DFBF" w14:textId="77777777" w:rsidR="003670E8" w:rsidRPr="00677E16" w:rsidRDefault="003670E8" w:rsidP="00EA194A">
            <w:pPr>
              <w:suppressAutoHyphens w:val="0"/>
              <w:spacing w:line="240" w:lineRule="auto"/>
              <w:rPr>
                <w:rFonts w:eastAsia="Times New Roman"/>
                <w:color w:val="000000"/>
              </w:rPr>
            </w:pPr>
          </w:p>
        </w:tc>
        <w:tc>
          <w:tcPr>
            <w:tcW w:w="1418" w:type="dxa"/>
            <w:tcBorders>
              <w:top w:val="nil"/>
              <w:left w:val="nil"/>
              <w:right w:val="nil"/>
            </w:tcBorders>
            <w:shd w:val="clear" w:color="auto" w:fill="FFFFFF" w:themeFill="background1"/>
          </w:tcPr>
          <w:p w14:paraId="2BBC825F" w14:textId="77777777" w:rsidR="003670E8" w:rsidRPr="00677E16" w:rsidRDefault="003670E8" w:rsidP="00EA194A">
            <w:pPr>
              <w:suppressAutoHyphens w:val="0"/>
              <w:spacing w:line="240" w:lineRule="auto"/>
              <w:rPr>
                <w:rFonts w:eastAsia="Times New Roman"/>
                <w:color w:val="000000"/>
              </w:rPr>
            </w:pPr>
          </w:p>
        </w:tc>
        <w:tc>
          <w:tcPr>
            <w:tcW w:w="1842" w:type="dxa"/>
            <w:tcBorders>
              <w:top w:val="nil"/>
              <w:left w:val="nil"/>
              <w:right w:val="nil"/>
            </w:tcBorders>
            <w:shd w:val="clear" w:color="auto" w:fill="FFFFFF" w:themeFill="background1"/>
          </w:tcPr>
          <w:p w14:paraId="79E24422" w14:textId="77777777" w:rsidR="003670E8" w:rsidRPr="00677E16" w:rsidRDefault="003670E8" w:rsidP="00EA194A">
            <w:pPr>
              <w:suppressAutoHyphens w:val="0"/>
              <w:spacing w:line="240" w:lineRule="auto"/>
              <w:rPr>
                <w:rFonts w:eastAsia="Times New Roman"/>
                <w:color w:val="000000"/>
              </w:rPr>
            </w:pPr>
          </w:p>
        </w:tc>
        <w:tc>
          <w:tcPr>
            <w:tcW w:w="284" w:type="dxa"/>
            <w:tcBorders>
              <w:top w:val="nil"/>
              <w:left w:val="nil"/>
              <w:right w:val="nil"/>
            </w:tcBorders>
            <w:shd w:val="clear" w:color="auto" w:fill="FFFFFF" w:themeFill="background1"/>
            <w:vAlign w:val="center"/>
          </w:tcPr>
          <w:p w14:paraId="785CD372" w14:textId="77777777" w:rsidR="003670E8" w:rsidRPr="00677E16" w:rsidRDefault="003670E8" w:rsidP="00EA194A">
            <w:pPr>
              <w:suppressAutoHyphens w:val="0"/>
              <w:spacing w:line="240" w:lineRule="auto"/>
              <w:rPr>
                <w:rFonts w:eastAsia="Times New Roman"/>
                <w:color w:val="000000"/>
              </w:rPr>
            </w:pPr>
          </w:p>
        </w:tc>
        <w:tc>
          <w:tcPr>
            <w:tcW w:w="1701" w:type="dxa"/>
            <w:tcBorders>
              <w:top w:val="nil"/>
              <w:left w:val="nil"/>
              <w:right w:val="nil"/>
            </w:tcBorders>
            <w:shd w:val="clear" w:color="auto" w:fill="FFFFFF" w:themeFill="background1"/>
          </w:tcPr>
          <w:p w14:paraId="1C28A970" w14:textId="77777777" w:rsidR="003670E8" w:rsidRPr="00677E16" w:rsidRDefault="003670E8" w:rsidP="00EA194A">
            <w:pPr>
              <w:suppressAutoHyphens w:val="0"/>
              <w:spacing w:line="240" w:lineRule="auto"/>
              <w:jc w:val="center"/>
              <w:rPr>
                <w:rFonts w:eastAsia="Times New Roman"/>
                <w:color w:val="000000"/>
              </w:rPr>
            </w:pPr>
            <w:r w:rsidRPr="00677E16">
              <w:rPr>
                <w:color w:val="000000"/>
              </w:rPr>
              <w:t>[Yes. To Host Party]</w:t>
            </w:r>
          </w:p>
        </w:tc>
        <w:tc>
          <w:tcPr>
            <w:tcW w:w="1276" w:type="dxa"/>
            <w:tcBorders>
              <w:top w:val="nil"/>
              <w:left w:val="nil"/>
              <w:right w:val="nil"/>
            </w:tcBorders>
            <w:shd w:val="clear" w:color="auto" w:fill="FFFFFF" w:themeFill="background1"/>
          </w:tcPr>
          <w:p w14:paraId="5EF8EC40" w14:textId="77777777" w:rsidR="003670E8" w:rsidRPr="00677E16" w:rsidRDefault="003670E8" w:rsidP="00EA194A">
            <w:pPr>
              <w:suppressAutoHyphens w:val="0"/>
              <w:spacing w:line="240" w:lineRule="auto"/>
              <w:jc w:val="center"/>
              <w:rPr>
                <w:rFonts w:eastAsia="Times New Roman"/>
                <w:color w:val="000000"/>
              </w:rPr>
            </w:pPr>
            <w:r w:rsidRPr="00677E16">
              <w:rPr>
                <w:color w:val="000000"/>
              </w:rPr>
              <w:t>[No]</w:t>
            </w:r>
          </w:p>
        </w:tc>
        <w:tc>
          <w:tcPr>
            <w:tcW w:w="1275" w:type="dxa"/>
            <w:tcBorders>
              <w:top w:val="nil"/>
              <w:left w:val="nil"/>
              <w:right w:val="nil"/>
            </w:tcBorders>
            <w:shd w:val="clear" w:color="auto" w:fill="FFFFFF" w:themeFill="background1"/>
          </w:tcPr>
          <w:p w14:paraId="0E8C46CB"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134" w:type="dxa"/>
            <w:tcBorders>
              <w:top w:val="nil"/>
              <w:left w:val="nil"/>
              <w:right w:val="nil"/>
            </w:tcBorders>
            <w:shd w:val="clear" w:color="auto" w:fill="FFFFFF" w:themeFill="background1"/>
            <w:noWrap/>
            <w:vAlign w:val="bottom"/>
          </w:tcPr>
          <w:p w14:paraId="368490AB"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245" w:type="dxa"/>
            <w:tcBorders>
              <w:top w:val="nil"/>
              <w:left w:val="nil"/>
              <w:right w:val="nil"/>
            </w:tcBorders>
            <w:shd w:val="clear" w:color="auto" w:fill="FFFFFF" w:themeFill="background1"/>
          </w:tcPr>
          <w:p w14:paraId="16AECF6F"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r w:rsidR="003670E8" w:rsidRPr="00677E16" w14:paraId="297160E7" w14:textId="77777777" w:rsidTr="00EA194A">
        <w:trPr>
          <w:trHeight w:val="528"/>
        </w:trPr>
        <w:tc>
          <w:tcPr>
            <w:tcW w:w="2268" w:type="dxa"/>
            <w:gridSpan w:val="2"/>
            <w:tcBorders>
              <w:left w:val="nil"/>
              <w:bottom w:val="single" w:sz="12" w:space="0" w:color="auto"/>
              <w:right w:val="nil"/>
            </w:tcBorders>
            <w:shd w:val="clear" w:color="auto" w:fill="FFFFFF" w:themeFill="background1"/>
            <w:vAlign w:val="center"/>
          </w:tcPr>
          <w:p w14:paraId="1EC9EF0B" w14:textId="77777777" w:rsidR="003670E8" w:rsidRPr="00677E16" w:rsidRDefault="003670E8" w:rsidP="00EA194A">
            <w:pPr>
              <w:suppressAutoHyphens w:val="0"/>
              <w:spacing w:line="240" w:lineRule="auto"/>
              <w:jc w:val="center"/>
              <w:rPr>
                <w:rFonts w:eastAsia="Times New Roman"/>
                <w:b/>
                <w:bCs/>
                <w:color w:val="262626"/>
              </w:rPr>
            </w:pPr>
          </w:p>
          <w:p w14:paraId="43E43C35" w14:textId="77777777" w:rsidR="003670E8" w:rsidRPr="00677E16" w:rsidRDefault="003670E8" w:rsidP="00EA194A">
            <w:pPr>
              <w:suppressAutoHyphens w:val="0"/>
              <w:spacing w:line="240" w:lineRule="auto"/>
              <w:jc w:val="center"/>
              <w:rPr>
                <w:rFonts w:eastAsia="Times New Roman"/>
                <w:b/>
                <w:bCs/>
                <w:color w:val="262626"/>
              </w:rPr>
            </w:pPr>
            <w:r w:rsidRPr="00677E16">
              <w:rPr>
                <w:rFonts w:eastAsia="Times New Roman"/>
                <w:b/>
                <w:bCs/>
                <w:color w:val="262626"/>
              </w:rPr>
              <w:t> </w:t>
            </w:r>
          </w:p>
        </w:tc>
        <w:tc>
          <w:tcPr>
            <w:tcW w:w="1843" w:type="dxa"/>
            <w:tcBorders>
              <w:left w:val="nil"/>
              <w:bottom w:val="single" w:sz="12" w:space="0" w:color="auto"/>
              <w:right w:val="nil"/>
            </w:tcBorders>
            <w:shd w:val="clear" w:color="auto" w:fill="FFFFFF" w:themeFill="background1"/>
            <w:hideMark/>
          </w:tcPr>
          <w:p w14:paraId="25E69479"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18" w:type="dxa"/>
            <w:tcBorders>
              <w:left w:val="nil"/>
              <w:bottom w:val="single" w:sz="12" w:space="0" w:color="auto"/>
              <w:right w:val="nil"/>
            </w:tcBorders>
            <w:shd w:val="clear" w:color="auto" w:fill="FFFFFF" w:themeFill="background1"/>
            <w:hideMark/>
          </w:tcPr>
          <w:p w14:paraId="19DAA9E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842" w:type="dxa"/>
            <w:tcBorders>
              <w:left w:val="nil"/>
              <w:bottom w:val="single" w:sz="12" w:space="0" w:color="auto"/>
              <w:right w:val="nil"/>
            </w:tcBorders>
            <w:shd w:val="clear" w:color="auto" w:fill="FFFFFF" w:themeFill="background1"/>
            <w:hideMark/>
          </w:tcPr>
          <w:p w14:paraId="74B56C8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84" w:type="dxa"/>
            <w:tcBorders>
              <w:left w:val="nil"/>
              <w:bottom w:val="single" w:sz="12" w:space="0" w:color="auto"/>
              <w:right w:val="nil"/>
            </w:tcBorders>
            <w:shd w:val="clear" w:color="auto" w:fill="FFFFFF" w:themeFill="background1"/>
            <w:vAlign w:val="center"/>
            <w:hideMark/>
          </w:tcPr>
          <w:p w14:paraId="6F11F7F8"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701" w:type="dxa"/>
            <w:tcBorders>
              <w:left w:val="nil"/>
              <w:bottom w:val="single" w:sz="12" w:space="0" w:color="auto"/>
              <w:right w:val="nil"/>
            </w:tcBorders>
            <w:shd w:val="clear" w:color="auto" w:fill="FFFFFF" w:themeFill="background1"/>
            <w:hideMark/>
          </w:tcPr>
          <w:p w14:paraId="1F62DF74"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No</w:t>
            </w:r>
          </w:p>
        </w:tc>
        <w:tc>
          <w:tcPr>
            <w:tcW w:w="1276" w:type="dxa"/>
            <w:tcBorders>
              <w:left w:val="nil"/>
              <w:bottom w:val="single" w:sz="12" w:space="0" w:color="auto"/>
              <w:right w:val="nil"/>
            </w:tcBorders>
            <w:shd w:val="clear" w:color="auto" w:fill="FFFFFF" w:themeFill="background1"/>
            <w:hideMark/>
          </w:tcPr>
          <w:p w14:paraId="2F233072" w14:textId="77777777" w:rsidR="003670E8" w:rsidRPr="00677E16" w:rsidRDefault="003670E8" w:rsidP="00EA194A">
            <w:pPr>
              <w:suppressAutoHyphens w:val="0"/>
              <w:spacing w:line="240" w:lineRule="auto"/>
              <w:jc w:val="center"/>
              <w:rPr>
                <w:rFonts w:eastAsia="Times New Roman"/>
                <w:color w:val="000000"/>
              </w:rPr>
            </w:pPr>
          </w:p>
        </w:tc>
        <w:tc>
          <w:tcPr>
            <w:tcW w:w="1275" w:type="dxa"/>
            <w:tcBorders>
              <w:left w:val="nil"/>
              <w:bottom w:val="single" w:sz="12" w:space="0" w:color="auto"/>
              <w:right w:val="nil"/>
            </w:tcBorders>
            <w:shd w:val="clear" w:color="auto" w:fill="FFFFFF" w:themeFill="background1"/>
          </w:tcPr>
          <w:p w14:paraId="74064DF1"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134" w:type="dxa"/>
            <w:tcBorders>
              <w:left w:val="nil"/>
              <w:bottom w:val="single" w:sz="12" w:space="0" w:color="auto"/>
              <w:right w:val="nil"/>
            </w:tcBorders>
            <w:shd w:val="clear" w:color="auto" w:fill="FFFFFF" w:themeFill="background1"/>
            <w:noWrap/>
            <w:vAlign w:val="bottom"/>
            <w:hideMark/>
          </w:tcPr>
          <w:p w14:paraId="30E91029"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45" w:type="dxa"/>
            <w:tcBorders>
              <w:left w:val="nil"/>
              <w:bottom w:val="single" w:sz="12" w:space="0" w:color="auto"/>
              <w:right w:val="nil"/>
            </w:tcBorders>
            <w:shd w:val="clear" w:color="auto" w:fill="FFFFFF" w:themeFill="background1"/>
          </w:tcPr>
          <w:p w14:paraId="781DC73D"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bl>
    <w:p w14:paraId="7D9F4D90" w14:textId="77777777" w:rsidR="003670E8" w:rsidRPr="00677E16" w:rsidRDefault="003670E8" w:rsidP="003670E8">
      <w:pPr>
        <w:keepNext/>
        <w:spacing w:line="60" w:lineRule="exact"/>
        <w:ind w:left="283" w:right="1134"/>
        <w:jc w:val="both"/>
        <w:sectPr w:rsidR="003670E8" w:rsidRPr="00677E16">
          <w:endnotePr>
            <w:numFmt w:val="lowerLetter"/>
            <w:numRestart w:val="eachSect"/>
          </w:endnotePr>
          <w:type w:val="continuous"/>
          <w:pgSz w:w="16838" w:h="11906" w:orient="landscape" w:code="9"/>
          <w:pgMar w:top="1560" w:right="1134" w:bottom="1134" w:left="1418" w:header="850" w:footer="567" w:gutter="0"/>
          <w:cols w:space="708"/>
          <w:docGrid w:linePitch="360"/>
        </w:sectPr>
      </w:pPr>
    </w:p>
    <w:p w14:paraId="636F90BC" w14:textId="77777777" w:rsidR="003670E8" w:rsidRPr="00677E16" w:rsidRDefault="003670E8" w:rsidP="003670E8">
      <w:pPr>
        <w:suppressAutoHyphens w:val="0"/>
        <w:spacing w:line="240" w:lineRule="auto"/>
      </w:pPr>
      <w:r w:rsidRPr="00677E16">
        <w:br w:type="page"/>
      </w:r>
    </w:p>
    <w:p w14:paraId="4A106D37" w14:textId="77777777" w:rsidR="003670E8" w:rsidRPr="00677E16" w:rsidRDefault="003670E8" w:rsidP="003670E8">
      <w:pPr>
        <w:pStyle w:val="FC2"/>
        <w:spacing w:before="240"/>
        <w:rPr>
          <w:b/>
          <w:bCs/>
        </w:rPr>
      </w:pPr>
      <w:r w:rsidRPr="00677E16">
        <w:lastRenderedPageBreak/>
        <w:t>Table 4</w:t>
      </w:r>
      <w:r w:rsidRPr="00677E16">
        <w:br/>
      </w:r>
      <w:r w:rsidRPr="00677E16">
        <w:rPr>
          <w:b/>
          <w:bCs/>
        </w:rPr>
        <w:t>Holdings</w:t>
      </w:r>
    </w:p>
    <w:tbl>
      <w:tblPr>
        <w:tblW w:w="11745" w:type="dxa"/>
        <w:tblInd w:w="1134" w:type="dxa"/>
        <w:tblLook w:val="04A0" w:firstRow="1" w:lastRow="0" w:firstColumn="1" w:lastColumn="0" w:noHBand="0" w:noVBand="1"/>
      </w:tblPr>
      <w:tblGrid>
        <w:gridCol w:w="1337"/>
        <w:gridCol w:w="1390"/>
        <w:gridCol w:w="1494"/>
        <w:gridCol w:w="1494"/>
        <w:gridCol w:w="1282"/>
        <w:gridCol w:w="354"/>
        <w:gridCol w:w="1014"/>
        <w:gridCol w:w="1410"/>
        <w:gridCol w:w="266"/>
        <w:gridCol w:w="1704"/>
      </w:tblGrid>
      <w:tr w:rsidR="003670E8" w:rsidRPr="00677E16" w14:paraId="41B8B3CB" w14:textId="77777777" w:rsidTr="00EA194A">
        <w:trPr>
          <w:trHeight w:val="305"/>
        </w:trPr>
        <w:tc>
          <w:tcPr>
            <w:tcW w:w="1343" w:type="dxa"/>
            <w:vMerge w:val="restart"/>
            <w:tcBorders>
              <w:top w:val="single" w:sz="6" w:space="0" w:color="auto"/>
              <w:left w:val="nil"/>
              <w:bottom w:val="single" w:sz="4" w:space="0" w:color="auto"/>
              <w:right w:val="nil"/>
            </w:tcBorders>
            <w:shd w:val="clear" w:color="auto" w:fill="FFFFFF" w:themeFill="background1"/>
            <w:vAlign w:val="bottom"/>
            <w:hideMark/>
          </w:tcPr>
          <w:p w14:paraId="733AA68D"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Cooperative approach ID</w:t>
            </w:r>
            <w:r w:rsidRPr="00677E16">
              <w:rPr>
                <w:rFonts w:eastAsia="Times New Roman"/>
                <w:i/>
                <w:iCs/>
                <w:color w:val="262626" w:themeColor="text1" w:themeTint="D9"/>
                <w:sz w:val="16"/>
                <w:szCs w:val="16"/>
                <w:vertAlign w:val="superscript"/>
                <w:lang w:val="en-US"/>
              </w:rPr>
              <w:t>a</w:t>
            </w:r>
          </w:p>
        </w:tc>
        <w:tc>
          <w:tcPr>
            <w:tcW w:w="1390" w:type="dxa"/>
            <w:tcBorders>
              <w:top w:val="single" w:sz="6" w:space="0" w:color="auto"/>
              <w:left w:val="nil"/>
              <w:right w:val="nil"/>
            </w:tcBorders>
            <w:shd w:val="clear" w:color="auto" w:fill="FFFFFF" w:themeFill="background1"/>
            <w:vAlign w:val="bottom"/>
            <w:hideMark/>
          </w:tcPr>
          <w:p w14:paraId="2C146BAE" w14:textId="77777777" w:rsidR="003670E8" w:rsidRPr="00677E16" w:rsidRDefault="003670E8" w:rsidP="00EA194A">
            <w:pPr>
              <w:suppressAutoHyphens w:val="0"/>
              <w:spacing w:line="240" w:lineRule="auto"/>
              <w:rPr>
                <w:rFonts w:eastAsia="Times New Roman"/>
                <w:b/>
                <w:bCs/>
                <w:i/>
                <w:iCs/>
                <w:color w:val="262626"/>
                <w:sz w:val="16"/>
                <w:szCs w:val="16"/>
              </w:rPr>
            </w:pPr>
            <w:r w:rsidRPr="00677E16">
              <w:rPr>
                <w:rFonts w:eastAsia="Times New Roman"/>
                <w:b/>
                <w:bCs/>
                <w:i/>
                <w:iCs/>
                <w:color w:val="262626"/>
                <w:sz w:val="16"/>
                <w:szCs w:val="16"/>
              </w:rPr>
              <w:t> </w:t>
            </w:r>
          </w:p>
        </w:tc>
        <w:tc>
          <w:tcPr>
            <w:tcW w:w="9012" w:type="dxa"/>
            <w:gridSpan w:val="8"/>
            <w:tcBorders>
              <w:top w:val="single" w:sz="6" w:space="0" w:color="auto"/>
              <w:left w:val="nil"/>
              <w:right w:val="nil"/>
            </w:tcBorders>
            <w:shd w:val="clear" w:color="auto" w:fill="FFFFFF" w:themeFill="background1"/>
            <w:noWrap/>
            <w:vAlign w:val="bottom"/>
            <w:hideMark/>
          </w:tcPr>
          <w:p w14:paraId="2673C0D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w:t>
            </w:r>
          </w:p>
        </w:tc>
      </w:tr>
      <w:tr w:rsidR="003670E8" w:rsidRPr="00677E16" w14:paraId="6655DFB6" w14:textId="77777777" w:rsidTr="00EA194A">
        <w:trPr>
          <w:trHeight w:val="67"/>
        </w:trPr>
        <w:tc>
          <w:tcPr>
            <w:tcW w:w="1343" w:type="dxa"/>
            <w:vMerge/>
            <w:tcBorders>
              <w:bottom w:val="single" w:sz="4" w:space="0" w:color="auto"/>
            </w:tcBorders>
            <w:vAlign w:val="center"/>
            <w:hideMark/>
          </w:tcPr>
          <w:p w14:paraId="65D6507B" w14:textId="77777777" w:rsidR="003670E8" w:rsidRPr="00677E16" w:rsidRDefault="003670E8" w:rsidP="00EA194A">
            <w:pPr>
              <w:suppressAutoHyphens w:val="0"/>
              <w:spacing w:line="240" w:lineRule="auto"/>
              <w:rPr>
                <w:rFonts w:eastAsia="Times New Roman"/>
                <w:i/>
                <w:iCs/>
                <w:color w:val="262626"/>
                <w:sz w:val="16"/>
                <w:szCs w:val="16"/>
              </w:rPr>
            </w:pPr>
          </w:p>
        </w:tc>
        <w:tc>
          <w:tcPr>
            <w:tcW w:w="5660" w:type="dxa"/>
            <w:gridSpan w:val="4"/>
            <w:tcBorders>
              <w:left w:val="nil"/>
              <w:bottom w:val="single" w:sz="4" w:space="0" w:color="auto"/>
              <w:right w:val="nil"/>
            </w:tcBorders>
            <w:shd w:val="clear" w:color="auto" w:fill="FFFFFF" w:themeFill="background1"/>
            <w:noWrap/>
            <w:vAlign w:val="bottom"/>
            <w:hideMark/>
          </w:tcPr>
          <w:p w14:paraId="69DA617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Unique identifiers</w:t>
            </w:r>
          </w:p>
        </w:tc>
        <w:tc>
          <w:tcPr>
            <w:tcW w:w="354" w:type="dxa"/>
            <w:tcBorders>
              <w:left w:val="nil"/>
              <w:bottom w:val="nil"/>
              <w:right w:val="nil"/>
            </w:tcBorders>
            <w:shd w:val="clear" w:color="auto" w:fill="FFFFFF" w:themeFill="background1"/>
            <w:noWrap/>
            <w:vAlign w:val="bottom"/>
            <w:hideMark/>
          </w:tcPr>
          <w:p w14:paraId="79D8EEF5"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014" w:type="dxa"/>
            <w:tcBorders>
              <w:left w:val="nil"/>
              <w:bottom w:val="nil"/>
              <w:right w:val="nil"/>
            </w:tcBorders>
            <w:shd w:val="clear" w:color="auto" w:fill="FFFFFF" w:themeFill="background1"/>
            <w:noWrap/>
            <w:vAlign w:val="bottom"/>
            <w:hideMark/>
          </w:tcPr>
          <w:p w14:paraId="12543514"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410" w:type="dxa"/>
            <w:tcBorders>
              <w:left w:val="nil"/>
              <w:bottom w:val="nil"/>
              <w:right w:val="nil"/>
            </w:tcBorders>
            <w:shd w:val="clear" w:color="auto" w:fill="FFFFFF" w:themeFill="background1"/>
            <w:noWrap/>
            <w:vAlign w:val="bottom"/>
            <w:hideMark/>
          </w:tcPr>
          <w:p w14:paraId="4384EE59"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260" w:type="dxa"/>
            <w:tcBorders>
              <w:left w:val="nil"/>
              <w:bottom w:val="single" w:sz="4" w:space="0" w:color="auto"/>
              <w:right w:val="nil"/>
            </w:tcBorders>
            <w:shd w:val="clear" w:color="auto" w:fill="FFFFFF" w:themeFill="background1"/>
            <w:noWrap/>
            <w:vAlign w:val="bottom"/>
            <w:hideMark/>
          </w:tcPr>
          <w:p w14:paraId="5DB89B01"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704" w:type="dxa"/>
            <w:tcBorders>
              <w:left w:val="nil"/>
              <w:bottom w:val="single" w:sz="4" w:space="0" w:color="auto"/>
              <w:right w:val="nil"/>
            </w:tcBorders>
            <w:shd w:val="clear" w:color="auto" w:fill="FFFFFF" w:themeFill="background1"/>
            <w:noWrap/>
            <w:vAlign w:val="bottom"/>
            <w:hideMark/>
          </w:tcPr>
          <w:p w14:paraId="0E1F6AEE"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r>
      <w:tr w:rsidR="003670E8" w:rsidRPr="00677E16" w14:paraId="174C9B39" w14:textId="77777777" w:rsidTr="00EA194A">
        <w:trPr>
          <w:trHeight w:val="305"/>
        </w:trPr>
        <w:tc>
          <w:tcPr>
            <w:tcW w:w="1343" w:type="dxa"/>
            <w:vMerge/>
            <w:tcBorders>
              <w:bottom w:val="single" w:sz="4" w:space="0" w:color="auto"/>
            </w:tcBorders>
            <w:vAlign w:val="center"/>
            <w:hideMark/>
          </w:tcPr>
          <w:p w14:paraId="07742C40" w14:textId="77777777" w:rsidR="003670E8" w:rsidRPr="00677E16" w:rsidRDefault="003670E8" w:rsidP="00EA194A">
            <w:pPr>
              <w:suppressAutoHyphens w:val="0"/>
              <w:spacing w:line="240" w:lineRule="auto"/>
              <w:rPr>
                <w:rFonts w:eastAsia="Times New Roman"/>
                <w:i/>
                <w:iCs/>
                <w:color w:val="262626"/>
                <w:sz w:val="16"/>
                <w:szCs w:val="16"/>
              </w:rPr>
            </w:pPr>
          </w:p>
        </w:tc>
        <w:tc>
          <w:tcPr>
            <w:tcW w:w="1390" w:type="dxa"/>
            <w:tcBorders>
              <w:top w:val="nil"/>
              <w:left w:val="nil"/>
              <w:bottom w:val="nil"/>
              <w:right w:val="nil"/>
            </w:tcBorders>
            <w:shd w:val="clear" w:color="auto" w:fill="FFFFFF" w:themeFill="background1"/>
            <w:noWrap/>
            <w:vAlign w:val="bottom"/>
            <w:hideMark/>
          </w:tcPr>
          <w:p w14:paraId="0ED252A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94" w:type="dxa"/>
            <w:vMerge w:val="restart"/>
            <w:tcBorders>
              <w:top w:val="single" w:sz="4" w:space="0" w:color="auto"/>
              <w:left w:val="nil"/>
              <w:bottom w:val="single" w:sz="4" w:space="0" w:color="auto"/>
              <w:right w:val="nil"/>
            </w:tcBorders>
            <w:shd w:val="clear" w:color="auto" w:fill="FFFFFF" w:themeFill="background1"/>
            <w:vAlign w:val="bottom"/>
            <w:hideMark/>
          </w:tcPr>
          <w:p w14:paraId="35B92AAE"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Authorization ID</w:t>
            </w:r>
            <w:r w:rsidRPr="00677E16">
              <w:rPr>
                <w:rFonts w:eastAsia="Times New Roman"/>
                <w:i/>
                <w:iCs/>
                <w:color w:val="262626" w:themeColor="text1" w:themeTint="D9"/>
                <w:sz w:val="16"/>
                <w:szCs w:val="16"/>
                <w:vertAlign w:val="superscript"/>
                <w:lang w:val="en-US"/>
              </w:rPr>
              <w:t>c</w:t>
            </w:r>
          </w:p>
        </w:tc>
        <w:tc>
          <w:tcPr>
            <w:tcW w:w="2776" w:type="dxa"/>
            <w:gridSpan w:val="2"/>
            <w:tcBorders>
              <w:top w:val="single" w:sz="4" w:space="0" w:color="auto"/>
              <w:left w:val="nil"/>
              <w:bottom w:val="single" w:sz="4" w:space="0" w:color="auto"/>
              <w:right w:val="nil"/>
            </w:tcBorders>
            <w:shd w:val="clear" w:color="auto" w:fill="FFFFFF" w:themeFill="background1"/>
            <w:vAlign w:val="bottom"/>
            <w:hideMark/>
          </w:tcPr>
          <w:p w14:paraId="1BA72B88"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 unique identifier</w:t>
            </w:r>
            <w:r w:rsidRPr="00677E16">
              <w:rPr>
                <w:rFonts w:eastAsia="Times New Roman"/>
                <w:i/>
                <w:iCs/>
                <w:color w:val="262626"/>
                <w:sz w:val="16"/>
                <w:szCs w:val="16"/>
                <w:vertAlign w:val="superscript"/>
              </w:rPr>
              <w:t>d</w:t>
            </w:r>
          </w:p>
        </w:tc>
        <w:tc>
          <w:tcPr>
            <w:tcW w:w="354" w:type="dxa"/>
            <w:tcBorders>
              <w:top w:val="nil"/>
              <w:left w:val="nil"/>
              <w:bottom w:val="nil"/>
              <w:right w:val="nil"/>
            </w:tcBorders>
            <w:shd w:val="clear" w:color="auto" w:fill="FFFFFF" w:themeFill="background1"/>
            <w:noWrap/>
            <w:vAlign w:val="bottom"/>
            <w:hideMark/>
          </w:tcPr>
          <w:p w14:paraId="773DBD78"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2424" w:type="dxa"/>
            <w:gridSpan w:val="2"/>
            <w:tcBorders>
              <w:top w:val="single" w:sz="4" w:space="0" w:color="auto"/>
              <w:left w:val="nil"/>
              <w:bottom w:val="single" w:sz="4" w:space="0" w:color="auto"/>
              <w:right w:val="nil"/>
            </w:tcBorders>
            <w:shd w:val="clear" w:color="auto" w:fill="FFFFFF" w:themeFill="background1"/>
            <w:vAlign w:val="bottom"/>
            <w:hideMark/>
          </w:tcPr>
          <w:p w14:paraId="169AA639"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Underlying units</w:t>
            </w:r>
          </w:p>
        </w:tc>
        <w:tc>
          <w:tcPr>
            <w:tcW w:w="260" w:type="dxa"/>
            <w:tcBorders>
              <w:top w:val="nil"/>
              <w:left w:val="nil"/>
              <w:bottom w:val="single" w:sz="4" w:space="0" w:color="auto"/>
              <w:right w:val="nil"/>
            </w:tcBorders>
            <w:shd w:val="clear" w:color="auto" w:fill="FFFFFF" w:themeFill="background1"/>
            <w:vAlign w:val="bottom"/>
            <w:hideMark/>
          </w:tcPr>
          <w:p w14:paraId="45E79579"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1704" w:type="dxa"/>
            <w:tcBorders>
              <w:top w:val="nil"/>
              <w:left w:val="nil"/>
              <w:bottom w:val="single" w:sz="4" w:space="0" w:color="auto"/>
              <w:right w:val="nil"/>
            </w:tcBorders>
            <w:shd w:val="clear" w:color="auto" w:fill="FFFFFF" w:themeFill="background1"/>
            <w:vAlign w:val="bottom"/>
            <w:hideMark/>
          </w:tcPr>
          <w:p w14:paraId="605E28B5"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r>
      <w:tr w:rsidR="003670E8" w:rsidRPr="00677E16" w14:paraId="79ABD21A" w14:textId="77777777" w:rsidTr="00EA194A">
        <w:trPr>
          <w:trHeight w:val="215"/>
        </w:trPr>
        <w:tc>
          <w:tcPr>
            <w:tcW w:w="1343" w:type="dxa"/>
            <w:vMerge/>
            <w:tcBorders>
              <w:bottom w:val="single" w:sz="4" w:space="0" w:color="auto"/>
            </w:tcBorders>
            <w:vAlign w:val="center"/>
            <w:hideMark/>
          </w:tcPr>
          <w:p w14:paraId="70EB89A9" w14:textId="77777777" w:rsidR="003670E8" w:rsidRPr="00677E16" w:rsidRDefault="003670E8" w:rsidP="00EA194A">
            <w:pPr>
              <w:suppressAutoHyphens w:val="0"/>
              <w:spacing w:line="240" w:lineRule="auto"/>
              <w:rPr>
                <w:rFonts w:eastAsia="Times New Roman"/>
                <w:i/>
                <w:iCs/>
                <w:color w:val="262626"/>
                <w:sz w:val="16"/>
                <w:szCs w:val="16"/>
              </w:rPr>
            </w:pPr>
          </w:p>
        </w:tc>
        <w:tc>
          <w:tcPr>
            <w:tcW w:w="1390" w:type="dxa"/>
            <w:tcBorders>
              <w:top w:val="nil"/>
              <w:left w:val="nil"/>
              <w:bottom w:val="nil"/>
              <w:right w:val="nil"/>
            </w:tcBorders>
            <w:shd w:val="clear" w:color="auto" w:fill="FFFFFF" w:themeFill="background1"/>
            <w:noWrap/>
            <w:vAlign w:val="bottom"/>
            <w:hideMark/>
          </w:tcPr>
          <w:p w14:paraId="170CFBD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494" w:type="dxa"/>
            <w:vMerge/>
            <w:tcBorders>
              <w:bottom w:val="single" w:sz="4" w:space="0" w:color="auto"/>
            </w:tcBorders>
            <w:vAlign w:val="center"/>
            <w:hideMark/>
          </w:tcPr>
          <w:p w14:paraId="6825A8FD" w14:textId="77777777" w:rsidR="003670E8" w:rsidRPr="00677E16" w:rsidRDefault="003670E8" w:rsidP="00EA194A">
            <w:pPr>
              <w:suppressAutoHyphens w:val="0"/>
              <w:spacing w:line="240" w:lineRule="auto"/>
              <w:rPr>
                <w:rFonts w:eastAsia="Times New Roman"/>
                <w:i/>
                <w:iCs/>
                <w:color w:val="262626"/>
                <w:sz w:val="16"/>
                <w:szCs w:val="16"/>
              </w:rPr>
            </w:pPr>
          </w:p>
        </w:tc>
        <w:tc>
          <w:tcPr>
            <w:tcW w:w="2776" w:type="dxa"/>
            <w:gridSpan w:val="2"/>
            <w:tcBorders>
              <w:top w:val="single" w:sz="4" w:space="0" w:color="auto"/>
              <w:left w:val="nil"/>
              <w:right w:val="nil"/>
            </w:tcBorders>
            <w:shd w:val="clear" w:color="auto" w:fill="FFFFFF" w:themeFill="background1"/>
            <w:vAlign w:val="bottom"/>
            <w:hideMark/>
          </w:tcPr>
          <w:p w14:paraId="07D0DBDD" w14:textId="77777777" w:rsidR="003670E8" w:rsidRPr="00677E16" w:rsidRDefault="003670E8" w:rsidP="00EA194A">
            <w:pPr>
              <w:suppressAutoHyphens w:val="0"/>
              <w:spacing w:line="240" w:lineRule="auto"/>
              <w:rPr>
                <w:rFonts w:eastAsia="Times New Roman"/>
                <w:i/>
                <w:iCs/>
                <w:color w:val="262626"/>
                <w:sz w:val="16"/>
                <w:szCs w:val="16"/>
              </w:rPr>
            </w:pPr>
          </w:p>
        </w:tc>
        <w:tc>
          <w:tcPr>
            <w:tcW w:w="354" w:type="dxa"/>
            <w:tcBorders>
              <w:top w:val="nil"/>
              <w:left w:val="nil"/>
              <w:bottom w:val="nil"/>
              <w:right w:val="nil"/>
            </w:tcBorders>
            <w:shd w:val="clear" w:color="auto" w:fill="FFFFFF" w:themeFill="background1"/>
            <w:noWrap/>
            <w:vAlign w:val="bottom"/>
            <w:hideMark/>
          </w:tcPr>
          <w:p w14:paraId="728F5A9D"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2424" w:type="dxa"/>
            <w:gridSpan w:val="2"/>
            <w:tcBorders>
              <w:top w:val="single" w:sz="4" w:space="0" w:color="auto"/>
              <w:left w:val="nil"/>
              <w:bottom w:val="single" w:sz="4" w:space="0" w:color="auto"/>
              <w:right w:val="nil"/>
            </w:tcBorders>
            <w:shd w:val="clear" w:color="auto" w:fill="FFFFFF" w:themeFill="background1"/>
            <w:vAlign w:val="bottom"/>
            <w:hideMark/>
          </w:tcPr>
          <w:p w14:paraId="0094351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Underlying unit unique identifier</w:t>
            </w:r>
            <w:r w:rsidRPr="00677E16">
              <w:rPr>
                <w:rFonts w:eastAsia="Times New Roman"/>
                <w:i/>
                <w:iCs/>
                <w:color w:val="262626"/>
                <w:sz w:val="16"/>
                <w:szCs w:val="16"/>
                <w:vertAlign w:val="superscript"/>
              </w:rPr>
              <w:t>e</w:t>
            </w:r>
          </w:p>
        </w:tc>
        <w:tc>
          <w:tcPr>
            <w:tcW w:w="260" w:type="dxa"/>
            <w:tcBorders>
              <w:top w:val="nil"/>
              <w:left w:val="nil"/>
              <w:bottom w:val="nil"/>
              <w:right w:val="nil"/>
            </w:tcBorders>
            <w:shd w:val="clear" w:color="auto" w:fill="FFFFFF" w:themeFill="background1"/>
            <w:vAlign w:val="bottom"/>
            <w:hideMark/>
          </w:tcPr>
          <w:p w14:paraId="50C691F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704" w:type="dxa"/>
            <w:tcBorders>
              <w:top w:val="nil"/>
              <w:left w:val="nil"/>
              <w:bottom w:val="nil"/>
              <w:right w:val="nil"/>
            </w:tcBorders>
            <w:shd w:val="clear" w:color="auto" w:fill="FFFFFF" w:themeFill="background1"/>
            <w:vAlign w:val="bottom"/>
            <w:hideMark/>
          </w:tcPr>
          <w:p w14:paraId="6CD9C6C8"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r>
      <w:tr w:rsidR="003670E8" w:rsidRPr="00677E16" w14:paraId="52A360AC" w14:textId="77777777" w:rsidTr="00EA194A">
        <w:trPr>
          <w:trHeight w:val="267"/>
        </w:trPr>
        <w:tc>
          <w:tcPr>
            <w:tcW w:w="1343" w:type="dxa"/>
            <w:vMerge/>
            <w:tcBorders>
              <w:bottom w:val="single" w:sz="4" w:space="0" w:color="auto"/>
            </w:tcBorders>
            <w:vAlign w:val="center"/>
            <w:hideMark/>
          </w:tcPr>
          <w:p w14:paraId="4FA81B91" w14:textId="77777777" w:rsidR="003670E8" w:rsidRPr="00677E16" w:rsidRDefault="003670E8" w:rsidP="00EA194A">
            <w:pPr>
              <w:suppressAutoHyphens w:val="0"/>
              <w:spacing w:line="240" w:lineRule="auto"/>
              <w:rPr>
                <w:rFonts w:eastAsia="Times New Roman"/>
                <w:i/>
                <w:iCs/>
                <w:color w:val="262626"/>
                <w:sz w:val="16"/>
                <w:szCs w:val="16"/>
              </w:rPr>
            </w:pPr>
          </w:p>
        </w:tc>
        <w:tc>
          <w:tcPr>
            <w:tcW w:w="1390" w:type="dxa"/>
            <w:tcBorders>
              <w:top w:val="nil"/>
              <w:left w:val="nil"/>
              <w:bottom w:val="single" w:sz="8" w:space="0" w:color="auto"/>
              <w:right w:val="nil"/>
            </w:tcBorders>
            <w:shd w:val="clear" w:color="auto" w:fill="FFFFFF" w:themeFill="background1"/>
            <w:vAlign w:val="bottom"/>
            <w:hideMark/>
          </w:tcPr>
          <w:p w14:paraId="7F3667B5"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Party ITMO registry ID</w:t>
            </w:r>
            <w:r w:rsidRPr="00677E16">
              <w:rPr>
                <w:rFonts w:eastAsia="Times New Roman"/>
                <w:i/>
                <w:iCs/>
                <w:color w:val="262626" w:themeColor="text1" w:themeTint="D9"/>
                <w:sz w:val="16"/>
                <w:szCs w:val="16"/>
                <w:vertAlign w:val="superscript"/>
                <w:lang w:val="en-US"/>
              </w:rPr>
              <w:t>b</w:t>
            </w:r>
          </w:p>
        </w:tc>
        <w:tc>
          <w:tcPr>
            <w:tcW w:w="1494" w:type="dxa"/>
            <w:vMerge/>
            <w:tcBorders>
              <w:bottom w:val="single" w:sz="4" w:space="0" w:color="auto"/>
            </w:tcBorders>
            <w:vAlign w:val="center"/>
            <w:hideMark/>
          </w:tcPr>
          <w:p w14:paraId="65358961" w14:textId="77777777" w:rsidR="003670E8" w:rsidRPr="00677E16" w:rsidRDefault="003670E8" w:rsidP="00EA194A">
            <w:pPr>
              <w:suppressAutoHyphens w:val="0"/>
              <w:spacing w:line="240" w:lineRule="auto"/>
              <w:rPr>
                <w:rFonts w:eastAsia="Times New Roman"/>
                <w:i/>
                <w:iCs/>
                <w:color w:val="262626"/>
                <w:sz w:val="16"/>
                <w:szCs w:val="16"/>
              </w:rPr>
            </w:pPr>
          </w:p>
        </w:tc>
        <w:tc>
          <w:tcPr>
            <w:tcW w:w="1494" w:type="dxa"/>
            <w:tcBorders>
              <w:left w:val="nil"/>
              <w:bottom w:val="single" w:sz="8" w:space="0" w:color="auto"/>
              <w:right w:val="nil"/>
            </w:tcBorders>
            <w:shd w:val="clear" w:color="auto" w:fill="FFFFFF" w:themeFill="background1"/>
            <w:vAlign w:val="bottom"/>
            <w:hideMark/>
          </w:tcPr>
          <w:p w14:paraId="51E44D8A"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ID</w:t>
            </w:r>
          </w:p>
        </w:tc>
        <w:tc>
          <w:tcPr>
            <w:tcW w:w="1282" w:type="dxa"/>
            <w:tcBorders>
              <w:left w:val="nil"/>
              <w:bottom w:val="single" w:sz="8" w:space="0" w:color="auto"/>
              <w:right w:val="nil"/>
            </w:tcBorders>
            <w:shd w:val="clear" w:color="auto" w:fill="FFFFFF" w:themeFill="background1"/>
            <w:vAlign w:val="bottom"/>
            <w:hideMark/>
          </w:tcPr>
          <w:p w14:paraId="3E7F984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Last ID</w:t>
            </w:r>
          </w:p>
        </w:tc>
        <w:tc>
          <w:tcPr>
            <w:tcW w:w="354" w:type="dxa"/>
            <w:tcBorders>
              <w:top w:val="nil"/>
              <w:left w:val="nil"/>
              <w:bottom w:val="single" w:sz="8" w:space="0" w:color="auto"/>
              <w:right w:val="nil"/>
            </w:tcBorders>
            <w:shd w:val="clear" w:color="auto" w:fill="FFFFFF" w:themeFill="background1"/>
            <w:vAlign w:val="bottom"/>
            <w:hideMark/>
          </w:tcPr>
          <w:p w14:paraId="400199E9"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014" w:type="dxa"/>
            <w:tcBorders>
              <w:top w:val="nil"/>
              <w:left w:val="nil"/>
              <w:bottom w:val="single" w:sz="8" w:space="0" w:color="auto"/>
              <w:right w:val="nil"/>
            </w:tcBorders>
            <w:shd w:val="clear" w:color="auto" w:fill="FFFFFF" w:themeFill="background1"/>
            <w:vAlign w:val="bottom"/>
            <w:hideMark/>
          </w:tcPr>
          <w:p w14:paraId="187A496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ID</w:t>
            </w:r>
          </w:p>
        </w:tc>
        <w:tc>
          <w:tcPr>
            <w:tcW w:w="1410" w:type="dxa"/>
            <w:tcBorders>
              <w:top w:val="nil"/>
              <w:left w:val="nil"/>
              <w:bottom w:val="single" w:sz="8" w:space="0" w:color="auto"/>
              <w:right w:val="nil"/>
            </w:tcBorders>
            <w:shd w:val="clear" w:color="auto" w:fill="FFFFFF" w:themeFill="background1"/>
            <w:vAlign w:val="bottom"/>
            <w:hideMark/>
          </w:tcPr>
          <w:p w14:paraId="265DB78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Last ID</w:t>
            </w:r>
          </w:p>
        </w:tc>
        <w:tc>
          <w:tcPr>
            <w:tcW w:w="260" w:type="dxa"/>
            <w:tcBorders>
              <w:top w:val="nil"/>
              <w:left w:val="nil"/>
              <w:bottom w:val="nil"/>
              <w:right w:val="nil"/>
            </w:tcBorders>
            <w:shd w:val="clear" w:color="auto" w:fill="FFFFFF" w:themeFill="background1"/>
            <w:noWrap/>
            <w:vAlign w:val="bottom"/>
            <w:hideMark/>
          </w:tcPr>
          <w:p w14:paraId="74566CBD"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704" w:type="dxa"/>
            <w:tcBorders>
              <w:top w:val="nil"/>
              <w:left w:val="nil"/>
              <w:bottom w:val="single" w:sz="8" w:space="0" w:color="auto"/>
              <w:right w:val="nil"/>
            </w:tcBorders>
            <w:shd w:val="clear" w:color="auto" w:fill="FFFFFF" w:themeFill="background1"/>
            <w:vAlign w:val="bottom"/>
            <w:hideMark/>
          </w:tcPr>
          <w:p w14:paraId="32967F6E"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Underlying unit registry ID</w:t>
            </w:r>
            <w:r w:rsidRPr="00677E16">
              <w:rPr>
                <w:rFonts w:eastAsia="Times New Roman"/>
                <w:i/>
                <w:iCs/>
                <w:color w:val="262626" w:themeColor="text1" w:themeTint="D9"/>
                <w:sz w:val="16"/>
                <w:szCs w:val="16"/>
                <w:vertAlign w:val="superscript"/>
                <w:lang w:val="en-US"/>
              </w:rPr>
              <w:t>f</w:t>
            </w:r>
          </w:p>
        </w:tc>
      </w:tr>
      <w:tr w:rsidR="003670E8" w:rsidRPr="00677E16" w14:paraId="2DE32D26" w14:textId="77777777" w:rsidTr="00EA194A">
        <w:trPr>
          <w:trHeight w:val="559"/>
        </w:trPr>
        <w:tc>
          <w:tcPr>
            <w:tcW w:w="1343" w:type="dxa"/>
            <w:tcBorders>
              <w:top w:val="single" w:sz="4" w:space="0" w:color="auto"/>
              <w:left w:val="nil"/>
              <w:right w:val="nil"/>
            </w:tcBorders>
            <w:shd w:val="clear" w:color="auto" w:fill="FFFFFF" w:themeFill="background1"/>
            <w:vAlign w:val="center"/>
            <w:hideMark/>
          </w:tcPr>
          <w:p w14:paraId="60C08BC9"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390" w:type="dxa"/>
            <w:tcBorders>
              <w:top w:val="nil"/>
              <w:left w:val="nil"/>
              <w:right w:val="nil"/>
            </w:tcBorders>
            <w:shd w:val="clear" w:color="auto" w:fill="FFFFFF" w:themeFill="background1"/>
            <w:vAlign w:val="center"/>
            <w:hideMark/>
          </w:tcPr>
          <w:p w14:paraId="55BF8E09"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494" w:type="dxa"/>
            <w:tcBorders>
              <w:top w:val="single" w:sz="4" w:space="0" w:color="auto"/>
              <w:left w:val="nil"/>
              <w:right w:val="nil"/>
            </w:tcBorders>
            <w:shd w:val="clear" w:color="auto" w:fill="FFFFFF" w:themeFill="background1"/>
            <w:vAlign w:val="center"/>
            <w:hideMark/>
          </w:tcPr>
          <w:p w14:paraId="30B8DE51"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494" w:type="dxa"/>
            <w:tcBorders>
              <w:top w:val="nil"/>
              <w:left w:val="nil"/>
              <w:right w:val="nil"/>
            </w:tcBorders>
            <w:shd w:val="clear" w:color="auto" w:fill="FFFFFF" w:themeFill="background1"/>
            <w:vAlign w:val="center"/>
            <w:hideMark/>
          </w:tcPr>
          <w:p w14:paraId="3F35843F"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282" w:type="dxa"/>
            <w:tcBorders>
              <w:top w:val="nil"/>
              <w:left w:val="nil"/>
              <w:right w:val="nil"/>
            </w:tcBorders>
            <w:shd w:val="clear" w:color="auto" w:fill="FFFFFF" w:themeFill="background1"/>
            <w:noWrap/>
            <w:vAlign w:val="center"/>
            <w:hideMark/>
          </w:tcPr>
          <w:p w14:paraId="031F2EEB" w14:textId="77777777" w:rsidR="003670E8" w:rsidRPr="00677E16" w:rsidRDefault="003670E8" w:rsidP="00EA194A">
            <w:pPr>
              <w:suppressAutoHyphens w:val="0"/>
              <w:spacing w:line="240" w:lineRule="auto"/>
              <w:rPr>
                <w:rFonts w:eastAsia="Times New Roman"/>
                <w:color w:val="000000"/>
              </w:rPr>
            </w:pPr>
          </w:p>
        </w:tc>
        <w:tc>
          <w:tcPr>
            <w:tcW w:w="354" w:type="dxa"/>
            <w:tcBorders>
              <w:top w:val="nil"/>
              <w:left w:val="nil"/>
              <w:right w:val="nil"/>
            </w:tcBorders>
            <w:shd w:val="clear" w:color="auto" w:fill="FFFFFF" w:themeFill="background1"/>
            <w:vAlign w:val="center"/>
            <w:hideMark/>
          </w:tcPr>
          <w:p w14:paraId="5E57B287"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014" w:type="dxa"/>
            <w:tcBorders>
              <w:top w:val="nil"/>
              <w:left w:val="nil"/>
              <w:right w:val="nil"/>
            </w:tcBorders>
            <w:shd w:val="clear" w:color="auto" w:fill="FFFFFF" w:themeFill="background1"/>
            <w:vAlign w:val="center"/>
            <w:hideMark/>
          </w:tcPr>
          <w:p w14:paraId="6568D7FC"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10" w:type="dxa"/>
            <w:tcBorders>
              <w:top w:val="nil"/>
              <w:left w:val="nil"/>
              <w:right w:val="nil"/>
            </w:tcBorders>
            <w:shd w:val="clear" w:color="auto" w:fill="FFFFFF" w:themeFill="background1"/>
            <w:vAlign w:val="center"/>
            <w:hideMark/>
          </w:tcPr>
          <w:p w14:paraId="0232C175"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60" w:type="dxa"/>
            <w:tcBorders>
              <w:top w:val="single" w:sz="8" w:space="0" w:color="auto"/>
              <w:left w:val="nil"/>
              <w:right w:val="nil"/>
            </w:tcBorders>
            <w:shd w:val="clear" w:color="auto" w:fill="FFFFFF" w:themeFill="background1"/>
            <w:vAlign w:val="center"/>
            <w:hideMark/>
          </w:tcPr>
          <w:p w14:paraId="70344FFC"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704" w:type="dxa"/>
            <w:tcBorders>
              <w:top w:val="nil"/>
              <w:left w:val="nil"/>
              <w:right w:val="nil"/>
            </w:tcBorders>
            <w:shd w:val="clear" w:color="auto" w:fill="FFFFFF" w:themeFill="background1"/>
            <w:vAlign w:val="center"/>
            <w:hideMark/>
          </w:tcPr>
          <w:p w14:paraId="21ED7661"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r>
      <w:tr w:rsidR="003670E8" w:rsidRPr="00677E16" w14:paraId="279DF66F" w14:textId="77777777" w:rsidTr="00EA194A">
        <w:trPr>
          <w:trHeight w:val="63"/>
        </w:trPr>
        <w:tc>
          <w:tcPr>
            <w:tcW w:w="1343" w:type="dxa"/>
            <w:tcBorders>
              <w:top w:val="nil"/>
              <w:left w:val="nil"/>
              <w:bottom w:val="single" w:sz="12" w:space="0" w:color="auto"/>
              <w:right w:val="nil"/>
            </w:tcBorders>
            <w:shd w:val="clear" w:color="auto" w:fill="FFFFFF" w:themeFill="background1"/>
            <w:vAlign w:val="center"/>
            <w:hideMark/>
          </w:tcPr>
          <w:p w14:paraId="7F47D056"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390" w:type="dxa"/>
            <w:tcBorders>
              <w:top w:val="nil"/>
              <w:left w:val="nil"/>
              <w:bottom w:val="single" w:sz="12" w:space="0" w:color="auto"/>
              <w:right w:val="nil"/>
            </w:tcBorders>
            <w:shd w:val="clear" w:color="auto" w:fill="FFFFFF" w:themeFill="background1"/>
            <w:vAlign w:val="center"/>
            <w:hideMark/>
          </w:tcPr>
          <w:p w14:paraId="011062AA"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494" w:type="dxa"/>
            <w:tcBorders>
              <w:top w:val="nil"/>
              <w:left w:val="nil"/>
              <w:bottom w:val="single" w:sz="12" w:space="0" w:color="auto"/>
              <w:right w:val="nil"/>
            </w:tcBorders>
            <w:shd w:val="clear" w:color="auto" w:fill="FFFFFF" w:themeFill="background1"/>
            <w:vAlign w:val="center"/>
            <w:hideMark/>
          </w:tcPr>
          <w:p w14:paraId="6CA5CB21"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494" w:type="dxa"/>
            <w:tcBorders>
              <w:top w:val="nil"/>
              <w:left w:val="nil"/>
              <w:bottom w:val="single" w:sz="12" w:space="0" w:color="auto"/>
              <w:right w:val="nil"/>
            </w:tcBorders>
            <w:shd w:val="clear" w:color="auto" w:fill="FFFFFF" w:themeFill="background1"/>
            <w:vAlign w:val="center"/>
            <w:hideMark/>
          </w:tcPr>
          <w:p w14:paraId="2F6E93BF"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 </w:t>
            </w:r>
          </w:p>
        </w:tc>
        <w:tc>
          <w:tcPr>
            <w:tcW w:w="1282" w:type="dxa"/>
            <w:tcBorders>
              <w:top w:val="nil"/>
              <w:left w:val="nil"/>
              <w:bottom w:val="single" w:sz="12" w:space="0" w:color="auto"/>
              <w:right w:val="nil"/>
            </w:tcBorders>
            <w:shd w:val="clear" w:color="auto" w:fill="FFFFFF" w:themeFill="background1"/>
            <w:noWrap/>
            <w:vAlign w:val="center"/>
            <w:hideMark/>
          </w:tcPr>
          <w:p w14:paraId="4026D4D6"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354" w:type="dxa"/>
            <w:tcBorders>
              <w:top w:val="nil"/>
              <w:left w:val="nil"/>
              <w:bottom w:val="single" w:sz="12" w:space="0" w:color="auto"/>
              <w:right w:val="nil"/>
            </w:tcBorders>
            <w:shd w:val="clear" w:color="auto" w:fill="FFFFFF" w:themeFill="background1"/>
            <w:vAlign w:val="center"/>
            <w:hideMark/>
          </w:tcPr>
          <w:p w14:paraId="2CBFF667"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014" w:type="dxa"/>
            <w:tcBorders>
              <w:top w:val="nil"/>
              <w:left w:val="nil"/>
              <w:bottom w:val="single" w:sz="12" w:space="0" w:color="auto"/>
              <w:right w:val="nil"/>
            </w:tcBorders>
            <w:shd w:val="clear" w:color="auto" w:fill="FFFFFF" w:themeFill="background1"/>
            <w:vAlign w:val="center"/>
            <w:hideMark/>
          </w:tcPr>
          <w:p w14:paraId="5B5C8D08"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410" w:type="dxa"/>
            <w:tcBorders>
              <w:top w:val="nil"/>
              <w:left w:val="nil"/>
              <w:bottom w:val="single" w:sz="12" w:space="0" w:color="auto"/>
              <w:right w:val="nil"/>
            </w:tcBorders>
            <w:shd w:val="clear" w:color="auto" w:fill="FFFFFF" w:themeFill="background1"/>
            <w:vAlign w:val="center"/>
            <w:hideMark/>
          </w:tcPr>
          <w:p w14:paraId="089B4DE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260" w:type="dxa"/>
            <w:tcBorders>
              <w:top w:val="nil"/>
              <w:left w:val="nil"/>
              <w:bottom w:val="single" w:sz="12" w:space="0" w:color="auto"/>
              <w:right w:val="nil"/>
            </w:tcBorders>
            <w:shd w:val="clear" w:color="auto" w:fill="FFFFFF" w:themeFill="background1"/>
            <w:vAlign w:val="center"/>
            <w:hideMark/>
          </w:tcPr>
          <w:p w14:paraId="4908D3F6"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c>
          <w:tcPr>
            <w:tcW w:w="1704" w:type="dxa"/>
            <w:tcBorders>
              <w:top w:val="nil"/>
              <w:left w:val="nil"/>
              <w:bottom w:val="single" w:sz="12" w:space="0" w:color="auto"/>
              <w:right w:val="nil"/>
            </w:tcBorders>
            <w:shd w:val="clear" w:color="auto" w:fill="FFFFFF" w:themeFill="background1"/>
            <w:vAlign w:val="center"/>
            <w:hideMark/>
          </w:tcPr>
          <w:p w14:paraId="72B868EB" w14:textId="77777777" w:rsidR="003670E8" w:rsidRPr="00677E16" w:rsidRDefault="003670E8" w:rsidP="00EA194A">
            <w:pPr>
              <w:suppressAutoHyphens w:val="0"/>
              <w:spacing w:line="240" w:lineRule="auto"/>
              <w:rPr>
                <w:rFonts w:eastAsia="Times New Roman"/>
                <w:color w:val="000000"/>
              </w:rPr>
            </w:pPr>
            <w:r w:rsidRPr="00677E16">
              <w:rPr>
                <w:rFonts w:eastAsia="Times New Roman"/>
                <w:color w:val="000000"/>
              </w:rPr>
              <w:t> </w:t>
            </w:r>
          </w:p>
        </w:tc>
      </w:tr>
    </w:tbl>
    <w:p w14:paraId="7203CBED" w14:textId="77777777" w:rsidR="003670E8" w:rsidRPr="00677E16" w:rsidRDefault="003670E8" w:rsidP="003670E8">
      <w:pPr>
        <w:pStyle w:val="FC2"/>
        <w:spacing w:before="240"/>
        <w:rPr>
          <w:b/>
          <w:bCs/>
        </w:rPr>
      </w:pPr>
      <w:r w:rsidRPr="00677E16">
        <w:t>Table 4 (continued)</w:t>
      </w:r>
      <w:r w:rsidRPr="00677E16">
        <w:br/>
      </w:r>
      <w:r w:rsidRPr="00677E16">
        <w:rPr>
          <w:b/>
          <w:bCs/>
        </w:rPr>
        <w:t xml:space="preserve">Holdings </w:t>
      </w:r>
    </w:p>
    <w:tbl>
      <w:tblPr>
        <w:tblW w:w="11822" w:type="dxa"/>
        <w:tblInd w:w="1134" w:type="dxa"/>
        <w:tblLayout w:type="fixed"/>
        <w:tblLook w:val="04A0" w:firstRow="1" w:lastRow="0" w:firstColumn="1" w:lastColumn="0" w:noHBand="0" w:noVBand="1"/>
      </w:tblPr>
      <w:tblGrid>
        <w:gridCol w:w="851"/>
        <w:gridCol w:w="992"/>
        <w:gridCol w:w="1157"/>
        <w:gridCol w:w="1060"/>
        <w:gridCol w:w="1185"/>
        <w:gridCol w:w="284"/>
        <w:gridCol w:w="1257"/>
        <w:gridCol w:w="1050"/>
        <w:gridCol w:w="980"/>
        <w:gridCol w:w="980"/>
        <w:gridCol w:w="800"/>
        <w:gridCol w:w="266"/>
        <w:gridCol w:w="960"/>
      </w:tblGrid>
      <w:tr w:rsidR="003670E8" w:rsidRPr="00677E16" w14:paraId="21207908" w14:textId="77777777" w:rsidTr="00EA194A">
        <w:trPr>
          <w:trHeight w:val="288"/>
        </w:trPr>
        <w:tc>
          <w:tcPr>
            <w:tcW w:w="10596" w:type="dxa"/>
            <w:gridSpan w:val="11"/>
            <w:tcBorders>
              <w:top w:val="single" w:sz="4" w:space="0" w:color="auto"/>
              <w:left w:val="nil"/>
              <w:bottom w:val="single" w:sz="4" w:space="0" w:color="auto"/>
              <w:right w:val="nil"/>
            </w:tcBorders>
            <w:shd w:val="clear" w:color="auto" w:fill="FFFFFF" w:themeFill="background1"/>
            <w:noWrap/>
            <w:vAlign w:val="bottom"/>
            <w:hideMark/>
          </w:tcPr>
          <w:p w14:paraId="16B32781"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 (continues)</w:t>
            </w:r>
          </w:p>
        </w:tc>
        <w:tc>
          <w:tcPr>
            <w:tcW w:w="266" w:type="dxa"/>
            <w:tcBorders>
              <w:top w:val="single" w:sz="4" w:space="0" w:color="auto"/>
              <w:left w:val="nil"/>
              <w:bottom w:val="nil"/>
              <w:right w:val="nil"/>
            </w:tcBorders>
            <w:shd w:val="clear" w:color="auto" w:fill="FFFFFF" w:themeFill="background1"/>
            <w:noWrap/>
            <w:vAlign w:val="bottom"/>
            <w:hideMark/>
          </w:tcPr>
          <w:p w14:paraId="71FF429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60" w:type="dxa"/>
            <w:vMerge w:val="restart"/>
            <w:tcBorders>
              <w:top w:val="single" w:sz="4" w:space="0" w:color="auto"/>
              <w:left w:val="nil"/>
              <w:bottom w:val="single" w:sz="8" w:space="0" w:color="000000" w:themeColor="text1"/>
              <w:right w:val="nil"/>
            </w:tcBorders>
            <w:shd w:val="clear" w:color="auto" w:fill="FFFFFF" w:themeFill="background1"/>
            <w:vAlign w:val="bottom"/>
            <w:hideMark/>
          </w:tcPr>
          <w:p w14:paraId="68ABC7E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[First transfer status</w:t>
            </w:r>
            <w:r w:rsidRPr="00677E16">
              <w:rPr>
                <w:rFonts w:eastAsia="Times New Roman"/>
                <w:i/>
                <w:iCs/>
                <w:color w:val="262626"/>
                <w:sz w:val="16"/>
                <w:szCs w:val="16"/>
                <w:vertAlign w:val="superscript"/>
              </w:rPr>
              <w:t>o</w:t>
            </w:r>
            <w:r w:rsidRPr="00677E16">
              <w:rPr>
                <w:rFonts w:eastAsia="Times New Roman"/>
                <w:i/>
                <w:iCs/>
                <w:color w:val="262626"/>
                <w:sz w:val="16"/>
                <w:szCs w:val="16"/>
              </w:rPr>
              <w:t>]</w:t>
            </w:r>
          </w:p>
        </w:tc>
      </w:tr>
      <w:tr w:rsidR="003670E8" w:rsidRPr="00677E16" w14:paraId="38976569" w14:textId="77777777" w:rsidTr="00EA194A">
        <w:trPr>
          <w:trHeight w:val="288"/>
        </w:trPr>
        <w:tc>
          <w:tcPr>
            <w:tcW w:w="5245" w:type="dxa"/>
            <w:gridSpan w:val="5"/>
            <w:tcBorders>
              <w:top w:val="nil"/>
              <w:left w:val="nil"/>
              <w:bottom w:val="single" w:sz="4" w:space="0" w:color="auto"/>
              <w:right w:val="nil"/>
            </w:tcBorders>
            <w:shd w:val="clear" w:color="auto" w:fill="FFFFFF" w:themeFill="background1"/>
            <w:noWrap/>
            <w:vAlign w:val="bottom"/>
            <w:hideMark/>
          </w:tcPr>
          <w:p w14:paraId="75CFDD6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Metric and quantity</w:t>
            </w:r>
          </w:p>
        </w:tc>
        <w:tc>
          <w:tcPr>
            <w:tcW w:w="284" w:type="dxa"/>
            <w:tcBorders>
              <w:top w:val="nil"/>
              <w:left w:val="nil"/>
              <w:bottom w:val="nil"/>
              <w:right w:val="nil"/>
            </w:tcBorders>
            <w:shd w:val="clear" w:color="auto" w:fill="FFFFFF" w:themeFill="background1"/>
            <w:noWrap/>
            <w:vAlign w:val="bottom"/>
            <w:hideMark/>
          </w:tcPr>
          <w:p w14:paraId="426DACC8"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5067" w:type="dxa"/>
            <w:gridSpan w:val="5"/>
            <w:tcBorders>
              <w:top w:val="single" w:sz="4" w:space="0" w:color="auto"/>
              <w:left w:val="nil"/>
              <w:bottom w:val="single" w:sz="4" w:space="0" w:color="auto"/>
              <w:right w:val="nil"/>
            </w:tcBorders>
            <w:shd w:val="clear" w:color="auto" w:fill="FFFFFF" w:themeFill="background1"/>
            <w:noWrap/>
            <w:vAlign w:val="bottom"/>
            <w:hideMark/>
          </w:tcPr>
          <w:p w14:paraId="048A51F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ITMO details</w:t>
            </w:r>
          </w:p>
        </w:tc>
        <w:tc>
          <w:tcPr>
            <w:tcW w:w="266" w:type="dxa"/>
            <w:tcBorders>
              <w:top w:val="nil"/>
              <w:left w:val="nil"/>
              <w:bottom w:val="nil"/>
              <w:right w:val="nil"/>
            </w:tcBorders>
            <w:shd w:val="clear" w:color="auto" w:fill="FFFFFF" w:themeFill="background1"/>
            <w:noWrap/>
            <w:vAlign w:val="bottom"/>
            <w:hideMark/>
          </w:tcPr>
          <w:p w14:paraId="497669DC"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960" w:type="dxa"/>
            <w:vMerge/>
            <w:vAlign w:val="center"/>
            <w:hideMark/>
          </w:tcPr>
          <w:p w14:paraId="5EC7F88F"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7EEE93D3" w14:textId="77777777" w:rsidTr="00EA194A">
        <w:trPr>
          <w:trHeight w:val="288"/>
        </w:trPr>
        <w:tc>
          <w:tcPr>
            <w:tcW w:w="851" w:type="dxa"/>
            <w:tcBorders>
              <w:top w:val="nil"/>
              <w:left w:val="nil"/>
              <w:bottom w:val="nil"/>
              <w:right w:val="nil"/>
            </w:tcBorders>
            <w:shd w:val="clear" w:color="auto" w:fill="FFFFFF" w:themeFill="background1"/>
            <w:noWrap/>
            <w:vAlign w:val="bottom"/>
            <w:hideMark/>
          </w:tcPr>
          <w:p w14:paraId="231A305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92" w:type="dxa"/>
            <w:tcBorders>
              <w:top w:val="nil"/>
              <w:left w:val="nil"/>
              <w:bottom w:val="nil"/>
              <w:right w:val="nil"/>
            </w:tcBorders>
            <w:shd w:val="clear" w:color="auto" w:fill="FFFFFF" w:themeFill="background1"/>
            <w:noWrap/>
            <w:vAlign w:val="bottom"/>
            <w:hideMark/>
          </w:tcPr>
          <w:p w14:paraId="3EBDEA4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157" w:type="dxa"/>
            <w:tcBorders>
              <w:top w:val="nil"/>
              <w:left w:val="nil"/>
              <w:bottom w:val="nil"/>
              <w:right w:val="nil"/>
            </w:tcBorders>
            <w:shd w:val="clear" w:color="auto" w:fill="FFFFFF" w:themeFill="background1"/>
            <w:noWrap/>
            <w:vAlign w:val="bottom"/>
            <w:hideMark/>
          </w:tcPr>
          <w:p w14:paraId="16D169C1"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060" w:type="dxa"/>
            <w:tcBorders>
              <w:top w:val="nil"/>
              <w:left w:val="nil"/>
              <w:bottom w:val="nil"/>
              <w:right w:val="nil"/>
            </w:tcBorders>
            <w:shd w:val="clear" w:color="auto" w:fill="FFFFFF" w:themeFill="background1"/>
            <w:noWrap/>
            <w:vAlign w:val="bottom"/>
            <w:hideMark/>
          </w:tcPr>
          <w:p w14:paraId="7AD2E149"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185" w:type="dxa"/>
            <w:tcBorders>
              <w:top w:val="nil"/>
              <w:left w:val="nil"/>
              <w:bottom w:val="nil"/>
              <w:right w:val="nil"/>
            </w:tcBorders>
            <w:shd w:val="clear" w:color="auto" w:fill="FFFFFF" w:themeFill="background1"/>
            <w:noWrap/>
            <w:vAlign w:val="bottom"/>
            <w:hideMark/>
          </w:tcPr>
          <w:p w14:paraId="0719950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284" w:type="dxa"/>
            <w:tcBorders>
              <w:top w:val="nil"/>
              <w:left w:val="nil"/>
              <w:bottom w:val="nil"/>
              <w:right w:val="nil"/>
            </w:tcBorders>
            <w:shd w:val="clear" w:color="auto" w:fill="FFFFFF" w:themeFill="background1"/>
            <w:noWrap/>
            <w:vAlign w:val="bottom"/>
            <w:hideMark/>
          </w:tcPr>
          <w:p w14:paraId="7B75CEA1"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257" w:type="dxa"/>
            <w:tcBorders>
              <w:top w:val="nil"/>
              <w:left w:val="nil"/>
              <w:bottom w:val="nil"/>
              <w:right w:val="nil"/>
            </w:tcBorders>
            <w:shd w:val="clear" w:color="auto" w:fill="FFFFFF" w:themeFill="background1"/>
            <w:noWrap/>
            <w:vAlign w:val="bottom"/>
            <w:hideMark/>
          </w:tcPr>
          <w:p w14:paraId="7184E81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050" w:type="dxa"/>
            <w:tcBorders>
              <w:top w:val="nil"/>
              <w:left w:val="nil"/>
              <w:bottom w:val="nil"/>
              <w:right w:val="nil"/>
            </w:tcBorders>
            <w:shd w:val="clear" w:color="auto" w:fill="FFFFFF" w:themeFill="background1"/>
            <w:noWrap/>
            <w:vAlign w:val="bottom"/>
            <w:hideMark/>
          </w:tcPr>
          <w:p w14:paraId="12C82F3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80" w:type="dxa"/>
            <w:tcBorders>
              <w:top w:val="nil"/>
              <w:left w:val="nil"/>
              <w:bottom w:val="nil"/>
              <w:right w:val="nil"/>
            </w:tcBorders>
            <w:shd w:val="clear" w:color="auto" w:fill="FFFFFF" w:themeFill="background1"/>
            <w:noWrap/>
            <w:vAlign w:val="bottom"/>
            <w:hideMark/>
          </w:tcPr>
          <w:p w14:paraId="24C7423E"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80" w:type="dxa"/>
            <w:tcBorders>
              <w:top w:val="nil"/>
              <w:left w:val="nil"/>
              <w:bottom w:val="nil"/>
              <w:right w:val="nil"/>
            </w:tcBorders>
            <w:shd w:val="clear" w:color="auto" w:fill="FFFFFF" w:themeFill="background1"/>
            <w:noWrap/>
            <w:vAlign w:val="bottom"/>
            <w:hideMark/>
          </w:tcPr>
          <w:p w14:paraId="0B451D64"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800" w:type="dxa"/>
            <w:tcBorders>
              <w:top w:val="nil"/>
              <w:left w:val="nil"/>
              <w:bottom w:val="nil"/>
              <w:right w:val="nil"/>
            </w:tcBorders>
            <w:shd w:val="clear" w:color="auto" w:fill="FFFFFF" w:themeFill="background1"/>
            <w:noWrap/>
            <w:vAlign w:val="bottom"/>
            <w:hideMark/>
          </w:tcPr>
          <w:p w14:paraId="7585492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266" w:type="dxa"/>
            <w:tcBorders>
              <w:top w:val="nil"/>
              <w:left w:val="nil"/>
              <w:bottom w:val="nil"/>
              <w:right w:val="nil"/>
            </w:tcBorders>
            <w:shd w:val="clear" w:color="auto" w:fill="FFFFFF" w:themeFill="background1"/>
            <w:noWrap/>
            <w:vAlign w:val="bottom"/>
            <w:hideMark/>
          </w:tcPr>
          <w:p w14:paraId="1553AC51"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960" w:type="dxa"/>
            <w:vMerge/>
            <w:vAlign w:val="center"/>
            <w:hideMark/>
          </w:tcPr>
          <w:p w14:paraId="460668C8"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7FB18EDE" w14:textId="77777777" w:rsidTr="00EA194A">
        <w:trPr>
          <w:trHeight w:val="285"/>
        </w:trPr>
        <w:tc>
          <w:tcPr>
            <w:tcW w:w="851" w:type="dxa"/>
            <w:tcBorders>
              <w:top w:val="nil"/>
              <w:left w:val="nil"/>
              <w:bottom w:val="nil"/>
              <w:right w:val="nil"/>
            </w:tcBorders>
            <w:shd w:val="clear" w:color="auto" w:fill="FFFFFF" w:themeFill="background1"/>
            <w:noWrap/>
            <w:vAlign w:val="bottom"/>
          </w:tcPr>
          <w:p w14:paraId="21A9F752"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992" w:type="dxa"/>
            <w:tcBorders>
              <w:top w:val="nil"/>
              <w:left w:val="nil"/>
              <w:bottom w:val="nil"/>
              <w:right w:val="nil"/>
            </w:tcBorders>
            <w:shd w:val="clear" w:color="auto" w:fill="FFFFFF" w:themeFill="background1"/>
            <w:noWrap/>
            <w:vAlign w:val="bottom"/>
          </w:tcPr>
          <w:p w14:paraId="1081CD66"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157" w:type="dxa"/>
            <w:tcBorders>
              <w:top w:val="nil"/>
              <w:left w:val="nil"/>
              <w:bottom w:val="nil"/>
              <w:right w:val="nil"/>
            </w:tcBorders>
            <w:shd w:val="clear" w:color="auto" w:fill="FFFFFF" w:themeFill="background1"/>
            <w:noWrap/>
            <w:vAlign w:val="bottom"/>
          </w:tcPr>
          <w:p w14:paraId="5EB175E7"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060" w:type="dxa"/>
            <w:tcBorders>
              <w:top w:val="nil"/>
              <w:left w:val="nil"/>
              <w:bottom w:val="nil"/>
              <w:right w:val="nil"/>
            </w:tcBorders>
            <w:shd w:val="clear" w:color="auto" w:fill="FFFFFF" w:themeFill="background1"/>
            <w:noWrap/>
            <w:vAlign w:val="bottom"/>
          </w:tcPr>
          <w:p w14:paraId="5905136E"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185" w:type="dxa"/>
            <w:tcBorders>
              <w:top w:val="nil"/>
              <w:left w:val="nil"/>
              <w:bottom w:val="nil"/>
              <w:right w:val="nil"/>
            </w:tcBorders>
            <w:shd w:val="clear" w:color="auto" w:fill="FFFFFF" w:themeFill="background1"/>
            <w:noWrap/>
            <w:vAlign w:val="bottom"/>
          </w:tcPr>
          <w:p w14:paraId="32C74E1C"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284" w:type="dxa"/>
            <w:tcBorders>
              <w:top w:val="nil"/>
              <w:left w:val="nil"/>
              <w:bottom w:val="nil"/>
              <w:right w:val="nil"/>
            </w:tcBorders>
            <w:shd w:val="clear" w:color="auto" w:fill="FFFFFF" w:themeFill="background1"/>
            <w:noWrap/>
            <w:vAlign w:val="bottom"/>
          </w:tcPr>
          <w:p w14:paraId="230C5846" w14:textId="77777777" w:rsidR="003670E8" w:rsidRPr="00677E16" w:rsidRDefault="003670E8" w:rsidP="00EA194A">
            <w:pPr>
              <w:suppressAutoHyphens w:val="0"/>
              <w:spacing w:line="240" w:lineRule="auto"/>
              <w:rPr>
                <w:rFonts w:eastAsia="Times New Roman"/>
                <w:color w:val="262626"/>
              </w:rPr>
            </w:pPr>
          </w:p>
        </w:tc>
        <w:tc>
          <w:tcPr>
            <w:tcW w:w="1257" w:type="dxa"/>
            <w:tcBorders>
              <w:top w:val="nil"/>
              <w:left w:val="nil"/>
              <w:bottom w:val="nil"/>
              <w:right w:val="nil"/>
            </w:tcBorders>
            <w:shd w:val="clear" w:color="auto" w:fill="FFFFFF" w:themeFill="background1"/>
            <w:noWrap/>
            <w:vAlign w:val="bottom"/>
          </w:tcPr>
          <w:p w14:paraId="2BA32F93"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1050" w:type="dxa"/>
            <w:tcBorders>
              <w:top w:val="nil"/>
              <w:left w:val="nil"/>
              <w:bottom w:val="nil"/>
              <w:right w:val="nil"/>
            </w:tcBorders>
            <w:shd w:val="clear" w:color="auto" w:fill="FFFFFF" w:themeFill="background1"/>
            <w:noWrap/>
            <w:vAlign w:val="bottom"/>
          </w:tcPr>
          <w:p w14:paraId="2E64F272"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980" w:type="dxa"/>
            <w:tcBorders>
              <w:top w:val="nil"/>
              <w:left w:val="nil"/>
              <w:bottom w:val="nil"/>
              <w:right w:val="nil"/>
            </w:tcBorders>
            <w:shd w:val="clear" w:color="auto" w:fill="FFFFFF" w:themeFill="background1"/>
            <w:noWrap/>
            <w:vAlign w:val="bottom"/>
          </w:tcPr>
          <w:p w14:paraId="71B5C34C"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980" w:type="dxa"/>
            <w:tcBorders>
              <w:top w:val="nil"/>
              <w:left w:val="nil"/>
              <w:bottom w:val="nil"/>
              <w:right w:val="nil"/>
            </w:tcBorders>
            <w:shd w:val="clear" w:color="auto" w:fill="FFFFFF" w:themeFill="background1"/>
            <w:noWrap/>
            <w:vAlign w:val="bottom"/>
          </w:tcPr>
          <w:p w14:paraId="65122A2D"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800" w:type="dxa"/>
            <w:tcBorders>
              <w:top w:val="nil"/>
              <w:left w:val="nil"/>
              <w:bottom w:val="nil"/>
              <w:right w:val="nil"/>
            </w:tcBorders>
            <w:shd w:val="clear" w:color="auto" w:fill="FFFFFF" w:themeFill="background1"/>
            <w:noWrap/>
            <w:vAlign w:val="bottom"/>
            <w:hideMark/>
          </w:tcPr>
          <w:p w14:paraId="04E8EC0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266" w:type="dxa"/>
            <w:tcBorders>
              <w:top w:val="nil"/>
              <w:left w:val="nil"/>
              <w:bottom w:val="nil"/>
              <w:right w:val="nil"/>
            </w:tcBorders>
            <w:shd w:val="clear" w:color="auto" w:fill="FFFFFF" w:themeFill="background1"/>
            <w:noWrap/>
            <w:vAlign w:val="bottom"/>
            <w:hideMark/>
          </w:tcPr>
          <w:p w14:paraId="76B35654"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960" w:type="dxa"/>
            <w:vMerge/>
            <w:vAlign w:val="center"/>
            <w:hideMark/>
          </w:tcPr>
          <w:p w14:paraId="5903BE8A"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11C4A394" w14:textId="77777777" w:rsidTr="00EA194A">
        <w:trPr>
          <w:trHeight w:val="63"/>
        </w:trPr>
        <w:tc>
          <w:tcPr>
            <w:tcW w:w="851" w:type="dxa"/>
            <w:tcBorders>
              <w:top w:val="nil"/>
              <w:left w:val="nil"/>
              <w:bottom w:val="single" w:sz="8" w:space="0" w:color="auto"/>
              <w:right w:val="nil"/>
            </w:tcBorders>
            <w:shd w:val="clear" w:color="auto" w:fill="FFFFFF" w:themeFill="background1"/>
            <w:vAlign w:val="bottom"/>
            <w:hideMark/>
          </w:tcPr>
          <w:p w14:paraId="59C2D99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Metric</w:t>
            </w:r>
            <w:r w:rsidRPr="00677E16">
              <w:rPr>
                <w:rStyle w:val="EndnoteReference"/>
                <w:rFonts w:eastAsia="Times New Roman"/>
                <w:iCs/>
                <w:color w:val="FFFFFF" w:themeColor="background1"/>
                <w:szCs w:val="16"/>
              </w:rPr>
              <w:endnoteReference w:id="8"/>
            </w:r>
          </w:p>
        </w:tc>
        <w:tc>
          <w:tcPr>
            <w:tcW w:w="992" w:type="dxa"/>
            <w:tcBorders>
              <w:top w:val="nil"/>
              <w:left w:val="nil"/>
              <w:bottom w:val="single" w:sz="8" w:space="0" w:color="auto"/>
              <w:right w:val="nil"/>
            </w:tcBorders>
            <w:shd w:val="clear" w:color="auto" w:fill="FFFFFF" w:themeFill="background1"/>
            <w:vAlign w:val="bottom"/>
            <w:hideMark/>
          </w:tcPr>
          <w:p w14:paraId="2321D138"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[Applicable GWP values</w:t>
            </w:r>
            <w:r w:rsidRPr="00677E16">
              <w:rPr>
                <w:rFonts w:eastAsia="Times New Roman"/>
                <w:i/>
                <w:iCs/>
                <w:color w:val="262626" w:themeColor="text1" w:themeTint="D9"/>
                <w:sz w:val="16"/>
                <w:szCs w:val="16"/>
                <w:vertAlign w:val="superscript"/>
                <w:lang w:val="en-US"/>
              </w:rPr>
              <w:t>g</w:t>
            </w:r>
            <w:r w:rsidRPr="00677E16">
              <w:rPr>
                <w:rFonts w:eastAsia="Times New Roman"/>
                <w:i/>
                <w:iCs/>
                <w:color w:val="262626" w:themeColor="text1" w:themeTint="D9"/>
                <w:sz w:val="16"/>
                <w:szCs w:val="16"/>
                <w:lang w:val="en-US"/>
              </w:rPr>
              <w:t>]</w:t>
            </w:r>
          </w:p>
        </w:tc>
        <w:tc>
          <w:tcPr>
            <w:tcW w:w="1157" w:type="dxa"/>
            <w:tcBorders>
              <w:top w:val="nil"/>
              <w:left w:val="nil"/>
              <w:bottom w:val="single" w:sz="8" w:space="0" w:color="auto"/>
              <w:right w:val="nil"/>
            </w:tcBorders>
            <w:shd w:val="clear" w:color="auto" w:fill="FFFFFF" w:themeFill="background1"/>
            <w:vAlign w:val="bottom"/>
            <w:hideMark/>
          </w:tcPr>
          <w:p w14:paraId="63640BA3" w14:textId="77777777" w:rsidR="003670E8" w:rsidRPr="00140254"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Applicable non-GHG metric</w:t>
            </w:r>
            <w:r w:rsidRPr="00677E16">
              <w:rPr>
                <w:rFonts w:eastAsia="Times New Roman"/>
                <w:i/>
                <w:iCs/>
                <w:color w:val="262626" w:themeColor="text1" w:themeTint="D9"/>
                <w:sz w:val="16"/>
                <w:szCs w:val="16"/>
                <w:vertAlign w:val="superscript"/>
                <w:lang w:val="en-US"/>
              </w:rPr>
              <w:t>h</w:t>
            </w:r>
            <w:r>
              <w:rPr>
                <w:rFonts w:eastAsia="Times New Roman"/>
                <w:i/>
                <w:iCs/>
                <w:color w:val="262626" w:themeColor="text1" w:themeTint="D9"/>
                <w:sz w:val="16"/>
                <w:szCs w:val="16"/>
                <w:lang w:val="en-US"/>
              </w:rPr>
              <w:t>]</w:t>
            </w:r>
          </w:p>
        </w:tc>
        <w:tc>
          <w:tcPr>
            <w:tcW w:w="1060" w:type="dxa"/>
            <w:tcBorders>
              <w:top w:val="nil"/>
              <w:left w:val="nil"/>
              <w:bottom w:val="single" w:sz="8" w:space="0" w:color="auto"/>
              <w:right w:val="nil"/>
            </w:tcBorders>
            <w:shd w:val="clear" w:color="auto" w:fill="FFFFFF" w:themeFill="background1"/>
            <w:vAlign w:val="bottom"/>
            <w:hideMark/>
          </w:tcPr>
          <w:p w14:paraId="101F5232"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 xml:space="preserve">Quantity </w:t>
            </w: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(t CO</w:t>
            </w:r>
            <w:r w:rsidRPr="00677E16">
              <w:rPr>
                <w:rFonts w:eastAsia="Times New Roman"/>
                <w:i/>
                <w:iCs/>
                <w:color w:val="262626" w:themeColor="text1" w:themeTint="D9"/>
                <w:sz w:val="16"/>
                <w:szCs w:val="16"/>
                <w:vertAlign w:val="subscript"/>
                <w:lang w:val="en-US"/>
              </w:rPr>
              <w:t>2</w:t>
            </w:r>
            <w:r w:rsidRPr="00677E16">
              <w:rPr>
                <w:rFonts w:eastAsia="Times New Roman"/>
                <w:i/>
                <w:iCs/>
                <w:color w:val="262626" w:themeColor="text1" w:themeTint="D9"/>
                <w:sz w:val="16"/>
                <w:szCs w:val="16"/>
                <w:lang w:val="en-US"/>
              </w:rPr>
              <w:t> eq)</w:t>
            </w:r>
            <w:r w:rsidRPr="00677E16">
              <w:rPr>
                <w:rFonts w:eastAsia="Times New Roman"/>
                <w:i/>
                <w:iCs/>
                <w:color w:val="262626" w:themeColor="text1" w:themeTint="D9"/>
                <w:sz w:val="16"/>
                <w:szCs w:val="16"/>
                <w:vertAlign w:val="superscript"/>
                <w:lang w:val="en-US"/>
              </w:rPr>
              <w:t>i</w:t>
            </w:r>
            <w:r w:rsidRPr="00677E16">
              <w:rPr>
                <w:rFonts w:eastAsia="Times New Roman"/>
                <w:i/>
                <w:iCs/>
                <w:color w:val="262626" w:themeColor="text1" w:themeTint="D9"/>
                <w:sz w:val="16"/>
                <w:szCs w:val="16"/>
                <w:lang w:val="en-US"/>
              </w:rPr>
              <w:t>]</w:t>
            </w:r>
          </w:p>
        </w:tc>
        <w:tc>
          <w:tcPr>
            <w:tcW w:w="1185" w:type="dxa"/>
            <w:tcBorders>
              <w:top w:val="nil"/>
              <w:left w:val="nil"/>
              <w:bottom w:val="single" w:sz="8" w:space="0" w:color="auto"/>
              <w:right w:val="nil"/>
            </w:tcBorders>
            <w:shd w:val="clear" w:color="auto" w:fill="FFFFFF" w:themeFill="background1"/>
            <w:vAlign w:val="bottom"/>
            <w:hideMark/>
          </w:tcPr>
          <w:p w14:paraId="1CA103CF"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Quantity [(in non-GHG metric)</w:t>
            </w:r>
            <w:r w:rsidRPr="00677E16">
              <w:rPr>
                <w:rFonts w:eastAsia="Times New Roman"/>
                <w:i/>
                <w:iCs/>
                <w:color w:val="262626" w:themeColor="text1" w:themeTint="D9"/>
                <w:sz w:val="16"/>
                <w:szCs w:val="16"/>
                <w:vertAlign w:val="superscript"/>
                <w:lang w:val="en-US"/>
              </w:rPr>
              <w:t>j</w:t>
            </w:r>
            <w:r w:rsidRPr="00677E16">
              <w:rPr>
                <w:rFonts w:eastAsia="Times New Roman"/>
                <w:i/>
                <w:iCs/>
                <w:color w:val="262626" w:themeColor="text1" w:themeTint="D9"/>
                <w:sz w:val="16"/>
                <w:szCs w:val="16"/>
                <w:lang w:val="en-US"/>
              </w:rPr>
              <w:t>]</w:t>
            </w:r>
          </w:p>
        </w:tc>
        <w:tc>
          <w:tcPr>
            <w:tcW w:w="284" w:type="dxa"/>
            <w:tcBorders>
              <w:top w:val="nil"/>
              <w:left w:val="nil"/>
              <w:bottom w:val="single" w:sz="8" w:space="0" w:color="auto"/>
              <w:right w:val="nil"/>
            </w:tcBorders>
            <w:shd w:val="clear" w:color="auto" w:fill="FFFFFF" w:themeFill="background1"/>
            <w:vAlign w:val="bottom"/>
            <w:hideMark/>
          </w:tcPr>
          <w:p w14:paraId="681BE627" w14:textId="77777777" w:rsidR="003670E8" w:rsidRPr="00677E16" w:rsidRDefault="003670E8" w:rsidP="00EA194A">
            <w:pPr>
              <w:suppressAutoHyphens w:val="0"/>
              <w:spacing w:line="240" w:lineRule="auto"/>
              <w:jc w:val="center"/>
              <w:rPr>
                <w:rFonts w:eastAsia="Times New Roman"/>
                <w:color w:val="262626"/>
              </w:rPr>
            </w:pPr>
            <w:r w:rsidRPr="00677E16">
              <w:rPr>
                <w:rFonts w:eastAsia="Times New Roman"/>
                <w:color w:val="262626"/>
              </w:rPr>
              <w:t> </w:t>
            </w:r>
          </w:p>
        </w:tc>
        <w:tc>
          <w:tcPr>
            <w:tcW w:w="1257" w:type="dxa"/>
            <w:tcBorders>
              <w:top w:val="nil"/>
              <w:left w:val="nil"/>
              <w:bottom w:val="single" w:sz="8" w:space="0" w:color="auto"/>
              <w:right w:val="nil"/>
            </w:tcBorders>
            <w:shd w:val="clear" w:color="auto" w:fill="FFFFFF" w:themeFill="background1"/>
            <w:vAlign w:val="bottom"/>
            <w:hideMark/>
          </w:tcPr>
          <w:p w14:paraId="11594ABA"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First transferring participating Party ID</w:t>
            </w:r>
            <w:r w:rsidRPr="00677E16">
              <w:rPr>
                <w:rFonts w:eastAsia="Times New Roman"/>
                <w:i/>
                <w:iCs/>
                <w:color w:val="262626" w:themeColor="text1" w:themeTint="D9"/>
                <w:sz w:val="16"/>
                <w:szCs w:val="16"/>
                <w:vertAlign w:val="superscript"/>
                <w:lang w:val="en-US"/>
              </w:rPr>
              <w:t>k</w:t>
            </w:r>
          </w:p>
        </w:tc>
        <w:tc>
          <w:tcPr>
            <w:tcW w:w="1050" w:type="dxa"/>
            <w:tcBorders>
              <w:top w:val="nil"/>
              <w:left w:val="nil"/>
              <w:bottom w:val="single" w:sz="8" w:space="0" w:color="auto"/>
              <w:right w:val="nil"/>
            </w:tcBorders>
            <w:shd w:val="clear" w:color="auto" w:fill="FFFFFF" w:themeFill="background1"/>
            <w:vAlign w:val="bottom"/>
            <w:hideMark/>
          </w:tcPr>
          <w:p w14:paraId="29946BE8"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Mitigation type</w:t>
            </w:r>
          </w:p>
        </w:tc>
        <w:tc>
          <w:tcPr>
            <w:tcW w:w="980" w:type="dxa"/>
            <w:tcBorders>
              <w:top w:val="nil"/>
              <w:left w:val="nil"/>
              <w:bottom w:val="single" w:sz="8" w:space="0" w:color="auto"/>
              <w:right w:val="nil"/>
            </w:tcBorders>
            <w:shd w:val="clear" w:color="auto" w:fill="FFFFFF" w:themeFill="background1"/>
            <w:vAlign w:val="bottom"/>
            <w:hideMark/>
          </w:tcPr>
          <w:p w14:paraId="3DFC6ECF"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[Reversal risk</w:t>
            </w:r>
            <w:r w:rsidRPr="00677E16">
              <w:rPr>
                <w:rFonts w:eastAsia="Times New Roman"/>
                <w:i/>
                <w:iCs/>
                <w:color w:val="262626" w:themeColor="text1" w:themeTint="D9"/>
                <w:sz w:val="16"/>
                <w:szCs w:val="16"/>
                <w:vertAlign w:val="superscript"/>
                <w:lang w:val="en-US"/>
              </w:rPr>
              <w:t>l</w:t>
            </w:r>
            <w:r w:rsidRPr="00677E16">
              <w:rPr>
                <w:rFonts w:eastAsia="Times New Roman"/>
                <w:i/>
                <w:iCs/>
                <w:color w:val="262626" w:themeColor="text1" w:themeTint="D9"/>
                <w:sz w:val="16"/>
                <w:szCs w:val="16"/>
                <w:lang w:val="en-US"/>
              </w:rPr>
              <w:t>]</w:t>
            </w:r>
          </w:p>
        </w:tc>
        <w:tc>
          <w:tcPr>
            <w:tcW w:w="980" w:type="dxa"/>
            <w:tcBorders>
              <w:top w:val="nil"/>
              <w:left w:val="nil"/>
              <w:bottom w:val="single" w:sz="8" w:space="0" w:color="auto"/>
              <w:right w:val="nil"/>
            </w:tcBorders>
            <w:shd w:val="clear" w:color="auto" w:fill="FFFFFF" w:themeFill="background1"/>
            <w:vAlign w:val="bottom"/>
            <w:hideMark/>
          </w:tcPr>
          <w:p w14:paraId="1833D8A3"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[Reversal risk category</w:t>
            </w:r>
            <w:r w:rsidRPr="00677E16">
              <w:rPr>
                <w:rFonts w:eastAsia="Times New Roman"/>
                <w:i/>
                <w:iCs/>
                <w:color w:val="262626" w:themeColor="text1" w:themeTint="D9"/>
                <w:sz w:val="16"/>
                <w:szCs w:val="16"/>
                <w:vertAlign w:val="superscript"/>
                <w:lang w:val="en-US"/>
              </w:rPr>
              <w:t>m</w:t>
            </w:r>
            <w:r w:rsidRPr="00677E16">
              <w:rPr>
                <w:rFonts w:eastAsia="Times New Roman"/>
                <w:i/>
                <w:iCs/>
                <w:color w:val="262626" w:themeColor="text1" w:themeTint="D9"/>
                <w:sz w:val="16"/>
                <w:szCs w:val="16"/>
                <w:lang w:val="en-US"/>
              </w:rPr>
              <w:t>]</w:t>
            </w:r>
          </w:p>
        </w:tc>
        <w:tc>
          <w:tcPr>
            <w:tcW w:w="800" w:type="dxa"/>
            <w:tcBorders>
              <w:top w:val="nil"/>
              <w:left w:val="nil"/>
              <w:bottom w:val="single" w:sz="8" w:space="0" w:color="auto"/>
              <w:right w:val="nil"/>
            </w:tcBorders>
            <w:shd w:val="clear" w:color="auto" w:fill="FFFFFF" w:themeFill="background1"/>
            <w:vAlign w:val="bottom"/>
            <w:hideMark/>
          </w:tcPr>
          <w:p w14:paraId="180AAC1A"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Vintage</w:t>
            </w:r>
            <w:r w:rsidRPr="00677E16">
              <w:rPr>
                <w:rFonts w:eastAsia="Times New Roman"/>
                <w:i/>
                <w:iCs/>
                <w:color w:val="262626" w:themeColor="text1" w:themeTint="D9"/>
                <w:sz w:val="16"/>
                <w:szCs w:val="16"/>
                <w:vertAlign w:val="superscript"/>
                <w:lang w:val="en-US"/>
              </w:rPr>
              <w:t>n</w:t>
            </w:r>
          </w:p>
        </w:tc>
        <w:tc>
          <w:tcPr>
            <w:tcW w:w="266" w:type="dxa"/>
            <w:tcBorders>
              <w:top w:val="nil"/>
              <w:left w:val="nil"/>
              <w:bottom w:val="single" w:sz="8" w:space="0" w:color="auto"/>
              <w:right w:val="nil"/>
            </w:tcBorders>
            <w:shd w:val="clear" w:color="auto" w:fill="FFFFFF" w:themeFill="background1"/>
            <w:vAlign w:val="bottom"/>
            <w:hideMark/>
          </w:tcPr>
          <w:p w14:paraId="6C790E7A"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60" w:type="dxa"/>
            <w:vMerge/>
            <w:vAlign w:val="center"/>
            <w:hideMark/>
          </w:tcPr>
          <w:p w14:paraId="7B2D3E86" w14:textId="77777777" w:rsidR="003670E8" w:rsidRPr="00677E16" w:rsidRDefault="003670E8" w:rsidP="00EA194A">
            <w:pPr>
              <w:suppressAutoHyphens w:val="0"/>
              <w:spacing w:line="240" w:lineRule="auto"/>
              <w:rPr>
                <w:rFonts w:eastAsia="Times New Roman"/>
                <w:i/>
                <w:iCs/>
                <w:color w:val="262626"/>
                <w:sz w:val="16"/>
                <w:szCs w:val="16"/>
              </w:rPr>
            </w:pPr>
          </w:p>
        </w:tc>
      </w:tr>
      <w:tr w:rsidR="003670E8" w:rsidRPr="00677E16" w14:paraId="09B043D6" w14:textId="77777777" w:rsidTr="00EA194A">
        <w:trPr>
          <w:trHeight w:val="528"/>
        </w:trPr>
        <w:tc>
          <w:tcPr>
            <w:tcW w:w="851" w:type="dxa"/>
            <w:tcBorders>
              <w:top w:val="nil"/>
              <w:left w:val="nil"/>
              <w:right w:val="nil"/>
            </w:tcBorders>
            <w:shd w:val="clear" w:color="auto" w:fill="FFFFFF" w:themeFill="background1"/>
            <w:vAlign w:val="center"/>
            <w:hideMark/>
          </w:tcPr>
          <w:p w14:paraId="3FC412D9"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GHG</w:t>
            </w:r>
          </w:p>
        </w:tc>
        <w:tc>
          <w:tcPr>
            <w:tcW w:w="992" w:type="dxa"/>
            <w:tcBorders>
              <w:top w:val="nil"/>
              <w:left w:val="nil"/>
              <w:right w:val="nil"/>
            </w:tcBorders>
            <w:shd w:val="clear" w:color="auto" w:fill="FFFFFF" w:themeFill="background1"/>
            <w:vAlign w:val="center"/>
            <w:hideMark/>
          </w:tcPr>
          <w:p w14:paraId="6013DD81" w14:textId="77777777" w:rsidR="003670E8" w:rsidRPr="00677E16" w:rsidRDefault="003670E8" w:rsidP="00EA194A">
            <w:pPr>
              <w:suppressAutoHyphens w:val="0"/>
              <w:spacing w:line="240" w:lineRule="auto"/>
              <w:jc w:val="center"/>
              <w:rPr>
                <w:rFonts w:eastAsia="Times New Roman"/>
                <w:color w:val="000000"/>
              </w:rPr>
            </w:pPr>
          </w:p>
        </w:tc>
        <w:tc>
          <w:tcPr>
            <w:tcW w:w="1157" w:type="dxa"/>
            <w:tcBorders>
              <w:top w:val="nil"/>
              <w:left w:val="nil"/>
              <w:right w:val="nil"/>
            </w:tcBorders>
            <w:shd w:val="clear" w:color="auto" w:fill="FFFFFF" w:themeFill="background1"/>
            <w:vAlign w:val="center"/>
            <w:hideMark/>
          </w:tcPr>
          <w:p w14:paraId="7525936C" w14:textId="77777777" w:rsidR="003670E8" w:rsidRPr="00677E16" w:rsidRDefault="003670E8" w:rsidP="00EA194A">
            <w:pPr>
              <w:suppressAutoHyphens w:val="0"/>
              <w:spacing w:line="240" w:lineRule="auto"/>
              <w:jc w:val="center"/>
              <w:rPr>
                <w:rFonts w:eastAsia="Times New Roman"/>
                <w:color w:val="000000"/>
              </w:rPr>
            </w:pPr>
          </w:p>
        </w:tc>
        <w:tc>
          <w:tcPr>
            <w:tcW w:w="1060" w:type="dxa"/>
            <w:tcBorders>
              <w:top w:val="nil"/>
              <w:left w:val="nil"/>
              <w:right w:val="nil"/>
            </w:tcBorders>
            <w:shd w:val="clear" w:color="auto" w:fill="FFFFFF" w:themeFill="background1"/>
            <w:vAlign w:val="center"/>
            <w:hideMark/>
          </w:tcPr>
          <w:p w14:paraId="3D959636" w14:textId="77777777" w:rsidR="003670E8" w:rsidRPr="00677E16" w:rsidRDefault="003670E8" w:rsidP="00EA194A">
            <w:pPr>
              <w:suppressAutoHyphens w:val="0"/>
              <w:spacing w:line="240" w:lineRule="auto"/>
              <w:jc w:val="center"/>
              <w:rPr>
                <w:rFonts w:eastAsia="Times New Roman"/>
                <w:color w:val="000000"/>
              </w:rPr>
            </w:pPr>
          </w:p>
        </w:tc>
        <w:tc>
          <w:tcPr>
            <w:tcW w:w="1185" w:type="dxa"/>
            <w:tcBorders>
              <w:top w:val="nil"/>
              <w:left w:val="nil"/>
              <w:right w:val="nil"/>
            </w:tcBorders>
            <w:shd w:val="clear" w:color="auto" w:fill="FFFFFF" w:themeFill="background1"/>
            <w:vAlign w:val="center"/>
            <w:hideMark/>
          </w:tcPr>
          <w:p w14:paraId="2EB078C0" w14:textId="77777777" w:rsidR="003670E8" w:rsidRPr="00677E16" w:rsidRDefault="003670E8" w:rsidP="00EA194A">
            <w:pPr>
              <w:suppressAutoHyphens w:val="0"/>
              <w:spacing w:line="240" w:lineRule="auto"/>
              <w:jc w:val="center"/>
              <w:rPr>
                <w:rFonts w:eastAsia="Times New Roman"/>
                <w:color w:val="000000"/>
              </w:rPr>
            </w:pPr>
          </w:p>
        </w:tc>
        <w:tc>
          <w:tcPr>
            <w:tcW w:w="284" w:type="dxa"/>
            <w:tcBorders>
              <w:top w:val="nil"/>
              <w:left w:val="nil"/>
              <w:right w:val="nil"/>
            </w:tcBorders>
            <w:shd w:val="clear" w:color="auto" w:fill="FFFFFF" w:themeFill="background1"/>
            <w:vAlign w:val="center"/>
            <w:hideMark/>
          </w:tcPr>
          <w:p w14:paraId="43151D24" w14:textId="77777777" w:rsidR="003670E8" w:rsidRPr="00677E16" w:rsidRDefault="003670E8" w:rsidP="00EA194A">
            <w:pPr>
              <w:suppressAutoHyphens w:val="0"/>
              <w:spacing w:line="240" w:lineRule="auto"/>
              <w:jc w:val="center"/>
              <w:rPr>
                <w:rFonts w:eastAsia="Times New Roman"/>
                <w:color w:val="000000"/>
              </w:rPr>
            </w:pPr>
          </w:p>
        </w:tc>
        <w:tc>
          <w:tcPr>
            <w:tcW w:w="1257" w:type="dxa"/>
            <w:tcBorders>
              <w:top w:val="nil"/>
              <w:left w:val="nil"/>
              <w:right w:val="nil"/>
            </w:tcBorders>
            <w:shd w:val="clear" w:color="auto" w:fill="FFFFFF" w:themeFill="background1"/>
            <w:vAlign w:val="center"/>
            <w:hideMark/>
          </w:tcPr>
          <w:p w14:paraId="1C0BBB2F" w14:textId="77777777" w:rsidR="003670E8" w:rsidRPr="00677E16" w:rsidRDefault="003670E8" w:rsidP="00EA194A">
            <w:pPr>
              <w:suppressAutoHyphens w:val="0"/>
              <w:spacing w:line="240" w:lineRule="auto"/>
              <w:jc w:val="center"/>
              <w:rPr>
                <w:rFonts w:eastAsia="Times New Roman"/>
                <w:color w:val="000000"/>
              </w:rPr>
            </w:pPr>
          </w:p>
        </w:tc>
        <w:tc>
          <w:tcPr>
            <w:tcW w:w="1050" w:type="dxa"/>
            <w:tcBorders>
              <w:top w:val="nil"/>
              <w:left w:val="nil"/>
              <w:right w:val="nil"/>
            </w:tcBorders>
            <w:shd w:val="clear" w:color="auto" w:fill="FFFFFF" w:themeFill="background1"/>
            <w:vAlign w:val="center"/>
            <w:hideMark/>
          </w:tcPr>
          <w:p w14:paraId="0918AA08"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Emission reductions</w:t>
            </w:r>
          </w:p>
        </w:tc>
        <w:tc>
          <w:tcPr>
            <w:tcW w:w="980" w:type="dxa"/>
            <w:tcBorders>
              <w:top w:val="nil"/>
              <w:left w:val="nil"/>
              <w:right w:val="nil"/>
            </w:tcBorders>
            <w:shd w:val="clear" w:color="auto" w:fill="FFFFFF" w:themeFill="background1"/>
            <w:vAlign w:val="center"/>
            <w:hideMark/>
          </w:tcPr>
          <w:p w14:paraId="123FB1FA"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Yes</w:t>
            </w:r>
          </w:p>
        </w:tc>
        <w:tc>
          <w:tcPr>
            <w:tcW w:w="980" w:type="dxa"/>
            <w:tcBorders>
              <w:top w:val="nil"/>
              <w:left w:val="nil"/>
              <w:right w:val="nil"/>
            </w:tcBorders>
            <w:shd w:val="clear" w:color="auto" w:fill="FFFFFF" w:themeFill="background1"/>
            <w:vAlign w:val="center"/>
            <w:hideMark/>
          </w:tcPr>
          <w:p w14:paraId="309B78B9" w14:textId="77777777" w:rsidR="003670E8" w:rsidRPr="00677E16" w:rsidRDefault="003670E8" w:rsidP="00EA194A">
            <w:pPr>
              <w:suppressAutoHyphens w:val="0"/>
              <w:spacing w:line="240" w:lineRule="auto"/>
              <w:jc w:val="center"/>
              <w:rPr>
                <w:rFonts w:eastAsia="Times New Roman"/>
                <w:color w:val="000000"/>
              </w:rPr>
            </w:pPr>
          </w:p>
        </w:tc>
        <w:tc>
          <w:tcPr>
            <w:tcW w:w="800" w:type="dxa"/>
            <w:tcBorders>
              <w:top w:val="nil"/>
              <w:left w:val="nil"/>
              <w:right w:val="nil"/>
            </w:tcBorders>
            <w:shd w:val="clear" w:color="auto" w:fill="FFFFFF" w:themeFill="background1"/>
            <w:vAlign w:val="center"/>
            <w:hideMark/>
          </w:tcPr>
          <w:p w14:paraId="57730DD3" w14:textId="77777777" w:rsidR="003670E8" w:rsidRPr="00677E16" w:rsidRDefault="003670E8" w:rsidP="00EA194A">
            <w:pPr>
              <w:suppressAutoHyphens w:val="0"/>
              <w:spacing w:line="240" w:lineRule="auto"/>
              <w:jc w:val="center"/>
              <w:rPr>
                <w:rFonts w:eastAsia="Times New Roman"/>
                <w:color w:val="000000"/>
              </w:rPr>
            </w:pPr>
          </w:p>
        </w:tc>
        <w:tc>
          <w:tcPr>
            <w:tcW w:w="266" w:type="dxa"/>
            <w:tcBorders>
              <w:top w:val="nil"/>
              <w:left w:val="nil"/>
              <w:right w:val="nil"/>
            </w:tcBorders>
            <w:shd w:val="clear" w:color="auto" w:fill="FFFFFF" w:themeFill="background1"/>
            <w:vAlign w:val="center"/>
            <w:hideMark/>
          </w:tcPr>
          <w:p w14:paraId="73E62F77" w14:textId="77777777" w:rsidR="003670E8" w:rsidRPr="00677E16" w:rsidRDefault="003670E8" w:rsidP="00EA194A">
            <w:pPr>
              <w:suppressAutoHyphens w:val="0"/>
              <w:spacing w:line="240" w:lineRule="auto"/>
              <w:jc w:val="center"/>
              <w:rPr>
                <w:rFonts w:eastAsia="Times New Roman"/>
                <w:color w:val="000000"/>
              </w:rPr>
            </w:pPr>
          </w:p>
        </w:tc>
        <w:tc>
          <w:tcPr>
            <w:tcW w:w="960" w:type="dxa"/>
            <w:tcBorders>
              <w:top w:val="nil"/>
              <w:left w:val="nil"/>
              <w:right w:val="nil"/>
            </w:tcBorders>
            <w:shd w:val="clear" w:color="auto" w:fill="FFFFFF" w:themeFill="background1"/>
            <w:noWrap/>
            <w:vAlign w:val="center"/>
            <w:hideMark/>
          </w:tcPr>
          <w:p w14:paraId="60B7E3EF" w14:textId="77777777" w:rsidR="003670E8" w:rsidRPr="00677E16" w:rsidRDefault="003670E8" w:rsidP="00EA194A">
            <w:pPr>
              <w:suppressAutoHyphens w:val="0"/>
              <w:spacing w:line="240" w:lineRule="auto"/>
              <w:jc w:val="center"/>
              <w:rPr>
                <w:rFonts w:ascii="Calibri" w:eastAsia="Times New Roman" w:hAnsi="Calibri" w:cs="Calibri"/>
                <w:color w:val="000000"/>
                <w:sz w:val="22"/>
                <w:szCs w:val="22"/>
              </w:rPr>
            </w:pPr>
          </w:p>
        </w:tc>
      </w:tr>
      <w:tr w:rsidR="003670E8" w:rsidRPr="00677E16" w14:paraId="5AB06878" w14:textId="77777777" w:rsidTr="00EA194A">
        <w:trPr>
          <w:trHeight w:val="300"/>
        </w:trPr>
        <w:tc>
          <w:tcPr>
            <w:tcW w:w="851" w:type="dxa"/>
            <w:tcBorders>
              <w:top w:val="nil"/>
              <w:left w:val="nil"/>
              <w:bottom w:val="single" w:sz="12" w:space="0" w:color="auto"/>
              <w:right w:val="nil"/>
            </w:tcBorders>
            <w:shd w:val="clear" w:color="auto" w:fill="FFFFFF" w:themeFill="background1"/>
            <w:vAlign w:val="center"/>
            <w:hideMark/>
          </w:tcPr>
          <w:p w14:paraId="4A270D75"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non-GHG</w:t>
            </w:r>
          </w:p>
        </w:tc>
        <w:tc>
          <w:tcPr>
            <w:tcW w:w="992" w:type="dxa"/>
            <w:tcBorders>
              <w:top w:val="nil"/>
              <w:left w:val="nil"/>
              <w:bottom w:val="single" w:sz="12" w:space="0" w:color="auto"/>
              <w:right w:val="nil"/>
            </w:tcBorders>
            <w:shd w:val="clear" w:color="auto" w:fill="FFFFFF" w:themeFill="background1"/>
            <w:vAlign w:val="center"/>
            <w:hideMark/>
          </w:tcPr>
          <w:p w14:paraId="573C1B7E" w14:textId="77777777" w:rsidR="003670E8" w:rsidRPr="00677E16" w:rsidRDefault="003670E8" w:rsidP="00EA194A">
            <w:pPr>
              <w:suppressAutoHyphens w:val="0"/>
              <w:spacing w:line="240" w:lineRule="auto"/>
              <w:jc w:val="center"/>
              <w:rPr>
                <w:rFonts w:eastAsia="Times New Roman"/>
                <w:color w:val="000000"/>
              </w:rPr>
            </w:pPr>
          </w:p>
        </w:tc>
        <w:tc>
          <w:tcPr>
            <w:tcW w:w="1157" w:type="dxa"/>
            <w:tcBorders>
              <w:top w:val="nil"/>
              <w:left w:val="nil"/>
              <w:bottom w:val="single" w:sz="12" w:space="0" w:color="auto"/>
              <w:right w:val="nil"/>
            </w:tcBorders>
            <w:shd w:val="clear" w:color="auto" w:fill="FFFFFF" w:themeFill="background1"/>
            <w:vAlign w:val="center"/>
            <w:hideMark/>
          </w:tcPr>
          <w:p w14:paraId="37F79062" w14:textId="77777777" w:rsidR="003670E8" w:rsidRPr="00677E16" w:rsidRDefault="003670E8" w:rsidP="00EA194A">
            <w:pPr>
              <w:suppressAutoHyphens w:val="0"/>
              <w:spacing w:line="240" w:lineRule="auto"/>
              <w:jc w:val="center"/>
              <w:rPr>
                <w:rFonts w:eastAsia="Times New Roman"/>
                <w:color w:val="000000"/>
              </w:rPr>
            </w:pPr>
          </w:p>
        </w:tc>
        <w:tc>
          <w:tcPr>
            <w:tcW w:w="1060" w:type="dxa"/>
            <w:tcBorders>
              <w:top w:val="nil"/>
              <w:left w:val="nil"/>
              <w:bottom w:val="single" w:sz="12" w:space="0" w:color="auto"/>
              <w:right w:val="nil"/>
            </w:tcBorders>
            <w:shd w:val="clear" w:color="auto" w:fill="FFFFFF" w:themeFill="background1"/>
            <w:vAlign w:val="center"/>
            <w:hideMark/>
          </w:tcPr>
          <w:p w14:paraId="2F6AD0C0" w14:textId="77777777" w:rsidR="003670E8" w:rsidRPr="00677E16" w:rsidRDefault="003670E8" w:rsidP="00EA194A">
            <w:pPr>
              <w:suppressAutoHyphens w:val="0"/>
              <w:spacing w:line="240" w:lineRule="auto"/>
              <w:jc w:val="center"/>
              <w:rPr>
                <w:rFonts w:eastAsia="Times New Roman"/>
                <w:color w:val="000000"/>
              </w:rPr>
            </w:pPr>
          </w:p>
        </w:tc>
        <w:tc>
          <w:tcPr>
            <w:tcW w:w="1185" w:type="dxa"/>
            <w:tcBorders>
              <w:top w:val="nil"/>
              <w:left w:val="nil"/>
              <w:bottom w:val="single" w:sz="12" w:space="0" w:color="auto"/>
              <w:right w:val="nil"/>
            </w:tcBorders>
            <w:shd w:val="clear" w:color="auto" w:fill="FFFFFF" w:themeFill="background1"/>
            <w:vAlign w:val="center"/>
            <w:hideMark/>
          </w:tcPr>
          <w:p w14:paraId="2FD724BA" w14:textId="77777777" w:rsidR="003670E8" w:rsidRPr="00677E16" w:rsidRDefault="003670E8" w:rsidP="00EA194A">
            <w:pPr>
              <w:suppressAutoHyphens w:val="0"/>
              <w:spacing w:line="240" w:lineRule="auto"/>
              <w:jc w:val="center"/>
              <w:rPr>
                <w:rFonts w:eastAsia="Times New Roman"/>
                <w:color w:val="000000"/>
              </w:rPr>
            </w:pPr>
          </w:p>
        </w:tc>
        <w:tc>
          <w:tcPr>
            <w:tcW w:w="284" w:type="dxa"/>
            <w:tcBorders>
              <w:top w:val="nil"/>
              <w:left w:val="nil"/>
              <w:bottom w:val="single" w:sz="12" w:space="0" w:color="auto"/>
              <w:right w:val="nil"/>
            </w:tcBorders>
            <w:shd w:val="clear" w:color="auto" w:fill="FFFFFF" w:themeFill="background1"/>
            <w:vAlign w:val="center"/>
            <w:hideMark/>
          </w:tcPr>
          <w:p w14:paraId="6BA8B847" w14:textId="77777777" w:rsidR="003670E8" w:rsidRPr="00677E16" w:rsidRDefault="003670E8" w:rsidP="00EA194A">
            <w:pPr>
              <w:suppressAutoHyphens w:val="0"/>
              <w:spacing w:line="240" w:lineRule="auto"/>
              <w:jc w:val="center"/>
              <w:rPr>
                <w:rFonts w:eastAsia="Times New Roman"/>
                <w:color w:val="000000"/>
              </w:rPr>
            </w:pPr>
          </w:p>
        </w:tc>
        <w:tc>
          <w:tcPr>
            <w:tcW w:w="1257" w:type="dxa"/>
            <w:tcBorders>
              <w:top w:val="nil"/>
              <w:left w:val="nil"/>
              <w:bottom w:val="single" w:sz="12" w:space="0" w:color="auto"/>
              <w:right w:val="nil"/>
            </w:tcBorders>
            <w:shd w:val="clear" w:color="auto" w:fill="FFFFFF" w:themeFill="background1"/>
            <w:vAlign w:val="center"/>
            <w:hideMark/>
          </w:tcPr>
          <w:p w14:paraId="42B26B49" w14:textId="77777777" w:rsidR="003670E8" w:rsidRPr="00677E16" w:rsidRDefault="003670E8" w:rsidP="00EA194A">
            <w:pPr>
              <w:suppressAutoHyphens w:val="0"/>
              <w:spacing w:line="240" w:lineRule="auto"/>
              <w:jc w:val="center"/>
              <w:rPr>
                <w:rFonts w:eastAsia="Times New Roman"/>
                <w:color w:val="000000"/>
              </w:rPr>
            </w:pPr>
          </w:p>
        </w:tc>
        <w:tc>
          <w:tcPr>
            <w:tcW w:w="1050" w:type="dxa"/>
            <w:tcBorders>
              <w:top w:val="nil"/>
              <w:left w:val="nil"/>
              <w:bottom w:val="single" w:sz="12" w:space="0" w:color="auto"/>
              <w:right w:val="nil"/>
            </w:tcBorders>
            <w:shd w:val="clear" w:color="auto" w:fill="FFFFFF" w:themeFill="background1"/>
            <w:vAlign w:val="center"/>
            <w:hideMark/>
          </w:tcPr>
          <w:p w14:paraId="51CAB426"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Removals</w:t>
            </w:r>
          </w:p>
        </w:tc>
        <w:tc>
          <w:tcPr>
            <w:tcW w:w="980" w:type="dxa"/>
            <w:tcBorders>
              <w:top w:val="nil"/>
              <w:left w:val="nil"/>
              <w:bottom w:val="single" w:sz="12" w:space="0" w:color="auto"/>
              <w:right w:val="nil"/>
            </w:tcBorders>
            <w:shd w:val="clear" w:color="auto" w:fill="FFFFFF" w:themeFill="background1"/>
            <w:vAlign w:val="center"/>
            <w:hideMark/>
          </w:tcPr>
          <w:p w14:paraId="686DED78" w14:textId="77777777" w:rsidR="003670E8" w:rsidRPr="00677E16" w:rsidRDefault="003670E8" w:rsidP="00EA194A">
            <w:pPr>
              <w:suppressAutoHyphens w:val="0"/>
              <w:spacing w:line="240" w:lineRule="auto"/>
              <w:jc w:val="center"/>
              <w:rPr>
                <w:rFonts w:eastAsia="Times New Roman"/>
                <w:color w:val="000000"/>
              </w:rPr>
            </w:pPr>
            <w:r w:rsidRPr="00677E16">
              <w:rPr>
                <w:rFonts w:eastAsia="Times New Roman"/>
                <w:color w:val="000000"/>
              </w:rPr>
              <w:t>No</w:t>
            </w:r>
          </w:p>
        </w:tc>
        <w:tc>
          <w:tcPr>
            <w:tcW w:w="980" w:type="dxa"/>
            <w:tcBorders>
              <w:top w:val="nil"/>
              <w:left w:val="nil"/>
              <w:bottom w:val="single" w:sz="12" w:space="0" w:color="auto"/>
              <w:right w:val="nil"/>
            </w:tcBorders>
            <w:shd w:val="clear" w:color="auto" w:fill="FFFFFF" w:themeFill="background1"/>
            <w:vAlign w:val="center"/>
            <w:hideMark/>
          </w:tcPr>
          <w:p w14:paraId="5C3C025D" w14:textId="77777777" w:rsidR="003670E8" w:rsidRPr="00677E16" w:rsidRDefault="003670E8" w:rsidP="00EA194A">
            <w:pPr>
              <w:suppressAutoHyphens w:val="0"/>
              <w:spacing w:line="240" w:lineRule="auto"/>
              <w:jc w:val="center"/>
              <w:rPr>
                <w:rFonts w:eastAsia="Times New Roman"/>
                <w:color w:val="000000"/>
              </w:rPr>
            </w:pPr>
          </w:p>
        </w:tc>
        <w:tc>
          <w:tcPr>
            <w:tcW w:w="800" w:type="dxa"/>
            <w:tcBorders>
              <w:top w:val="nil"/>
              <w:left w:val="nil"/>
              <w:bottom w:val="single" w:sz="12" w:space="0" w:color="auto"/>
              <w:right w:val="nil"/>
            </w:tcBorders>
            <w:shd w:val="clear" w:color="auto" w:fill="FFFFFF" w:themeFill="background1"/>
            <w:vAlign w:val="center"/>
            <w:hideMark/>
          </w:tcPr>
          <w:p w14:paraId="05338799" w14:textId="77777777" w:rsidR="003670E8" w:rsidRPr="00677E16" w:rsidRDefault="003670E8" w:rsidP="00EA194A">
            <w:pPr>
              <w:suppressAutoHyphens w:val="0"/>
              <w:spacing w:line="240" w:lineRule="auto"/>
              <w:jc w:val="center"/>
              <w:rPr>
                <w:rFonts w:eastAsia="Times New Roman"/>
                <w:color w:val="000000"/>
              </w:rPr>
            </w:pPr>
          </w:p>
        </w:tc>
        <w:tc>
          <w:tcPr>
            <w:tcW w:w="266" w:type="dxa"/>
            <w:tcBorders>
              <w:top w:val="nil"/>
              <w:left w:val="nil"/>
              <w:bottom w:val="single" w:sz="12" w:space="0" w:color="auto"/>
              <w:right w:val="nil"/>
            </w:tcBorders>
            <w:shd w:val="clear" w:color="auto" w:fill="FFFFFF" w:themeFill="background1"/>
            <w:vAlign w:val="center"/>
            <w:hideMark/>
          </w:tcPr>
          <w:p w14:paraId="24E5BBF2" w14:textId="77777777" w:rsidR="003670E8" w:rsidRPr="00677E16" w:rsidRDefault="003670E8" w:rsidP="00EA194A">
            <w:pPr>
              <w:suppressAutoHyphens w:val="0"/>
              <w:spacing w:line="240" w:lineRule="auto"/>
              <w:jc w:val="center"/>
              <w:rPr>
                <w:rFonts w:eastAsia="Times New Roman"/>
                <w:color w:val="000000"/>
              </w:rPr>
            </w:pPr>
          </w:p>
        </w:tc>
        <w:tc>
          <w:tcPr>
            <w:tcW w:w="960" w:type="dxa"/>
            <w:tcBorders>
              <w:top w:val="nil"/>
              <w:left w:val="nil"/>
              <w:bottom w:val="single" w:sz="12" w:space="0" w:color="auto"/>
              <w:right w:val="nil"/>
            </w:tcBorders>
            <w:shd w:val="clear" w:color="auto" w:fill="FFFFFF" w:themeFill="background1"/>
            <w:noWrap/>
            <w:vAlign w:val="center"/>
            <w:hideMark/>
          </w:tcPr>
          <w:p w14:paraId="1C67F1B5" w14:textId="77777777" w:rsidR="003670E8" w:rsidRPr="00677E16" w:rsidRDefault="003670E8" w:rsidP="00EA194A">
            <w:pPr>
              <w:suppressAutoHyphens w:val="0"/>
              <w:spacing w:line="240" w:lineRule="auto"/>
              <w:jc w:val="center"/>
              <w:rPr>
                <w:rFonts w:ascii="Calibri" w:eastAsia="Times New Roman" w:hAnsi="Calibri" w:cs="Calibri"/>
                <w:color w:val="000000"/>
                <w:sz w:val="22"/>
                <w:szCs w:val="22"/>
              </w:rPr>
            </w:pPr>
          </w:p>
        </w:tc>
      </w:tr>
    </w:tbl>
    <w:p w14:paraId="3CA4BAE1" w14:textId="77777777" w:rsidR="003670E8" w:rsidRPr="00677E16" w:rsidRDefault="003670E8" w:rsidP="003670E8">
      <w:pPr>
        <w:keepNext/>
        <w:spacing w:line="60" w:lineRule="exact"/>
        <w:ind w:left="283" w:right="1134"/>
        <w:jc w:val="both"/>
        <w:sectPr w:rsidR="003670E8" w:rsidRPr="00677E16">
          <w:endnotePr>
            <w:numFmt w:val="lowerLetter"/>
            <w:numRestart w:val="eachSect"/>
          </w:endnotePr>
          <w:type w:val="continuous"/>
          <w:pgSz w:w="16838" w:h="11906" w:orient="landscape" w:code="9"/>
          <w:pgMar w:top="1560" w:right="1134" w:bottom="1134" w:left="1418" w:header="850" w:footer="567" w:gutter="0"/>
          <w:cols w:space="708"/>
          <w:docGrid w:linePitch="360"/>
        </w:sectPr>
      </w:pPr>
    </w:p>
    <w:p w14:paraId="16A22A2D" w14:textId="77777777" w:rsidR="003670E8" w:rsidRPr="00677E16" w:rsidRDefault="003670E8" w:rsidP="003670E8">
      <w:pPr>
        <w:suppressAutoHyphens w:val="0"/>
        <w:spacing w:line="240" w:lineRule="auto"/>
        <w:rPr>
          <w:b/>
        </w:rPr>
      </w:pPr>
      <w:r w:rsidRPr="00677E16">
        <w:rPr>
          <w:b/>
          <w:i/>
          <w:sz w:val="28"/>
        </w:rPr>
        <w:br w:type="page"/>
      </w:r>
      <w:r w:rsidRPr="00677E16">
        <w:lastRenderedPageBreak/>
        <w:t>[Table 5</w:t>
      </w:r>
      <w:r w:rsidRPr="00677E16">
        <w:rPr>
          <w:b/>
        </w:rPr>
        <w:br/>
        <w:t>Authorized entities</w:t>
      </w:r>
    </w:p>
    <w:tbl>
      <w:tblPr>
        <w:tblW w:w="13860" w:type="dxa"/>
        <w:tblInd w:w="426" w:type="dxa"/>
        <w:tblLook w:val="04A0" w:firstRow="1" w:lastRow="0" w:firstColumn="1" w:lastColumn="0" w:noHBand="0" w:noVBand="1"/>
      </w:tblPr>
      <w:tblGrid>
        <w:gridCol w:w="1412"/>
        <w:gridCol w:w="1100"/>
        <w:gridCol w:w="2083"/>
        <w:gridCol w:w="974"/>
        <w:gridCol w:w="1226"/>
        <w:gridCol w:w="1081"/>
        <w:gridCol w:w="1233"/>
        <w:gridCol w:w="940"/>
        <w:gridCol w:w="1088"/>
        <w:gridCol w:w="1472"/>
        <w:gridCol w:w="1251"/>
      </w:tblGrid>
      <w:tr w:rsidR="003670E8" w:rsidRPr="00677E16" w14:paraId="726FF714" w14:textId="77777777" w:rsidTr="00EA194A">
        <w:trPr>
          <w:trHeight w:val="300"/>
        </w:trPr>
        <w:tc>
          <w:tcPr>
            <w:tcW w:w="1412" w:type="dxa"/>
            <w:vMerge w:val="restart"/>
            <w:tcBorders>
              <w:top w:val="single" w:sz="4" w:space="0" w:color="auto"/>
              <w:left w:val="nil"/>
              <w:bottom w:val="single" w:sz="8" w:space="0" w:color="auto"/>
              <w:right w:val="nil"/>
            </w:tcBorders>
            <w:shd w:val="clear" w:color="auto" w:fill="FFFFFF" w:themeFill="background1"/>
            <w:vAlign w:val="bottom"/>
            <w:hideMark/>
          </w:tcPr>
          <w:p w14:paraId="6638AB0E"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sz w:val="16"/>
                <w:szCs w:val="16"/>
                <w:lang w:val="en-US"/>
              </w:rPr>
              <w:t>Date of the authorization</w:t>
            </w:r>
            <w:r w:rsidRPr="00677E16">
              <w:rPr>
                <w:rFonts w:eastAsia="Times New Roman"/>
                <w:i/>
                <w:iCs/>
                <w:color w:val="262626"/>
                <w:sz w:val="16"/>
                <w:szCs w:val="16"/>
                <w:vertAlign w:val="superscript"/>
                <w:lang w:val="en-US"/>
              </w:rPr>
              <w:t>a</w:t>
            </w:r>
            <w:r w:rsidRPr="00677E16">
              <w:rPr>
                <w:rStyle w:val="EndnoteReference"/>
                <w:rFonts w:eastAsia="Times New Roman"/>
                <w:color w:val="FFFFFF" w:themeColor="background1"/>
                <w:lang w:val="en-US"/>
              </w:rPr>
              <w:endnoteReference w:id="9"/>
            </w:r>
          </w:p>
        </w:tc>
        <w:tc>
          <w:tcPr>
            <w:tcW w:w="1100" w:type="dxa"/>
            <w:vMerge w:val="restart"/>
            <w:tcBorders>
              <w:top w:val="single" w:sz="4" w:space="0" w:color="auto"/>
              <w:left w:val="nil"/>
              <w:right w:val="nil"/>
            </w:tcBorders>
            <w:shd w:val="clear" w:color="auto" w:fill="FFFFFF" w:themeFill="background1"/>
            <w:vAlign w:val="bottom"/>
          </w:tcPr>
          <w:p w14:paraId="27072675" w14:textId="77777777" w:rsidR="003670E8" w:rsidRPr="00677E16" w:rsidRDefault="003670E8" w:rsidP="00EA194A">
            <w:pPr>
              <w:suppressAutoHyphens w:val="0"/>
              <w:spacing w:line="240" w:lineRule="auto"/>
              <w:jc w:val="center"/>
              <w:rPr>
                <w:rFonts w:eastAsia="Times New Roman"/>
                <w:i/>
                <w:iCs/>
                <w:color w:val="262626"/>
                <w:sz w:val="16"/>
                <w:szCs w:val="16"/>
              </w:rPr>
            </w:pPr>
            <w:r>
              <w:rPr>
                <w:rFonts w:eastAsia="Times New Roman"/>
                <w:i/>
                <w:iCs/>
                <w:color w:val="262626"/>
                <w:sz w:val="16"/>
                <w:szCs w:val="16"/>
              </w:rPr>
              <w:t>Authorization ID</w:t>
            </w:r>
          </w:p>
        </w:tc>
        <w:tc>
          <w:tcPr>
            <w:tcW w:w="2083" w:type="dxa"/>
            <w:vMerge w:val="restart"/>
            <w:tcBorders>
              <w:top w:val="single" w:sz="4" w:space="0" w:color="auto"/>
              <w:left w:val="nil"/>
              <w:bottom w:val="single" w:sz="8" w:space="0" w:color="auto"/>
              <w:right w:val="nil"/>
            </w:tcBorders>
            <w:shd w:val="clear" w:color="auto" w:fill="FFFFFF" w:themeFill="background1"/>
            <w:vAlign w:val="bottom"/>
            <w:hideMark/>
          </w:tcPr>
          <w:p w14:paraId="585B1F55" w14:textId="77777777" w:rsidR="003670E8" w:rsidRPr="00677E16" w:rsidRDefault="003670E8" w:rsidP="00EA194A">
            <w:pPr>
              <w:suppressAutoHyphens w:val="0"/>
              <w:spacing w:line="240" w:lineRule="auto"/>
              <w:jc w:val="center"/>
              <w:rPr>
                <w:rFonts w:eastAsia="Times New Roman"/>
                <w:i/>
                <w:iCs/>
                <w:color w:val="262626"/>
                <w:sz w:val="16"/>
                <w:szCs w:val="16"/>
              </w:rPr>
            </w:pPr>
            <w:r>
              <w:rPr>
                <w:rFonts w:eastAsia="Times New Roman"/>
                <w:i/>
                <w:iCs/>
                <w:color w:val="262626"/>
                <w:sz w:val="16"/>
                <w:szCs w:val="16"/>
              </w:rPr>
              <w:t>[</w:t>
            </w:r>
            <w:r w:rsidRPr="00677E16">
              <w:rPr>
                <w:rFonts w:eastAsia="Times New Roman"/>
                <w:i/>
                <w:iCs/>
                <w:color w:val="262626"/>
                <w:sz w:val="16"/>
                <w:szCs w:val="16"/>
              </w:rPr>
              <w:t>Authorization action</w:t>
            </w:r>
            <w:r w:rsidRPr="00677E16">
              <w:rPr>
                <w:rStyle w:val="EndnoteReference"/>
                <w:rFonts w:eastAsia="Times New Roman"/>
                <w:iCs/>
                <w:color w:val="FFFFFF" w:themeColor="background1"/>
                <w:szCs w:val="16"/>
              </w:rPr>
              <w:endnoteReference w:id="10"/>
            </w:r>
            <w:r w:rsidRPr="00677E16">
              <w:rPr>
                <w:rFonts w:eastAsia="Times New Roman"/>
                <w:i/>
                <w:iCs/>
                <w:color w:val="262626"/>
                <w:sz w:val="16"/>
                <w:szCs w:val="16"/>
              </w:rPr>
              <w:t> </w:t>
            </w:r>
            <w:r>
              <w:rPr>
                <w:rFonts w:eastAsia="Times New Roman"/>
                <w:i/>
                <w:iCs/>
                <w:color w:val="262626"/>
                <w:sz w:val="16"/>
                <w:szCs w:val="16"/>
              </w:rPr>
              <w:t>]</w:t>
            </w:r>
          </w:p>
        </w:tc>
        <w:tc>
          <w:tcPr>
            <w:tcW w:w="3281" w:type="dxa"/>
            <w:gridSpan w:val="3"/>
            <w:tcBorders>
              <w:top w:val="single" w:sz="4" w:space="0" w:color="auto"/>
              <w:left w:val="nil"/>
              <w:bottom w:val="single" w:sz="4" w:space="0" w:color="auto"/>
              <w:right w:val="nil"/>
            </w:tcBorders>
            <w:shd w:val="clear" w:color="auto" w:fill="FFFFFF" w:themeFill="background1"/>
            <w:vAlign w:val="bottom"/>
            <w:hideMark/>
          </w:tcPr>
          <w:p w14:paraId="3ACDEF0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Authorized entity</w:t>
            </w:r>
          </w:p>
        </w:tc>
        <w:tc>
          <w:tcPr>
            <w:tcW w:w="1233" w:type="dxa"/>
            <w:tcBorders>
              <w:top w:val="single" w:sz="4" w:space="0" w:color="auto"/>
              <w:left w:val="nil"/>
              <w:bottom w:val="nil"/>
              <w:right w:val="nil"/>
            </w:tcBorders>
            <w:shd w:val="clear" w:color="auto" w:fill="FFFFFF" w:themeFill="background1"/>
            <w:vAlign w:val="bottom"/>
            <w:hideMark/>
          </w:tcPr>
          <w:p w14:paraId="095694CA" w14:textId="77777777" w:rsidR="003670E8" w:rsidRPr="00677E16" w:rsidRDefault="003670E8" w:rsidP="00EA194A">
            <w:pPr>
              <w:suppressAutoHyphens w:val="0"/>
              <w:spacing w:line="240" w:lineRule="auto"/>
              <w:rPr>
                <w:rFonts w:eastAsia="Times New Roman"/>
                <w:i/>
                <w:iCs/>
                <w:color w:val="262626"/>
                <w:sz w:val="16"/>
                <w:szCs w:val="16"/>
              </w:rPr>
            </w:pPr>
            <w:r w:rsidRPr="00677E16">
              <w:rPr>
                <w:rFonts w:eastAsia="Times New Roman"/>
                <w:i/>
                <w:iCs/>
                <w:color w:val="262626"/>
                <w:sz w:val="16"/>
                <w:szCs w:val="16"/>
              </w:rPr>
              <w:t> </w:t>
            </w:r>
          </w:p>
        </w:tc>
        <w:tc>
          <w:tcPr>
            <w:tcW w:w="940" w:type="dxa"/>
            <w:vMerge w:val="restart"/>
            <w:tcBorders>
              <w:top w:val="single" w:sz="4" w:space="0" w:color="auto"/>
              <w:left w:val="nil"/>
              <w:bottom w:val="single" w:sz="8" w:space="0" w:color="auto"/>
              <w:right w:val="nil"/>
            </w:tcBorders>
            <w:shd w:val="clear" w:color="auto" w:fill="FFFFFF" w:themeFill="background1"/>
            <w:vAlign w:val="bottom"/>
            <w:hideMark/>
          </w:tcPr>
          <w:p w14:paraId="5996CF4A"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sz w:val="16"/>
                <w:szCs w:val="16"/>
                <w:lang w:val="en-US"/>
              </w:rPr>
              <w:t>[</w:t>
            </w:r>
            <w:r w:rsidRPr="00677E16">
              <w:rPr>
                <w:rFonts w:eastAsia="Times New Roman"/>
                <w:i/>
                <w:iCs/>
                <w:sz w:val="16"/>
                <w:szCs w:val="16"/>
                <w:lang w:val="en-US"/>
              </w:rPr>
              <w:t>Registry ID</w:t>
            </w:r>
            <w:r w:rsidRPr="00677E16">
              <w:rPr>
                <w:rFonts w:eastAsia="Times New Roman"/>
                <w:i/>
                <w:iCs/>
                <w:sz w:val="16"/>
                <w:szCs w:val="16"/>
                <w:vertAlign w:val="superscript"/>
                <w:lang w:val="en-US"/>
              </w:rPr>
              <w:t>d</w:t>
            </w:r>
            <w:r w:rsidRPr="00677E16">
              <w:rPr>
                <w:rStyle w:val="EndnoteReference"/>
                <w:rFonts w:eastAsia="Times New Roman"/>
                <w:lang w:val="en-US"/>
              </w:rPr>
              <w:endnoteReference w:id="11"/>
            </w:r>
            <w:r w:rsidRPr="00DC26FE">
              <w:rPr>
                <w:rFonts w:eastAsia="Times New Roman"/>
                <w:i/>
                <w:iCs/>
                <w:sz w:val="16"/>
                <w:szCs w:val="16"/>
                <w:lang w:val="en-US"/>
              </w:rPr>
              <w:t>]</w:t>
            </w:r>
          </w:p>
        </w:tc>
        <w:tc>
          <w:tcPr>
            <w:tcW w:w="1088" w:type="dxa"/>
            <w:vMerge w:val="restart"/>
            <w:tcBorders>
              <w:top w:val="single" w:sz="4" w:space="0" w:color="auto"/>
              <w:left w:val="nil"/>
              <w:bottom w:val="single" w:sz="8" w:space="0" w:color="auto"/>
              <w:right w:val="nil"/>
            </w:tcBorders>
            <w:shd w:val="clear" w:color="auto" w:fill="FFFFFF" w:themeFill="background1"/>
            <w:vAlign w:val="bottom"/>
            <w:hideMark/>
          </w:tcPr>
          <w:p w14:paraId="099B35C8"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Pr>
                <w:rFonts w:eastAsia="Times New Roman"/>
                <w:i/>
                <w:iCs/>
                <w:color w:val="262626" w:themeColor="text1" w:themeTint="D9"/>
                <w:sz w:val="16"/>
                <w:szCs w:val="16"/>
                <w:lang w:val="en-US"/>
              </w:rPr>
              <w:t>[</w:t>
            </w:r>
            <w:r w:rsidRPr="00677E16">
              <w:rPr>
                <w:rFonts w:eastAsia="Times New Roman"/>
                <w:i/>
                <w:iCs/>
                <w:color w:val="262626" w:themeColor="text1" w:themeTint="D9"/>
                <w:sz w:val="16"/>
                <w:szCs w:val="16"/>
                <w:lang w:val="en-US"/>
              </w:rPr>
              <w:t>Conditions</w:t>
            </w:r>
            <w:r w:rsidRPr="00677E16">
              <w:rPr>
                <w:rFonts w:eastAsia="Times New Roman"/>
                <w:i/>
                <w:iCs/>
                <w:color w:val="262626" w:themeColor="text1" w:themeTint="D9"/>
                <w:sz w:val="16"/>
                <w:szCs w:val="16"/>
                <w:vertAlign w:val="superscript"/>
                <w:lang w:val="en-US"/>
              </w:rPr>
              <w:t>e</w:t>
            </w:r>
            <w:r w:rsidRPr="00DC26FE">
              <w:rPr>
                <w:rFonts w:eastAsia="Times New Roman"/>
                <w:i/>
                <w:iCs/>
                <w:color w:val="262626" w:themeColor="text1" w:themeTint="D9"/>
                <w:sz w:val="16"/>
                <w:szCs w:val="16"/>
                <w:lang w:val="en-US"/>
              </w:rPr>
              <w:t>]</w:t>
            </w:r>
          </w:p>
        </w:tc>
        <w:tc>
          <w:tcPr>
            <w:tcW w:w="1472" w:type="dxa"/>
            <w:tcBorders>
              <w:top w:val="single" w:sz="4" w:space="0" w:color="auto"/>
              <w:left w:val="nil"/>
              <w:bottom w:val="nil"/>
              <w:right w:val="nil"/>
            </w:tcBorders>
            <w:shd w:val="clear" w:color="auto" w:fill="FFFFFF" w:themeFill="background1"/>
            <w:vAlign w:val="bottom"/>
            <w:hideMark/>
          </w:tcPr>
          <w:p w14:paraId="226B02B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251" w:type="dxa"/>
            <w:tcBorders>
              <w:top w:val="single" w:sz="4" w:space="0" w:color="auto"/>
              <w:left w:val="nil"/>
              <w:bottom w:val="nil"/>
              <w:right w:val="nil"/>
            </w:tcBorders>
            <w:shd w:val="clear" w:color="auto" w:fill="FFFFFF" w:themeFill="background1"/>
          </w:tcPr>
          <w:p w14:paraId="7E53DDC6" w14:textId="77777777" w:rsidR="003670E8" w:rsidRPr="00677E16" w:rsidRDefault="003670E8" w:rsidP="00EA194A">
            <w:pPr>
              <w:suppressAutoHyphens w:val="0"/>
              <w:spacing w:line="240" w:lineRule="auto"/>
              <w:jc w:val="center"/>
              <w:rPr>
                <w:rFonts w:eastAsia="Times New Roman"/>
                <w:i/>
                <w:iCs/>
                <w:color w:val="262626"/>
                <w:sz w:val="16"/>
                <w:szCs w:val="16"/>
              </w:rPr>
            </w:pPr>
          </w:p>
        </w:tc>
      </w:tr>
      <w:tr w:rsidR="003670E8" w:rsidRPr="00677E16" w14:paraId="661CB558" w14:textId="77777777" w:rsidTr="00EA194A">
        <w:trPr>
          <w:trHeight w:val="600"/>
        </w:trPr>
        <w:tc>
          <w:tcPr>
            <w:tcW w:w="1412" w:type="dxa"/>
            <w:vMerge/>
            <w:tcBorders>
              <w:bottom w:val="single" w:sz="8" w:space="0" w:color="auto"/>
            </w:tcBorders>
            <w:vAlign w:val="center"/>
            <w:hideMark/>
          </w:tcPr>
          <w:p w14:paraId="4C66A7BC" w14:textId="77777777" w:rsidR="003670E8" w:rsidRPr="00677E16" w:rsidRDefault="003670E8" w:rsidP="00EA194A">
            <w:pPr>
              <w:suppressAutoHyphens w:val="0"/>
              <w:spacing w:line="240" w:lineRule="auto"/>
              <w:rPr>
                <w:rFonts w:eastAsia="Times New Roman"/>
                <w:i/>
                <w:iCs/>
                <w:color w:val="262626"/>
                <w:sz w:val="16"/>
                <w:szCs w:val="16"/>
              </w:rPr>
            </w:pPr>
          </w:p>
        </w:tc>
        <w:tc>
          <w:tcPr>
            <w:tcW w:w="1100" w:type="dxa"/>
            <w:vMerge/>
            <w:tcBorders>
              <w:bottom w:val="single" w:sz="8" w:space="0" w:color="auto"/>
            </w:tcBorders>
          </w:tcPr>
          <w:p w14:paraId="193DBFAD"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2083" w:type="dxa"/>
            <w:vMerge/>
            <w:tcBorders>
              <w:bottom w:val="single" w:sz="8" w:space="0" w:color="auto"/>
            </w:tcBorders>
            <w:vAlign w:val="center"/>
            <w:hideMark/>
          </w:tcPr>
          <w:p w14:paraId="70EF044B" w14:textId="77777777" w:rsidR="003670E8" w:rsidRPr="00677E16" w:rsidRDefault="003670E8" w:rsidP="00EA194A">
            <w:pPr>
              <w:suppressAutoHyphens w:val="0"/>
              <w:spacing w:line="240" w:lineRule="auto"/>
              <w:jc w:val="center"/>
              <w:rPr>
                <w:rFonts w:eastAsia="Times New Roman"/>
                <w:i/>
                <w:iCs/>
                <w:color w:val="262626"/>
                <w:sz w:val="16"/>
                <w:szCs w:val="16"/>
              </w:rPr>
            </w:pPr>
          </w:p>
        </w:tc>
        <w:tc>
          <w:tcPr>
            <w:tcW w:w="974" w:type="dxa"/>
            <w:tcBorders>
              <w:top w:val="nil"/>
              <w:left w:val="nil"/>
              <w:bottom w:val="single" w:sz="8" w:space="0" w:color="auto"/>
              <w:right w:val="nil"/>
            </w:tcBorders>
            <w:shd w:val="clear" w:color="auto" w:fill="FFFFFF" w:themeFill="background1"/>
            <w:vAlign w:val="bottom"/>
            <w:hideMark/>
          </w:tcPr>
          <w:p w14:paraId="1C84B725"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Name</w:t>
            </w:r>
          </w:p>
        </w:tc>
        <w:tc>
          <w:tcPr>
            <w:tcW w:w="1226" w:type="dxa"/>
            <w:tcBorders>
              <w:top w:val="nil"/>
              <w:left w:val="nil"/>
              <w:bottom w:val="single" w:sz="8" w:space="0" w:color="auto"/>
              <w:right w:val="nil"/>
            </w:tcBorders>
            <w:shd w:val="clear" w:color="auto" w:fill="FFFFFF" w:themeFill="background1"/>
            <w:vAlign w:val="bottom"/>
            <w:hideMark/>
          </w:tcPr>
          <w:p w14:paraId="2A72D0B2"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Country of incorporation</w:t>
            </w:r>
          </w:p>
        </w:tc>
        <w:tc>
          <w:tcPr>
            <w:tcW w:w="1081" w:type="dxa"/>
            <w:tcBorders>
              <w:top w:val="nil"/>
              <w:left w:val="nil"/>
              <w:bottom w:val="single" w:sz="8" w:space="0" w:color="auto"/>
              <w:right w:val="nil"/>
            </w:tcBorders>
            <w:shd w:val="clear" w:color="auto" w:fill="FFFFFF" w:themeFill="background1"/>
            <w:vAlign w:val="bottom"/>
            <w:hideMark/>
          </w:tcPr>
          <w:p w14:paraId="11BD16BB"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Identification number</w:t>
            </w:r>
            <w:r w:rsidRPr="00677E16">
              <w:rPr>
                <w:rFonts w:eastAsia="Times New Roman"/>
                <w:i/>
                <w:iCs/>
                <w:color w:val="262626" w:themeColor="text1" w:themeTint="D9"/>
                <w:sz w:val="16"/>
                <w:szCs w:val="16"/>
                <w:vertAlign w:val="superscript"/>
                <w:lang w:val="en-US"/>
              </w:rPr>
              <w:t>b</w:t>
            </w:r>
          </w:p>
        </w:tc>
        <w:tc>
          <w:tcPr>
            <w:tcW w:w="1233" w:type="dxa"/>
            <w:tcBorders>
              <w:top w:val="nil"/>
              <w:left w:val="nil"/>
              <w:bottom w:val="single" w:sz="8" w:space="0" w:color="auto"/>
              <w:right w:val="nil"/>
            </w:tcBorders>
            <w:shd w:val="clear" w:color="auto" w:fill="FFFFFF" w:themeFill="background1"/>
            <w:vAlign w:val="bottom"/>
            <w:hideMark/>
          </w:tcPr>
          <w:p w14:paraId="1E1DC426" w14:textId="77777777" w:rsidR="003670E8" w:rsidRPr="00677E16" w:rsidRDefault="003670E8" w:rsidP="00EA194A">
            <w:pPr>
              <w:suppressAutoHyphens w:val="0"/>
              <w:spacing w:line="240" w:lineRule="auto"/>
              <w:jc w:val="center"/>
              <w:rPr>
                <w:rFonts w:eastAsia="Times New Roman"/>
                <w:i/>
                <w:iCs/>
                <w:sz w:val="16"/>
                <w:szCs w:val="16"/>
                <w:lang w:val="en-US"/>
              </w:rPr>
            </w:pPr>
            <w:r w:rsidRPr="00677E16">
              <w:rPr>
                <w:rFonts w:eastAsia="Times New Roman"/>
                <w:i/>
                <w:iCs/>
                <w:sz w:val="16"/>
                <w:szCs w:val="16"/>
                <w:lang w:val="en-US"/>
              </w:rPr>
              <w:t>Cooperative approach ID</w:t>
            </w:r>
            <w:r w:rsidRPr="00677E16">
              <w:rPr>
                <w:rFonts w:eastAsia="Times New Roman"/>
                <w:i/>
                <w:iCs/>
                <w:sz w:val="16"/>
                <w:szCs w:val="16"/>
                <w:vertAlign w:val="superscript"/>
                <w:lang w:val="en-US"/>
              </w:rPr>
              <w:t>c</w:t>
            </w:r>
          </w:p>
        </w:tc>
        <w:tc>
          <w:tcPr>
            <w:tcW w:w="940" w:type="dxa"/>
            <w:vMerge/>
            <w:tcBorders>
              <w:bottom w:val="single" w:sz="8" w:space="0" w:color="auto"/>
            </w:tcBorders>
            <w:vAlign w:val="center"/>
            <w:hideMark/>
          </w:tcPr>
          <w:p w14:paraId="76FAB2D4" w14:textId="77777777" w:rsidR="003670E8" w:rsidRPr="00677E16" w:rsidRDefault="003670E8" w:rsidP="00EA194A">
            <w:pPr>
              <w:suppressAutoHyphens w:val="0"/>
              <w:spacing w:line="240" w:lineRule="auto"/>
              <w:rPr>
                <w:rFonts w:eastAsia="Times New Roman"/>
                <w:i/>
                <w:sz w:val="16"/>
                <w:szCs w:val="16"/>
              </w:rPr>
            </w:pPr>
          </w:p>
        </w:tc>
        <w:tc>
          <w:tcPr>
            <w:tcW w:w="1088" w:type="dxa"/>
            <w:vMerge/>
            <w:tcBorders>
              <w:bottom w:val="single" w:sz="8" w:space="0" w:color="auto"/>
            </w:tcBorders>
            <w:vAlign w:val="center"/>
            <w:hideMark/>
          </w:tcPr>
          <w:p w14:paraId="0AAB64BB" w14:textId="77777777" w:rsidR="003670E8" w:rsidRPr="00677E16" w:rsidRDefault="003670E8" w:rsidP="00EA194A">
            <w:pPr>
              <w:suppressAutoHyphens w:val="0"/>
              <w:spacing w:line="240" w:lineRule="auto"/>
              <w:rPr>
                <w:rFonts w:eastAsia="Times New Roman"/>
                <w:i/>
                <w:sz w:val="16"/>
                <w:szCs w:val="16"/>
              </w:rPr>
            </w:pPr>
          </w:p>
        </w:tc>
        <w:tc>
          <w:tcPr>
            <w:tcW w:w="1472" w:type="dxa"/>
            <w:tcBorders>
              <w:top w:val="nil"/>
              <w:left w:val="nil"/>
              <w:bottom w:val="single" w:sz="8" w:space="0" w:color="auto"/>
              <w:right w:val="nil"/>
            </w:tcBorders>
            <w:shd w:val="clear" w:color="auto" w:fill="FFFFFF" w:themeFill="background1"/>
            <w:vAlign w:val="bottom"/>
            <w:hideMark/>
          </w:tcPr>
          <w:p w14:paraId="6C441B32" w14:textId="77777777" w:rsidR="003670E8" w:rsidRPr="00677E16" w:rsidRDefault="003670E8" w:rsidP="00EA194A">
            <w:pPr>
              <w:suppressAutoHyphens w:val="0"/>
              <w:spacing w:line="240" w:lineRule="auto"/>
              <w:jc w:val="center"/>
              <w:rPr>
                <w:rFonts w:eastAsia="Times New Roman"/>
                <w:i/>
                <w:iCs/>
                <w:sz w:val="16"/>
                <w:szCs w:val="16"/>
                <w:lang w:val="en-US"/>
              </w:rPr>
            </w:pPr>
            <w:r>
              <w:rPr>
                <w:rFonts w:eastAsia="Times New Roman"/>
                <w:i/>
                <w:iCs/>
                <w:sz w:val="16"/>
                <w:szCs w:val="16"/>
                <w:lang w:val="en-US"/>
              </w:rPr>
              <w:t>[</w:t>
            </w:r>
            <w:r w:rsidRPr="00677E16">
              <w:rPr>
                <w:rFonts w:eastAsia="Times New Roman"/>
                <w:i/>
                <w:iCs/>
                <w:sz w:val="16"/>
                <w:szCs w:val="16"/>
                <w:lang w:val="en-US"/>
              </w:rPr>
              <w:t>Change and revocation conditions</w:t>
            </w:r>
            <w:r w:rsidRPr="00677E16">
              <w:rPr>
                <w:rFonts w:eastAsia="Times New Roman"/>
                <w:i/>
                <w:iCs/>
                <w:sz w:val="16"/>
                <w:szCs w:val="16"/>
                <w:vertAlign w:val="superscript"/>
                <w:lang w:val="en-US"/>
              </w:rPr>
              <w:t>f</w:t>
            </w:r>
            <w:r w:rsidRPr="00DC26FE">
              <w:rPr>
                <w:rFonts w:eastAsia="Times New Roman"/>
                <w:i/>
                <w:iCs/>
                <w:sz w:val="16"/>
                <w:szCs w:val="16"/>
                <w:lang w:val="en-US"/>
              </w:rPr>
              <w:t>]</w:t>
            </w:r>
          </w:p>
        </w:tc>
        <w:tc>
          <w:tcPr>
            <w:tcW w:w="1251" w:type="dxa"/>
            <w:tcBorders>
              <w:top w:val="nil"/>
              <w:left w:val="nil"/>
              <w:bottom w:val="single" w:sz="8" w:space="0" w:color="auto"/>
              <w:right w:val="nil"/>
            </w:tcBorders>
            <w:shd w:val="clear" w:color="auto" w:fill="FFFFFF" w:themeFill="background1"/>
            <w:vAlign w:val="bottom"/>
          </w:tcPr>
          <w:p w14:paraId="0BD42F06" w14:textId="77777777" w:rsidR="003670E8" w:rsidRDefault="003670E8" w:rsidP="00EA194A">
            <w:pPr>
              <w:suppressAutoHyphens w:val="0"/>
              <w:spacing w:line="240" w:lineRule="auto"/>
              <w:jc w:val="center"/>
              <w:rPr>
                <w:rFonts w:eastAsia="Times New Roman"/>
                <w:i/>
                <w:iCs/>
                <w:sz w:val="16"/>
                <w:szCs w:val="16"/>
                <w:lang w:val="en-US"/>
              </w:rPr>
            </w:pPr>
            <w:r w:rsidRPr="00211523">
              <w:rPr>
                <w:rFonts w:eastAsia="Times New Roman"/>
                <w:i/>
                <w:iCs/>
                <w:sz w:val="16"/>
                <w:szCs w:val="16"/>
                <w:lang w:val="en-US"/>
              </w:rPr>
              <w:t>Additional explanatory information</w:t>
            </w:r>
          </w:p>
        </w:tc>
      </w:tr>
      <w:tr w:rsidR="003670E8" w:rsidRPr="00677E16" w14:paraId="2F4F8F07" w14:textId="77777777" w:rsidTr="00EA194A">
        <w:trPr>
          <w:trHeight w:val="300"/>
        </w:trPr>
        <w:tc>
          <w:tcPr>
            <w:tcW w:w="1412" w:type="dxa"/>
            <w:tcBorders>
              <w:top w:val="single" w:sz="8" w:space="0" w:color="auto"/>
              <w:left w:val="nil"/>
              <w:bottom w:val="nil"/>
              <w:right w:val="nil"/>
            </w:tcBorders>
            <w:shd w:val="clear" w:color="auto" w:fill="FFFFFF" w:themeFill="background1"/>
            <w:vAlign w:val="bottom"/>
            <w:hideMark/>
          </w:tcPr>
          <w:p w14:paraId="7665EBB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100" w:type="dxa"/>
            <w:tcBorders>
              <w:top w:val="single" w:sz="8" w:space="0" w:color="auto"/>
              <w:left w:val="nil"/>
              <w:bottom w:val="nil"/>
              <w:right w:val="nil"/>
            </w:tcBorders>
            <w:shd w:val="clear" w:color="auto" w:fill="FFFFFF" w:themeFill="background1"/>
          </w:tcPr>
          <w:p w14:paraId="3F102019" w14:textId="77777777" w:rsidR="003670E8" w:rsidRPr="00677E16" w:rsidRDefault="003670E8" w:rsidP="00EA194A">
            <w:pPr>
              <w:suppressAutoHyphens w:val="0"/>
              <w:spacing w:line="240" w:lineRule="auto"/>
              <w:jc w:val="center"/>
              <w:rPr>
                <w:rFonts w:eastAsia="Times New Roman"/>
                <w:color w:val="000000"/>
              </w:rPr>
            </w:pPr>
          </w:p>
        </w:tc>
        <w:tc>
          <w:tcPr>
            <w:tcW w:w="2083" w:type="dxa"/>
            <w:tcBorders>
              <w:top w:val="single" w:sz="8" w:space="0" w:color="auto"/>
              <w:left w:val="nil"/>
              <w:bottom w:val="nil"/>
              <w:right w:val="nil"/>
            </w:tcBorders>
            <w:shd w:val="clear" w:color="auto" w:fill="FFFFFF" w:themeFill="background1"/>
            <w:vAlign w:val="bottom"/>
            <w:hideMark/>
          </w:tcPr>
          <w:p w14:paraId="68AC327A" w14:textId="77777777" w:rsidR="003670E8" w:rsidRPr="00677E16" w:rsidRDefault="003670E8" w:rsidP="00EA194A">
            <w:pPr>
              <w:suppressAutoHyphens w:val="0"/>
              <w:spacing w:line="240" w:lineRule="auto"/>
              <w:jc w:val="center"/>
              <w:rPr>
                <w:rFonts w:ascii="Calibri" w:eastAsia="Times New Roman" w:hAnsi="Calibri" w:cs="Calibri"/>
                <w:color w:val="000000"/>
                <w:sz w:val="22"/>
                <w:szCs w:val="22"/>
              </w:rPr>
            </w:pPr>
            <w:r>
              <w:rPr>
                <w:rFonts w:eastAsia="Times New Roman"/>
                <w:color w:val="000000"/>
              </w:rPr>
              <w:t>[</w:t>
            </w:r>
            <w:r w:rsidRPr="00677E16">
              <w:rPr>
                <w:rFonts w:eastAsia="Times New Roman"/>
                <w:color w:val="000000"/>
              </w:rPr>
              <w:t>Authorization</w:t>
            </w:r>
            <w:r>
              <w:rPr>
                <w:rFonts w:eastAsia="Times New Roman"/>
                <w:color w:val="000000"/>
              </w:rPr>
              <w:t>]</w:t>
            </w:r>
          </w:p>
        </w:tc>
        <w:tc>
          <w:tcPr>
            <w:tcW w:w="974" w:type="dxa"/>
            <w:tcBorders>
              <w:top w:val="nil"/>
              <w:left w:val="nil"/>
              <w:bottom w:val="nil"/>
              <w:right w:val="nil"/>
            </w:tcBorders>
            <w:shd w:val="clear" w:color="auto" w:fill="FFFFFF" w:themeFill="background1"/>
            <w:vAlign w:val="bottom"/>
            <w:hideMark/>
          </w:tcPr>
          <w:p w14:paraId="31195288"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26" w:type="dxa"/>
            <w:tcBorders>
              <w:top w:val="nil"/>
              <w:left w:val="nil"/>
              <w:bottom w:val="nil"/>
              <w:right w:val="nil"/>
            </w:tcBorders>
            <w:shd w:val="clear" w:color="auto" w:fill="FFFFFF" w:themeFill="background1"/>
            <w:vAlign w:val="bottom"/>
            <w:hideMark/>
          </w:tcPr>
          <w:p w14:paraId="337FE79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081" w:type="dxa"/>
            <w:tcBorders>
              <w:top w:val="nil"/>
              <w:left w:val="nil"/>
              <w:bottom w:val="nil"/>
              <w:right w:val="nil"/>
            </w:tcBorders>
            <w:shd w:val="clear" w:color="auto" w:fill="FFFFFF" w:themeFill="background1"/>
            <w:vAlign w:val="bottom"/>
            <w:hideMark/>
          </w:tcPr>
          <w:p w14:paraId="4CE3C6C5"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33" w:type="dxa"/>
            <w:tcBorders>
              <w:top w:val="nil"/>
              <w:left w:val="nil"/>
              <w:bottom w:val="nil"/>
              <w:right w:val="nil"/>
            </w:tcBorders>
            <w:shd w:val="clear" w:color="auto" w:fill="FFFFFF" w:themeFill="background1"/>
            <w:vAlign w:val="bottom"/>
            <w:hideMark/>
          </w:tcPr>
          <w:p w14:paraId="594D61A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940" w:type="dxa"/>
            <w:tcBorders>
              <w:top w:val="single" w:sz="8" w:space="0" w:color="auto"/>
              <w:left w:val="nil"/>
              <w:bottom w:val="nil"/>
              <w:right w:val="nil"/>
            </w:tcBorders>
            <w:shd w:val="clear" w:color="auto" w:fill="FFFFFF" w:themeFill="background1"/>
            <w:vAlign w:val="bottom"/>
            <w:hideMark/>
          </w:tcPr>
          <w:p w14:paraId="08A77D8A"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088" w:type="dxa"/>
            <w:tcBorders>
              <w:top w:val="single" w:sz="8" w:space="0" w:color="auto"/>
              <w:left w:val="nil"/>
              <w:bottom w:val="nil"/>
              <w:right w:val="nil"/>
            </w:tcBorders>
            <w:shd w:val="clear" w:color="auto" w:fill="FFFFFF" w:themeFill="background1"/>
            <w:vAlign w:val="bottom"/>
            <w:hideMark/>
          </w:tcPr>
          <w:p w14:paraId="1C87CA0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472" w:type="dxa"/>
            <w:tcBorders>
              <w:top w:val="nil"/>
              <w:left w:val="nil"/>
              <w:bottom w:val="nil"/>
              <w:right w:val="nil"/>
            </w:tcBorders>
            <w:shd w:val="clear" w:color="auto" w:fill="FFFFFF" w:themeFill="background1"/>
            <w:vAlign w:val="bottom"/>
            <w:hideMark/>
          </w:tcPr>
          <w:p w14:paraId="205D9561"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51" w:type="dxa"/>
            <w:tcBorders>
              <w:top w:val="nil"/>
              <w:left w:val="nil"/>
              <w:bottom w:val="nil"/>
              <w:right w:val="nil"/>
            </w:tcBorders>
            <w:shd w:val="clear" w:color="auto" w:fill="FFFFFF" w:themeFill="background1"/>
          </w:tcPr>
          <w:p w14:paraId="41387E3C"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r w:rsidR="003670E8" w:rsidRPr="00677E16" w14:paraId="7E8479B7" w14:textId="77777777" w:rsidTr="00EA194A">
        <w:trPr>
          <w:trHeight w:val="300"/>
        </w:trPr>
        <w:tc>
          <w:tcPr>
            <w:tcW w:w="1412" w:type="dxa"/>
            <w:tcBorders>
              <w:top w:val="nil"/>
              <w:left w:val="nil"/>
              <w:bottom w:val="nil"/>
              <w:right w:val="nil"/>
            </w:tcBorders>
            <w:shd w:val="clear" w:color="auto" w:fill="FFFFFF" w:themeFill="background1"/>
            <w:vAlign w:val="bottom"/>
          </w:tcPr>
          <w:p w14:paraId="1A2EC11C"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100" w:type="dxa"/>
            <w:tcBorders>
              <w:top w:val="nil"/>
              <w:left w:val="nil"/>
              <w:bottom w:val="nil"/>
              <w:right w:val="nil"/>
            </w:tcBorders>
            <w:shd w:val="clear" w:color="auto" w:fill="FFFFFF" w:themeFill="background1"/>
          </w:tcPr>
          <w:p w14:paraId="0EB3002E" w14:textId="77777777" w:rsidR="003670E8" w:rsidRPr="00677E16" w:rsidRDefault="003670E8" w:rsidP="00EA194A">
            <w:pPr>
              <w:suppressAutoHyphens w:val="0"/>
              <w:spacing w:line="240" w:lineRule="auto"/>
              <w:rPr>
                <w:rFonts w:eastAsia="Times New Roman"/>
                <w:color w:val="000000"/>
              </w:rPr>
            </w:pPr>
          </w:p>
        </w:tc>
        <w:tc>
          <w:tcPr>
            <w:tcW w:w="2083" w:type="dxa"/>
            <w:tcBorders>
              <w:top w:val="nil"/>
              <w:left w:val="nil"/>
              <w:bottom w:val="nil"/>
              <w:right w:val="nil"/>
            </w:tcBorders>
            <w:shd w:val="clear" w:color="auto" w:fill="FFFFFF" w:themeFill="background1"/>
            <w:vAlign w:val="bottom"/>
          </w:tcPr>
          <w:p w14:paraId="041A9040" w14:textId="77777777" w:rsidR="003670E8" w:rsidRPr="00677E16" w:rsidRDefault="003670E8" w:rsidP="00EA194A">
            <w:pPr>
              <w:suppressAutoHyphens w:val="0"/>
              <w:spacing w:line="240" w:lineRule="auto"/>
              <w:rPr>
                <w:rFonts w:eastAsia="Times New Roman"/>
                <w:color w:val="000000"/>
              </w:rPr>
            </w:pPr>
            <w:r>
              <w:rPr>
                <w:rFonts w:eastAsia="Times New Roman"/>
                <w:color w:val="000000"/>
              </w:rPr>
              <w:t>[</w:t>
            </w:r>
            <w:r w:rsidRPr="00677E16">
              <w:rPr>
                <w:rFonts w:eastAsia="Times New Roman"/>
                <w:color w:val="000000"/>
              </w:rPr>
              <w:t>Change in authorization</w:t>
            </w:r>
            <w:r>
              <w:rPr>
                <w:rFonts w:eastAsia="Times New Roman"/>
                <w:color w:val="000000"/>
              </w:rPr>
              <w:t>]</w:t>
            </w:r>
          </w:p>
        </w:tc>
        <w:tc>
          <w:tcPr>
            <w:tcW w:w="974" w:type="dxa"/>
            <w:tcBorders>
              <w:top w:val="nil"/>
              <w:left w:val="nil"/>
              <w:bottom w:val="nil"/>
              <w:right w:val="nil"/>
            </w:tcBorders>
            <w:shd w:val="clear" w:color="auto" w:fill="FFFFFF" w:themeFill="background1"/>
            <w:vAlign w:val="bottom"/>
          </w:tcPr>
          <w:p w14:paraId="0A1C88D2"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226" w:type="dxa"/>
            <w:tcBorders>
              <w:top w:val="nil"/>
              <w:left w:val="nil"/>
              <w:bottom w:val="nil"/>
              <w:right w:val="nil"/>
            </w:tcBorders>
            <w:shd w:val="clear" w:color="auto" w:fill="FFFFFF" w:themeFill="background1"/>
            <w:vAlign w:val="bottom"/>
          </w:tcPr>
          <w:p w14:paraId="03B9A228"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081" w:type="dxa"/>
            <w:tcBorders>
              <w:top w:val="nil"/>
              <w:left w:val="nil"/>
              <w:bottom w:val="nil"/>
              <w:right w:val="nil"/>
            </w:tcBorders>
            <w:shd w:val="clear" w:color="auto" w:fill="FFFFFF" w:themeFill="background1"/>
            <w:vAlign w:val="bottom"/>
          </w:tcPr>
          <w:p w14:paraId="038E7F0C"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233" w:type="dxa"/>
            <w:tcBorders>
              <w:top w:val="nil"/>
              <w:left w:val="nil"/>
              <w:bottom w:val="nil"/>
              <w:right w:val="nil"/>
            </w:tcBorders>
            <w:shd w:val="clear" w:color="auto" w:fill="FFFFFF" w:themeFill="background1"/>
            <w:vAlign w:val="bottom"/>
          </w:tcPr>
          <w:p w14:paraId="0CACB0C6"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940" w:type="dxa"/>
            <w:tcBorders>
              <w:top w:val="nil"/>
              <w:left w:val="nil"/>
              <w:bottom w:val="nil"/>
              <w:right w:val="nil"/>
            </w:tcBorders>
            <w:shd w:val="clear" w:color="auto" w:fill="FFFFFF" w:themeFill="background1"/>
            <w:vAlign w:val="bottom"/>
          </w:tcPr>
          <w:p w14:paraId="5806655C"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088" w:type="dxa"/>
            <w:tcBorders>
              <w:top w:val="nil"/>
              <w:left w:val="nil"/>
              <w:bottom w:val="nil"/>
              <w:right w:val="nil"/>
            </w:tcBorders>
            <w:shd w:val="clear" w:color="auto" w:fill="FFFFFF" w:themeFill="background1"/>
            <w:vAlign w:val="bottom"/>
          </w:tcPr>
          <w:p w14:paraId="086B5490"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472" w:type="dxa"/>
            <w:tcBorders>
              <w:top w:val="nil"/>
              <w:left w:val="nil"/>
              <w:bottom w:val="nil"/>
              <w:right w:val="nil"/>
            </w:tcBorders>
            <w:shd w:val="clear" w:color="auto" w:fill="FFFFFF" w:themeFill="background1"/>
            <w:vAlign w:val="bottom"/>
          </w:tcPr>
          <w:p w14:paraId="1897DF7F"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c>
          <w:tcPr>
            <w:tcW w:w="1251" w:type="dxa"/>
            <w:tcBorders>
              <w:top w:val="nil"/>
              <w:left w:val="nil"/>
              <w:bottom w:val="nil"/>
              <w:right w:val="nil"/>
            </w:tcBorders>
            <w:shd w:val="clear" w:color="auto" w:fill="FFFFFF" w:themeFill="background1"/>
          </w:tcPr>
          <w:p w14:paraId="1565D40B"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r w:rsidR="003670E8" w:rsidRPr="00677E16" w14:paraId="6D3A8ACC" w14:textId="77777777" w:rsidTr="00EA194A">
        <w:trPr>
          <w:trHeight w:val="315"/>
        </w:trPr>
        <w:tc>
          <w:tcPr>
            <w:tcW w:w="1412" w:type="dxa"/>
            <w:tcBorders>
              <w:top w:val="nil"/>
              <w:left w:val="nil"/>
              <w:bottom w:val="single" w:sz="8" w:space="0" w:color="auto"/>
              <w:right w:val="nil"/>
            </w:tcBorders>
            <w:shd w:val="clear" w:color="auto" w:fill="FFFFFF" w:themeFill="background1"/>
            <w:vAlign w:val="bottom"/>
            <w:hideMark/>
          </w:tcPr>
          <w:p w14:paraId="3B3E6BE0"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100" w:type="dxa"/>
            <w:tcBorders>
              <w:top w:val="nil"/>
              <w:left w:val="nil"/>
              <w:bottom w:val="single" w:sz="8" w:space="0" w:color="auto"/>
              <w:right w:val="nil"/>
            </w:tcBorders>
            <w:shd w:val="clear" w:color="auto" w:fill="FFFFFF" w:themeFill="background1"/>
          </w:tcPr>
          <w:p w14:paraId="64BD36BB" w14:textId="77777777" w:rsidR="003670E8" w:rsidRPr="00677E16" w:rsidRDefault="003670E8" w:rsidP="00EA194A">
            <w:pPr>
              <w:suppressAutoHyphens w:val="0"/>
              <w:spacing w:line="240" w:lineRule="auto"/>
              <w:jc w:val="center"/>
              <w:rPr>
                <w:rFonts w:eastAsia="Times New Roman"/>
                <w:color w:val="000000"/>
              </w:rPr>
            </w:pPr>
          </w:p>
        </w:tc>
        <w:tc>
          <w:tcPr>
            <w:tcW w:w="2083" w:type="dxa"/>
            <w:tcBorders>
              <w:top w:val="nil"/>
              <w:left w:val="nil"/>
              <w:bottom w:val="single" w:sz="8" w:space="0" w:color="auto"/>
              <w:right w:val="nil"/>
            </w:tcBorders>
            <w:shd w:val="clear" w:color="auto" w:fill="FFFFFF" w:themeFill="background1"/>
            <w:vAlign w:val="bottom"/>
            <w:hideMark/>
          </w:tcPr>
          <w:p w14:paraId="49E99347" w14:textId="77777777" w:rsidR="003670E8" w:rsidRPr="00677E16" w:rsidRDefault="003670E8" w:rsidP="00EA194A">
            <w:pPr>
              <w:suppressAutoHyphens w:val="0"/>
              <w:spacing w:line="240" w:lineRule="auto"/>
              <w:jc w:val="center"/>
              <w:rPr>
                <w:rFonts w:ascii="Calibri" w:eastAsia="Times New Roman" w:hAnsi="Calibri" w:cs="Calibri"/>
                <w:color w:val="000000"/>
                <w:sz w:val="22"/>
                <w:szCs w:val="22"/>
              </w:rPr>
            </w:pPr>
            <w:r>
              <w:rPr>
                <w:rFonts w:eastAsia="Times New Roman"/>
                <w:color w:val="000000"/>
              </w:rPr>
              <w:t>[</w:t>
            </w:r>
            <w:r w:rsidRPr="00677E16">
              <w:rPr>
                <w:rFonts w:eastAsia="Times New Roman"/>
                <w:color w:val="000000"/>
              </w:rPr>
              <w:t>Revocation of authorization</w:t>
            </w:r>
            <w:r>
              <w:rPr>
                <w:rFonts w:eastAsia="Times New Roman"/>
                <w:color w:val="000000"/>
              </w:rPr>
              <w:t>]</w:t>
            </w:r>
          </w:p>
        </w:tc>
        <w:tc>
          <w:tcPr>
            <w:tcW w:w="974" w:type="dxa"/>
            <w:tcBorders>
              <w:top w:val="nil"/>
              <w:left w:val="nil"/>
              <w:bottom w:val="single" w:sz="8" w:space="0" w:color="auto"/>
              <w:right w:val="nil"/>
            </w:tcBorders>
            <w:shd w:val="clear" w:color="auto" w:fill="FFFFFF" w:themeFill="background1"/>
            <w:vAlign w:val="bottom"/>
            <w:hideMark/>
          </w:tcPr>
          <w:p w14:paraId="20C3E17D"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26" w:type="dxa"/>
            <w:tcBorders>
              <w:top w:val="nil"/>
              <w:left w:val="nil"/>
              <w:bottom w:val="single" w:sz="8" w:space="0" w:color="auto"/>
              <w:right w:val="nil"/>
            </w:tcBorders>
            <w:shd w:val="clear" w:color="auto" w:fill="FFFFFF" w:themeFill="background1"/>
            <w:vAlign w:val="bottom"/>
            <w:hideMark/>
          </w:tcPr>
          <w:p w14:paraId="15AE31F5"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081" w:type="dxa"/>
            <w:tcBorders>
              <w:top w:val="nil"/>
              <w:left w:val="nil"/>
              <w:bottom w:val="single" w:sz="8" w:space="0" w:color="auto"/>
              <w:right w:val="nil"/>
            </w:tcBorders>
            <w:shd w:val="clear" w:color="auto" w:fill="FFFFFF" w:themeFill="background1"/>
            <w:vAlign w:val="bottom"/>
            <w:hideMark/>
          </w:tcPr>
          <w:p w14:paraId="56BF4AA9"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33" w:type="dxa"/>
            <w:tcBorders>
              <w:top w:val="nil"/>
              <w:left w:val="nil"/>
              <w:bottom w:val="single" w:sz="8" w:space="0" w:color="auto"/>
              <w:right w:val="nil"/>
            </w:tcBorders>
            <w:shd w:val="clear" w:color="auto" w:fill="FFFFFF" w:themeFill="background1"/>
            <w:vAlign w:val="bottom"/>
            <w:hideMark/>
          </w:tcPr>
          <w:p w14:paraId="03A01A41"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940" w:type="dxa"/>
            <w:tcBorders>
              <w:top w:val="nil"/>
              <w:left w:val="nil"/>
              <w:bottom w:val="single" w:sz="8" w:space="0" w:color="auto"/>
              <w:right w:val="nil"/>
            </w:tcBorders>
            <w:shd w:val="clear" w:color="auto" w:fill="FFFFFF" w:themeFill="background1"/>
            <w:vAlign w:val="bottom"/>
            <w:hideMark/>
          </w:tcPr>
          <w:p w14:paraId="301BCF76"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088" w:type="dxa"/>
            <w:tcBorders>
              <w:top w:val="nil"/>
              <w:left w:val="nil"/>
              <w:bottom w:val="single" w:sz="8" w:space="0" w:color="auto"/>
              <w:right w:val="nil"/>
            </w:tcBorders>
            <w:shd w:val="clear" w:color="auto" w:fill="FFFFFF" w:themeFill="background1"/>
            <w:vAlign w:val="bottom"/>
            <w:hideMark/>
          </w:tcPr>
          <w:p w14:paraId="35F29CE9"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472" w:type="dxa"/>
            <w:tcBorders>
              <w:top w:val="nil"/>
              <w:left w:val="nil"/>
              <w:bottom w:val="single" w:sz="8" w:space="0" w:color="auto"/>
              <w:right w:val="nil"/>
            </w:tcBorders>
            <w:shd w:val="clear" w:color="auto" w:fill="FFFFFF" w:themeFill="background1"/>
            <w:vAlign w:val="bottom"/>
            <w:hideMark/>
          </w:tcPr>
          <w:p w14:paraId="377A7594"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1251" w:type="dxa"/>
            <w:tcBorders>
              <w:top w:val="nil"/>
              <w:left w:val="nil"/>
              <w:bottom w:val="single" w:sz="8" w:space="0" w:color="auto"/>
              <w:right w:val="nil"/>
            </w:tcBorders>
            <w:shd w:val="clear" w:color="auto" w:fill="FFFFFF" w:themeFill="background1"/>
          </w:tcPr>
          <w:p w14:paraId="6FFD8DEC"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p>
        </w:tc>
      </w:tr>
    </w:tbl>
    <w:p w14:paraId="79EB9BE2" w14:textId="77777777" w:rsidR="003670E8" w:rsidRPr="00677E16" w:rsidRDefault="003670E8" w:rsidP="003670E8">
      <w:pPr>
        <w:pStyle w:val="FC2"/>
        <w:spacing w:after="0" w:line="60" w:lineRule="exact"/>
        <w:ind w:left="283"/>
        <w:jc w:val="both"/>
        <w:rPr>
          <w:b/>
        </w:rPr>
        <w:sectPr w:rsidR="003670E8" w:rsidRPr="00677E16">
          <w:headerReference w:type="even" r:id="rId22"/>
          <w:headerReference w:type="default" r:id="rId23"/>
          <w:footerReference w:type="first" r:id="rId24"/>
          <w:endnotePr>
            <w:numFmt w:val="lowerLetter"/>
          </w:endnotePr>
          <w:type w:val="continuous"/>
          <w:pgSz w:w="16838" w:h="11906" w:orient="landscape" w:code="9"/>
          <w:pgMar w:top="1276" w:right="1134" w:bottom="1134" w:left="1418" w:header="850" w:footer="567" w:gutter="0"/>
          <w:cols w:space="708"/>
          <w:docGrid w:linePitch="360"/>
        </w:sectPr>
      </w:pPr>
    </w:p>
    <w:p w14:paraId="5EC81CF8" w14:textId="77777777" w:rsidR="003670E8" w:rsidRPr="00677E16" w:rsidRDefault="003670E8" w:rsidP="003670E8">
      <w:pPr>
        <w:suppressAutoHyphens w:val="0"/>
        <w:spacing w:line="240" w:lineRule="auto"/>
      </w:pPr>
      <w:r w:rsidRPr="00677E16">
        <w:br w:type="page"/>
      </w:r>
    </w:p>
    <w:p w14:paraId="3E0C3747" w14:textId="77777777" w:rsidR="003670E8" w:rsidRPr="00677E16" w:rsidRDefault="003670E8" w:rsidP="003670E8">
      <w:pPr>
        <w:suppressAutoHyphens w:val="0"/>
        <w:spacing w:line="240" w:lineRule="auto"/>
      </w:pPr>
    </w:p>
    <w:p w14:paraId="75B168D2" w14:textId="77777777" w:rsidR="003670E8" w:rsidRPr="00677E16" w:rsidRDefault="003670E8" w:rsidP="003670E8">
      <w:pPr>
        <w:pStyle w:val="FC2"/>
        <w:spacing w:before="240"/>
        <w:rPr>
          <w:b/>
        </w:rPr>
      </w:pPr>
      <w:r w:rsidRPr="00677E16">
        <w:t>[Table 6</w:t>
      </w:r>
      <w:r w:rsidRPr="00677E16">
        <w:rPr>
          <w:b/>
        </w:rPr>
        <w:br/>
      </w:r>
      <w:r>
        <w:rPr>
          <w:b/>
        </w:rPr>
        <w:t xml:space="preserve">Option 1: </w:t>
      </w:r>
      <w:r w:rsidRPr="00677E16">
        <w:rPr>
          <w:b/>
        </w:rPr>
        <w:t>Aggregated SOP and OMGE</w:t>
      </w:r>
    </w:p>
    <w:tbl>
      <w:tblPr>
        <w:tblW w:w="5670" w:type="dxa"/>
        <w:tblInd w:w="1134" w:type="dxa"/>
        <w:tblLook w:val="04A0" w:firstRow="1" w:lastRow="0" w:firstColumn="1" w:lastColumn="0" w:noHBand="0" w:noVBand="1"/>
      </w:tblPr>
      <w:tblGrid>
        <w:gridCol w:w="1276"/>
        <w:gridCol w:w="1134"/>
        <w:gridCol w:w="992"/>
        <w:gridCol w:w="284"/>
        <w:gridCol w:w="992"/>
        <w:gridCol w:w="992"/>
      </w:tblGrid>
      <w:tr w:rsidR="003670E8" w:rsidRPr="00677E16" w14:paraId="1E5EC5ED" w14:textId="77777777" w:rsidTr="00EA194A">
        <w:trPr>
          <w:trHeight w:val="315"/>
        </w:trPr>
        <w:tc>
          <w:tcPr>
            <w:tcW w:w="1276" w:type="dxa"/>
            <w:tcBorders>
              <w:top w:val="single" w:sz="8" w:space="0" w:color="auto"/>
              <w:left w:val="nil"/>
              <w:bottom w:val="nil"/>
              <w:right w:val="nil"/>
            </w:tcBorders>
            <w:shd w:val="clear" w:color="auto" w:fill="FFFFFF" w:themeFill="background1"/>
            <w:vAlign w:val="bottom"/>
            <w:hideMark/>
          </w:tcPr>
          <w:p w14:paraId="320F2BD0"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2126" w:type="dxa"/>
            <w:gridSpan w:val="2"/>
            <w:tcBorders>
              <w:top w:val="single" w:sz="8" w:space="0" w:color="auto"/>
              <w:left w:val="nil"/>
              <w:bottom w:val="single" w:sz="8" w:space="0" w:color="auto"/>
              <w:right w:val="nil"/>
            </w:tcBorders>
            <w:shd w:val="clear" w:color="auto" w:fill="FFFFFF" w:themeFill="background1"/>
            <w:vAlign w:val="bottom"/>
            <w:hideMark/>
          </w:tcPr>
          <w:p w14:paraId="0B109738"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SOP</w:t>
            </w:r>
            <w:r w:rsidRPr="00677E16">
              <w:rPr>
                <w:rFonts w:eastAsia="Times New Roman"/>
                <w:i/>
                <w:iCs/>
                <w:color w:val="262626" w:themeColor="text1" w:themeTint="D9"/>
                <w:sz w:val="16"/>
                <w:szCs w:val="16"/>
                <w:vertAlign w:val="superscript"/>
                <w:lang w:val="en-US"/>
              </w:rPr>
              <w:t>b</w:t>
            </w:r>
          </w:p>
        </w:tc>
        <w:tc>
          <w:tcPr>
            <w:tcW w:w="284" w:type="dxa"/>
            <w:tcBorders>
              <w:top w:val="single" w:sz="8" w:space="0" w:color="auto"/>
              <w:left w:val="nil"/>
              <w:bottom w:val="nil"/>
              <w:right w:val="nil"/>
            </w:tcBorders>
            <w:shd w:val="clear" w:color="auto" w:fill="FFFFFF" w:themeFill="background1"/>
            <w:vAlign w:val="bottom"/>
            <w:hideMark/>
          </w:tcPr>
          <w:p w14:paraId="1685EBDB"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1984" w:type="dxa"/>
            <w:gridSpan w:val="2"/>
            <w:tcBorders>
              <w:top w:val="single" w:sz="8" w:space="0" w:color="auto"/>
              <w:left w:val="nil"/>
              <w:bottom w:val="single" w:sz="8" w:space="0" w:color="auto"/>
              <w:right w:val="nil"/>
            </w:tcBorders>
            <w:shd w:val="clear" w:color="auto" w:fill="FFFFFF" w:themeFill="background1"/>
            <w:vAlign w:val="bottom"/>
            <w:hideMark/>
          </w:tcPr>
          <w:p w14:paraId="2AB5DFFD" w14:textId="77777777" w:rsidR="003670E8" w:rsidRPr="00677E16" w:rsidRDefault="003670E8" w:rsidP="00EA194A">
            <w:pPr>
              <w:suppressAutoHyphens w:val="0"/>
              <w:spacing w:line="240" w:lineRule="auto"/>
              <w:jc w:val="center"/>
              <w:rPr>
                <w:rFonts w:eastAsia="Times New Roman"/>
                <w:i/>
                <w:iCs/>
                <w:color w:val="262626"/>
                <w:sz w:val="16"/>
                <w:szCs w:val="16"/>
                <w:lang w:val="en-US"/>
              </w:rPr>
            </w:pPr>
            <w:r w:rsidRPr="00677E16">
              <w:rPr>
                <w:rFonts w:eastAsia="Times New Roman"/>
                <w:i/>
                <w:iCs/>
                <w:color w:val="262626" w:themeColor="text1" w:themeTint="D9"/>
                <w:sz w:val="16"/>
                <w:szCs w:val="16"/>
                <w:lang w:val="en-US"/>
              </w:rPr>
              <w:t>OMGE</w:t>
            </w:r>
            <w:r w:rsidRPr="00677E16">
              <w:rPr>
                <w:rFonts w:eastAsia="Times New Roman"/>
                <w:i/>
                <w:iCs/>
                <w:color w:val="262626" w:themeColor="text1" w:themeTint="D9"/>
                <w:sz w:val="16"/>
                <w:szCs w:val="16"/>
                <w:vertAlign w:val="superscript"/>
                <w:lang w:val="en-US"/>
              </w:rPr>
              <w:t>c</w:t>
            </w:r>
          </w:p>
        </w:tc>
      </w:tr>
      <w:tr w:rsidR="003670E8" w:rsidRPr="00677E16" w14:paraId="00AB9D35" w14:textId="77777777" w:rsidTr="00EA194A">
        <w:trPr>
          <w:trHeight w:val="315"/>
        </w:trPr>
        <w:tc>
          <w:tcPr>
            <w:tcW w:w="1276" w:type="dxa"/>
            <w:tcBorders>
              <w:top w:val="nil"/>
              <w:left w:val="nil"/>
              <w:bottom w:val="single" w:sz="8" w:space="0" w:color="auto"/>
              <w:right w:val="nil"/>
            </w:tcBorders>
            <w:shd w:val="clear" w:color="auto" w:fill="FFFFFF" w:themeFill="background1"/>
            <w:vAlign w:val="bottom"/>
            <w:hideMark/>
          </w:tcPr>
          <w:p w14:paraId="34DBE6D8"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Cooperative approach ID</w:t>
            </w:r>
            <w:r w:rsidRPr="00677E16">
              <w:rPr>
                <w:rStyle w:val="EndnoteReference"/>
                <w:rFonts w:eastAsia="Times New Roman"/>
                <w:iCs/>
                <w:color w:val="262626"/>
                <w:szCs w:val="16"/>
              </w:rPr>
              <w:endnoteReference w:id="12"/>
            </w:r>
          </w:p>
        </w:tc>
        <w:tc>
          <w:tcPr>
            <w:tcW w:w="1134" w:type="dxa"/>
            <w:tcBorders>
              <w:top w:val="nil"/>
              <w:left w:val="nil"/>
              <w:bottom w:val="single" w:sz="8" w:space="0" w:color="auto"/>
              <w:right w:val="nil"/>
            </w:tcBorders>
            <w:shd w:val="clear" w:color="auto" w:fill="FFFFFF" w:themeFill="background1"/>
            <w:vAlign w:val="bottom"/>
            <w:hideMark/>
          </w:tcPr>
          <w:p w14:paraId="7333CCD3"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Article 6.2</w:t>
            </w:r>
          </w:p>
        </w:tc>
        <w:tc>
          <w:tcPr>
            <w:tcW w:w="992" w:type="dxa"/>
            <w:tcBorders>
              <w:top w:val="nil"/>
              <w:left w:val="nil"/>
              <w:bottom w:val="single" w:sz="8" w:space="0" w:color="auto"/>
              <w:right w:val="nil"/>
            </w:tcBorders>
            <w:shd w:val="clear" w:color="auto" w:fill="FFFFFF" w:themeFill="background1"/>
            <w:vAlign w:val="bottom"/>
            <w:hideMark/>
          </w:tcPr>
          <w:p w14:paraId="2545AB1F"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Article 6.4</w:t>
            </w:r>
          </w:p>
        </w:tc>
        <w:tc>
          <w:tcPr>
            <w:tcW w:w="284" w:type="dxa"/>
            <w:tcBorders>
              <w:top w:val="nil"/>
              <w:left w:val="nil"/>
              <w:bottom w:val="single" w:sz="8" w:space="0" w:color="auto"/>
              <w:right w:val="nil"/>
            </w:tcBorders>
            <w:shd w:val="clear" w:color="auto" w:fill="FFFFFF" w:themeFill="background1"/>
            <w:vAlign w:val="bottom"/>
            <w:hideMark/>
          </w:tcPr>
          <w:p w14:paraId="7CC29076"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 </w:t>
            </w:r>
          </w:p>
        </w:tc>
        <w:tc>
          <w:tcPr>
            <w:tcW w:w="992" w:type="dxa"/>
            <w:tcBorders>
              <w:top w:val="nil"/>
              <w:left w:val="nil"/>
              <w:bottom w:val="single" w:sz="8" w:space="0" w:color="auto"/>
              <w:right w:val="nil"/>
            </w:tcBorders>
            <w:shd w:val="clear" w:color="auto" w:fill="FFFFFF" w:themeFill="background1"/>
            <w:vAlign w:val="bottom"/>
            <w:hideMark/>
          </w:tcPr>
          <w:p w14:paraId="4F2CF4A7"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Article 6.2</w:t>
            </w:r>
          </w:p>
        </w:tc>
        <w:tc>
          <w:tcPr>
            <w:tcW w:w="992" w:type="dxa"/>
            <w:tcBorders>
              <w:top w:val="nil"/>
              <w:left w:val="nil"/>
              <w:bottom w:val="single" w:sz="8" w:space="0" w:color="auto"/>
              <w:right w:val="nil"/>
            </w:tcBorders>
            <w:shd w:val="clear" w:color="auto" w:fill="FFFFFF" w:themeFill="background1"/>
            <w:vAlign w:val="bottom"/>
            <w:hideMark/>
          </w:tcPr>
          <w:p w14:paraId="0AB29931" w14:textId="77777777" w:rsidR="003670E8" w:rsidRPr="00677E16" w:rsidRDefault="003670E8" w:rsidP="00EA194A">
            <w:pPr>
              <w:suppressAutoHyphens w:val="0"/>
              <w:spacing w:line="240" w:lineRule="auto"/>
              <w:jc w:val="center"/>
              <w:rPr>
                <w:rFonts w:eastAsia="Times New Roman"/>
                <w:i/>
                <w:iCs/>
                <w:color w:val="262626"/>
                <w:sz w:val="16"/>
                <w:szCs w:val="16"/>
              </w:rPr>
            </w:pPr>
            <w:r w:rsidRPr="00677E16">
              <w:rPr>
                <w:rFonts w:eastAsia="Times New Roman"/>
                <w:i/>
                <w:iCs/>
                <w:color w:val="262626"/>
                <w:sz w:val="16"/>
                <w:szCs w:val="16"/>
              </w:rPr>
              <w:t>Article 6.4</w:t>
            </w:r>
          </w:p>
        </w:tc>
      </w:tr>
      <w:tr w:rsidR="003670E8" w:rsidRPr="00677E16" w14:paraId="5198503A" w14:textId="77777777" w:rsidTr="00EA194A">
        <w:trPr>
          <w:trHeight w:val="300"/>
        </w:trPr>
        <w:tc>
          <w:tcPr>
            <w:tcW w:w="1276" w:type="dxa"/>
            <w:tcBorders>
              <w:top w:val="nil"/>
              <w:left w:val="nil"/>
              <w:bottom w:val="nil"/>
              <w:right w:val="nil"/>
            </w:tcBorders>
            <w:shd w:val="clear" w:color="auto" w:fill="FFFFFF" w:themeFill="background1"/>
            <w:noWrap/>
            <w:vAlign w:val="center"/>
            <w:hideMark/>
          </w:tcPr>
          <w:p w14:paraId="52BABAC4" w14:textId="77777777" w:rsidR="003670E8" w:rsidRPr="00677E16" w:rsidRDefault="003670E8" w:rsidP="00EA194A">
            <w:pPr>
              <w:suppressAutoHyphens w:val="0"/>
              <w:spacing w:line="240" w:lineRule="auto"/>
              <w:rPr>
                <w:rFonts w:eastAsia="Times New Roman"/>
                <w:color w:val="262626"/>
              </w:rPr>
            </w:pPr>
            <w:r w:rsidRPr="00677E16">
              <w:rPr>
                <w:rFonts w:eastAsia="Times New Roman"/>
                <w:color w:val="262626"/>
              </w:rPr>
              <w:t> </w:t>
            </w:r>
          </w:p>
        </w:tc>
        <w:tc>
          <w:tcPr>
            <w:tcW w:w="1134" w:type="dxa"/>
            <w:tcBorders>
              <w:top w:val="nil"/>
              <w:left w:val="nil"/>
              <w:bottom w:val="nil"/>
              <w:right w:val="nil"/>
            </w:tcBorders>
            <w:shd w:val="clear" w:color="auto" w:fill="FFFFFF" w:themeFill="background1"/>
            <w:noWrap/>
            <w:vAlign w:val="center"/>
            <w:hideMark/>
          </w:tcPr>
          <w:p w14:paraId="609BDA1A"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c>
          <w:tcPr>
            <w:tcW w:w="992" w:type="dxa"/>
            <w:tcBorders>
              <w:top w:val="nil"/>
              <w:left w:val="nil"/>
              <w:bottom w:val="nil"/>
              <w:right w:val="nil"/>
            </w:tcBorders>
            <w:shd w:val="clear" w:color="auto" w:fill="FFFFFF" w:themeFill="background1"/>
            <w:noWrap/>
            <w:vAlign w:val="bottom"/>
            <w:hideMark/>
          </w:tcPr>
          <w:p w14:paraId="560B0823"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284" w:type="dxa"/>
            <w:tcBorders>
              <w:top w:val="nil"/>
              <w:left w:val="nil"/>
              <w:bottom w:val="nil"/>
              <w:right w:val="nil"/>
            </w:tcBorders>
            <w:shd w:val="clear" w:color="auto" w:fill="FFFFFF" w:themeFill="background1"/>
            <w:noWrap/>
            <w:vAlign w:val="bottom"/>
            <w:hideMark/>
          </w:tcPr>
          <w:p w14:paraId="004407C0"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992" w:type="dxa"/>
            <w:tcBorders>
              <w:top w:val="nil"/>
              <w:left w:val="nil"/>
              <w:bottom w:val="nil"/>
              <w:right w:val="nil"/>
            </w:tcBorders>
            <w:shd w:val="clear" w:color="auto" w:fill="FFFFFF" w:themeFill="background1"/>
            <w:noWrap/>
            <w:vAlign w:val="bottom"/>
            <w:hideMark/>
          </w:tcPr>
          <w:p w14:paraId="4CEA0CD8"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c>
          <w:tcPr>
            <w:tcW w:w="992" w:type="dxa"/>
            <w:tcBorders>
              <w:top w:val="nil"/>
              <w:left w:val="nil"/>
              <w:bottom w:val="nil"/>
              <w:right w:val="nil"/>
            </w:tcBorders>
            <w:shd w:val="clear" w:color="auto" w:fill="FFFFFF" w:themeFill="background1"/>
            <w:noWrap/>
            <w:vAlign w:val="bottom"/>
            <w:hideMark/>
          </w:tcPr>
          <w:p w14:paraId="49FB87DF" w14:textId="77777777" w:rsidR="003670E8" w:rsidRPr="00677E16" w:rsidRDefault="003670E8" w:rsidP="00EA194A">
            <w:pPr>
              <w:suppressAutoHyphens w:val="0"/>
              <w:spacing w:line="240" w:lineRule="auto"/>
              <w:rPr>
                <w:rFonts w:ascii="Calibri" w:eastAsia="Times New Roman" w:hAnsi="Calibri" w:cs="Calibri"/>
                <w:color w:val="000000"/>
                <w:sz w:val="22"/>
                <w:szCs w:val="22"/>
              </w:rPr>
            </w:pPr>
            <w:r w:rsidRPr="00677E16">
              <w:rPr>
                <w:rFonts w:ascii="Calibri" w:eastAsia="Times New Roman" w:hAnsi="Calibri" w:cs="Calibri"/>
                <w:color w:val="000000"/>
                <w:sz w:val="22"/>
                <w:szCs w:val="22"/>
              </w:rPr>
              <w:t> </w:t>
            </w:r>
          </w:p>
        </w:tc>
      </w:tr>
      <w:tr w:rsidR="003670E8" w:rsidRPr="00677E16" w14:paraId="5A6440C6" w14:textId="77777777" w:rsidTr="00EA194A">
        <w:trPr>
          <w:trHeight w:val="315"/>
        </w:trPr>
        <w:tc>
          <w:tcPr>
            <w:tcW w:w="1276" w:type="dxa"/>
            <w:tcBorders>
              <w:top w:val="nil"/>
              <w:left w:val="nil"/>
              <w:bottom w:val="single" w:sz="12" w:space="0" w:color="auto"/>
              <w:right w:val="nil"/>
            </w:tcBorders>
            <w:shd w:val="clear" w:color="auto" w:fill="FFFFFF" w:themeFill="background1"/>
            <w:noWrap/>
            <w:vAlign w:val="center"/>
            <w:hideMark/>
          </w:tcPr>
          <w:p w14:paraId="5B4A8F38" w14:textId="77777777" w:rsidR="003670E8" w:rsidRPr="00677E16" w:rsidRDefault="003670E8" w:rsidP="00EA194A">
            <w:pPr>
              <w:suppressAutoHyphens w:val="0"/>
              <w:spacing w:line="240" w:lineRule="auto"/>
              <w:rPr>
                <w:rFonts w:eastAsia="Times New Roman"/>
                <w:b/>
                <w:bCs/>
                <w:color w:val="262626"/>
              </w:rPr>
            </w:pPr>
            <w:r w:rsidRPr="00677E16">
              <w:rPr>
                <w:rFonts w:eastAsia="Times New Roman"/>
                <w:b/>
                <w:bCs/>
                <w:color w:val="262626"/>
              </w:rPr>
              <w:t> </w:t>
            </w:r>
          </w:p>
        </w:tc>
        <w:tc>
          <w:tcPr>
            <w:tcW w:w="1134" w:type="dxa"/>
            <w:tcBorders>
              <w:top w:val="nil"/>
              <w:left w:val="nil"/>
              <w:bottom w:val="single" w:sz="12" w:space="0" w:color="auto"/>
              <w:right w:val="nil"/>
            </w:tcBorders>
            <w:shd w:val="clear" w:color="auto" w:fill="FFFFFF" w:themeFill="background1"/>
            <w:noWrap/>
            <w:vAlign w:val="center"/>
            <w:hideMark/>
          </w:tcPr>
          <w:p w14:paraId="5665427D"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c>
          <w:tcPr>
            <w:tcW w:w="992" w:type="dxa"/>
            <w:tcBorders>
              <w:top w:val="nil"/>
              <w:left w:val="nil"/>
              <w:bottom w:val="single" w:sz="12" w:space="0" w:color="auto"/>
              <w:right w:val="nil"/>
            </w:tcBorders>
            <w:shd w:val="clear" w:color="auto" w:fill="FFFFFF" w:themeFill="background1"/>
            <w:noWrap/>
            <w:vAlign w:val="center"/>
            <w:hideMark/>
          </w:tcPr>
          <w:p w14:paraId="05B4ABE0"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c>
          <w:tcPr>
            <w:tcW w:w="284" w:type="dxa"/>
            <w:tcBorders>
              <w:top w:val="nil"/>
              <w:left w:val="nil"/>
              <w:bottom w:val="single" w:sz="12" w:space="0" w:color="auto"/>
              <w:right w:val="nil"/>
            </w:tcBorders>
            <w:shd w:val="clear" w:color="auto" w:fill="FFFFFF" w:themeFill="background1"/>
            <w:noWrap/>
            <w:vAlign w:val="center"/>
            <w:hideMark/>
          </w:tcPr>
          <w:p w14:paraId="7F326A84"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c>
          <w:tcPr>
            <w:tcW w:w="992" w:type="dxa"/>
            <w:tcBorders>
              <w:top w:val="nil"/>
              <w:left w:val="nil"/>
              <w:bottom w:val="single" w:sz="12" w:space="0" w:color="auto"/>
              <w:right w:val="nil"/>
            </w:tcBorders>
            <w:shd w:val="clear" w:color="auto" w:fill="FFFFFF" w:themeFill="background1"/>
            <w:noWrap/>
            <w:vAlign w:val="center"/>
            <w:hideMark/>
          </w:tcPr>
          <w:p w14:paraId="4C2D485B"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c>
          <w:tcPr>
            <w:tcW w:w="992" w:type="dxa"/>
            <w:tcBorders>
              <w:top w:val="nil"/>
              <w:left w:val="nil"/>
              <w:bottom w:val="single" w:sz="12" w:space="0" w:color="auto"/>
              <w:right w:val="nil"/>
            </w:tcBorders>
            <w:shd w:val="clear" w:color="auto" w:fill="FFFFFF" w:themeFill="background1"/>
            <w:noWrap/>
            <w:vAlign w:val="center"/>
            <w:hideMark/>
          </w:tcPr>
          <w:p w14:paraId="003DB563" w14:textId="77777777" w:rsidR="003670E8" w:rsidRPr="00677E16" w:rsidRDefault="003670E8" w:rsidP="00EA194A">
            <w:pPr>
              <w:suppressAutoHyphens w:val="0"/>
              <w:spacing w:line="240" w:lineRule="auto"/>
              <w:jc w:val="right"/>
              <w:rPr>
                <w:rFonts w:eastAsia="Times New Roman"/>
                <w:color w:val="262626"/>
              </w:rPr>
            </w:pPr>
            <w:r w:rsidRPr="00677E16">
              <w:rPr>
                <w:rFonts w:eastAsia="Times New Roman"/>
                <w:color w:val="262626"/>
              </w:rPr>
              <w:t> </w:t>
            </w:r>
          </w:p>
        </w:tc>
      </w:tr>
    </w:tbl>
    <w:p w14:paraId="5315D368" w14:textId="77777777" w:rsidR="003670E8" w:rsidRPr="00677E16" w:rsidRDefault="003670E8" w:rsidP="003670E8">
      <w:pPr>
        <w:pStyle w:val="FC2"/>
        <w:spacing w:after="0" w:line="60" w:lineRule="exact"/>
        <w:ind w:left="283"/>
        <w:jc w:val="both"/>
        <w:rPr>
          <w:b/>
        </w:rPr>
        <w:sectPr w:rsidR="003670E8" w:rsidRPr="00677E16">
          <w:endnotePr>
            <w:numFmt w:val="lowerLetter"/>
            <w:numRestart w:val="eachSect"/>
          </w:endnotePr>
          <w:type w:val="continuous"/>
          <w:pgSz w:w="16838" w:h="11906" w:orient="landscape" w:code="9"/>
          <w:pgMar w:top="1276" w:right="1134" w:bottom="1134" w:left="1418" w:header="850" w:footer="567" w:gutter="0"/>
          <w:cols w:space="708"/>
          <w:docGrid w:linePitch="360"/>
        </w:sectPr>
      </w:pPr>
    </w:p>
    <w:p w14:paraId="075C1F17" w14:textId="77777777" w:rsidR="003670E8" w:rsidRDefault="003670E8" w:rsidP="003670E8">
      <w:r w:rsidRPr="00677E16">
        <w:t>]</w:t>
      </w:r>
    </w:p>
    <w:p w14:paraId="742174D1" w14:textId="77777777" w:rsidR="003670E8" w:rsidRPr="008C6B97" w:rsidRDefault="003670E8" w:rsidP="003670E8">
      <w:pPr>
        <w:pStyle w:val="EndnoteText"/>
        <w:tabs>
          <w:tab w:val="clear" w:pos="1021"/>
        </w:tabs>
        <w:spacing w:line="200" w:lineRule="exact"/>
        <w:ind w:left="283" w:firstLine="142"/>
        <w:rPr>
          <w:lang w:val="en-US"/>
        </w:rPr>
      </w:pPr>
      <w:r w:rsidRPr="009667A9">
        <w:rPr>
          <w:sz w:val="20"/>
        </w:rPr>
        <w:t>Table 6</w:t>
      </w:r>
      <w:r>
        <w:rPr>
          <w:sz w:val="20"/>
        </w:rPr>
        <w:t xml:space="preserve"> </w:t>
      </w:r>
      <w:r w:rsidRPr="009667A9">
        <w:rPr>
          <w:b/>
          <w:sz w:val="20"/>
        </w:rPr>
        <w:br/>
        <w:t xml:space="preserve">Option </w:t>
      </w:r>
      <w:r>
        <w:rPr>
          <w:b/>
          <w:sz w:val="20"/>
        </w:rPr>
        <w:t>2</w:t>
      </w:r>
      <w:r w:rsidRPr="009667A9">
        <w:rPr>
          <w:b/>
          <w:sz w:val="20"/>
        </w:rPr>
        <w:t xml:space="preserve">: </w:t>
      </w:r>
      <w:r w:rsidRPr="00BF77E6">
        <w:rPr>
          <w:b/>
          <w:sz w:val="20"/>
        </w:rPr>
        <w:t>Summary information</w:t>
      </w:r>
    </w:p>
    <w:p w14:paraId="428B705C" w14:textId="77777777" w:rsidR="003670E8" w:rsidRDefault="003670E8" w:rsidP="003670E8"/>
    <w:tbl>
      <w:tblPr>
        <w:tblW w:w="14160" w:type="dxa"/>
        <w:tblLook w:val="04A0" w:firstRow="1" w:lastRow="0" w:firstColumn="1" w:lastColumn="0" w:noHBand="0" w:noVBand="1"/>
      </w:tblPr>
      <w:tblGrid>
        <w:gridCol w:w="2240"/>
        <w:gridCol w:w="2239"/>
        <w:gridCol w:w="2239"/>
        <w:gridCol w:w="266"/>
        <w:gridCol w:w="1579"/>
        <w:gridCol w:w="1619"/>
        <w:gridCol w:w="266"/>
        <w:gridCol w:w="1180"/>
        <w:gridCol w:w="1319"/>
        <w:gridCol w:w="1339"/>
      </w:tblGrid>
      <w:tr w:rsidR="003670E8" w:rsidRPr="00F35F8C" w14:paraId="56F53EB2" w14:textId="77777777" w:rsidTr="00EA194A">
        <w:trPr>
          <w:trHeight w:val="300"/>
        </w:trPr>
        <w:tc>
          <w:tcPr>
            <w:tcW w:w="4480" w:type="dxa"/>
            <w:gridSpan w:val="2"/>
            <w:tcBorders>
              <w:top w:val="nil"/>
              <w:left w:val="nil"/>
              <w:bottom w:val="nil"/>
              <w:right w:val="nil"/>
            </w:tcBorders>
            <w:shd w:val="clear" w:color="000000" w:fill="FFFFFF"/>
            <w:noWrap/>
            <w:vAlign w:val="center"/>
            <w:hideMark/>
          </w:tcPr>
          <w:p w14:paraId="7A624BC4" w14:textId="77777777" w:rsidR="003670E8" w:rsidRPr="00F35F8C" w:rsidRDefault="003670E8" w:rsidP="00EA194A">
            <w:pPr>
              <w:suppressAutoHyphens w:val="0"/>
              <w:spacing w:line="240" w:lineRule="auto"/>
              <w:rPr>
                <w:rFonts w:eastAsia="Times New Roman"/>
                <w:b/>
                <w:bCs/>
                <w:lang w:val="en-US"/>
              </w:rPr>
            </w:pPr>
          </w:p>
        </w:tc>
        <w:tc>
          <w:tcPr>
            <w:tcW w:w="2240" w:type="dxa"/>
            <w:tcBorders>
              <w:top w:val="nil"/>
              <w:left w:val="nil"/>
              <w:bottom w:val="nil"/>
              <w:right w:val="nil"/>
            </w:tcBorders>
            <w:shd w:val="clear" w:color="000000" w:fill="FFFFFF"/>
            <w:noWrap/>
            <w:vAlign w:val="center"/>
            <w:hideMark/>
          </w:tcPr>
          <w:p w14:paraId="28018FF2"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200" w:type="dxa"/>
            <w:tcBorders>
              <w:top w:val="nil"/>
              <w:left w:val="nil"/>
              <w:bottom w:val="single" w:sz="8" w:space="0" w:color="auto"/>
              <w:right w:val="nil"/>
            </w:tcBorders>
            <w:shd w:val="clear" w:color="000000" w:fill="FFFFFF"/>
            <w:noWrap/>
            <w:vAlign w:val="center"/>
            <w:hideMark/>
          </w:tcPr>
          <w:p w14:paraId="5EFC0690"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1580" w:type="dxa"/>
            <w:tcBorders>
              <w:top w:val="nil"/>
              <w:left w:val="nil"/>
              <w:bottom w:val="nil"/>
              <w:right w:val="nil"/>
            </w:tcBorders>
            <w:shd w:val="clear" w:color="000000" w:fill="FFFFFF"/>
            <w:noWrap/>
            <w:vAlign w:val="center"/>
            <w:hideMark/>
          </w:tcPr>
          <w:p w14:paraId="05949F61"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1620" w:type="dxa"/>
            <w:tcBorders>
              <w:top w:val="nil"/>
              <w:left w:val="nil"/>
              <w:bottom w:val="nil"/>
              <w:right w:val="nil"/>
            </w:tcBorders>
            <w:shd w:val="clear" w:color="000000" w:fill="FFFFFF"/>
            <w:noWrap/>
            <w:vAlign w:val="bottom"/>
            <w:hideMark/>
          </w:tcPr>
          <w:p w14:paraId="31B2F048"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200" w:type="dxa"/>
            <w:tcBorders>
              <w:top w:val="nil"/>
              <w:left w:val="nil"/>
              <w:bottom w:val="single" w:sz="8" w:space="0" w:color="auto"/>
              <w:right w:val="nil"/>
            </w:tcBorders>
            <w:shd w:val="clear" w:color="000000" w:fill="FFFFFF"/>
            <w:noWrap/>
            <w:vAlign w:val="center"/>
            <w:hideMark/>
          </w:tcPr>
          <w:p w14:paraId="38B8BBCB"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1180" w:type="dxa"/>
            <w:tcBorders>
              <w:top w:val="nil"/>
              <w:left w:val="nil"/>
              <w:bottom w:val="nil"/>
              <w:right w:val="nil"/>
            </w:tcBorders>
            <w:shd w:val="clear" w:color="000000" w:fill="FFFFFF"/>
            <w:noWrap/>
            <w:vAlign w:val="bottom"/>
            <w:hideMark/>
          </w:tcPr>
          <w:p w14:paraId="22093915"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1320" w:type="dxa"/>
            <w:tcBorders>
              <w:top w:val="nil"/>
              <w:left w:val="nil"/>
              <w:bottom w:val="nil"/>
              <w:right w:val="nil"/>
            </w:tcBorders>
            <w:shd w:val="clear" w:color="000000" w:fill="FFFFFF"/>
            <w:noWrap/>
            <w:vAlign w:val="bottom"/>
            <w:hideMark/>
          </w:tcPr>
          <w:p w14:paraId="56DFA867"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1340" w:type="dxa"/>
            <w:tcBorders>
              <w:top w:val="nil"/>
              <w:left w:val="nil"/>
              <w:bottom w:val="nil"/>
              <w:right w:val="nil"/>
            </w:tcBorders>
            <w:shd w:val="clear" w:color="000000" w:fill="FFFFFF"/>
            <w:noWrap/>
            <w:vAlign w:val="bottom"/>
            <w:hideMark/>
          </w:tcPr>
          <w:p w14:paraId="5D4C6616"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r>
      <w:tr w:rsidR="003670E8" w:rsidRPr="00F35F8C" w14:paraId="35B96AEF" w14:textId="77777777" w:rsidTr="00EA194A">
        <w:trPr>
          <w:trHeight w:val="300"/>
        </w:trPr>
        <w:tc>
          <w:tcPr>
            <w:tcW w:w="2240" w:type="dxa"/>
            <w:tcBorders>
              <w:top w:val="single" w:sz="8" w:space="0" w:color="auto"/>
              <w:left w:val="nil"/>
              <w:bottom w:val="nil"/>
              <w:right w:val="nil"/>
            </w:tcBorders>
            <w:shd w:val="clear" w:color="000000" w:fill="FFFFFF"/>
            <w:vAlign w:val="bottom"/>
            <w:hideMark/>
          </w:tcPr>
          <w:p w14:paraId="1973114D"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4480" w:type="dxa"/>
            <w:gridSpan w:val="2"/>
            <w:tcBorders>
              <w:top w:val="single" w:sz="8" w:space="0" w:color="auto"/>
              <w:left w:val="nil"/>
              <w:bottom w:val="single" w:sz="8" w:space="0" w:color="auto"/>
              <w:right w:val="nil"/>
            </w:tcBorders>
            <w:shd w:val="clear" w:color="000000" w:fill="FFFFFF"/>
            <w:vAlign w:val="bottom"/>
            <w:hideMark/>
          </w:tcPr>
          <w:p w14:paraId="6E6B7A41"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Holdings</w:t>
            </w:r>
          </w:p>
        </w:tc>
        <w:tc>
          <w:tcPr>
            <w:tcW w:w="200" w:type="dxa"/>
            <w:tcBorders>
              <w:top w:val="nil"/>
              <w:left w:val="nil"/>
              <w:bottom w:val="nil"/>
              <w:right w:val="nil"/>
            </w:tcBorders>
            <w:shd w:val="clear" w:color="000000" w:fill="FFFFFF"/>
            <w:vAlign w:val="bottom"/>
            <w:hideMark/>
          </w:tcPr>
          <w:p w14:paraId="2C3E142A" w14:textId="77777777" w:rsidR="003670E8" w:rsidRPr="00F35F8C" w:rsidRDefault="003670E8" w:rsidP="00EA194A">
            <w:pPr>
              <w:suppressAutoHyphens w:val="0"/>
              <w:spacing w:line="240" w:lineRule="auto"/>
              <w:rPr>
                <w:rFonts w:eastAsia="Times New Roman"/>
                <w:i/>
                <w:iCs/>
                <w:sz w:val="16"/>
                <w:szCs w:val="16"/>
                <w:lang w:val="en-US"/>
              </w:rPr>
            </w:pPr>
            <w:r w:rsidRPr="00F35F8C">
              <w:rPr>
                <w:rFonts w:eastAsia="Times New Roman"/>
                <w:i/>
                <w:iCs/>
                <w:sz w:val="16"/>
                <w:szCs w:val="16"/>
                <w:lang w:val="en-US"/>
              </w:rPr>
              <w:t> </w:t>
            </w:r>
          </w:p>
        </w:tc>
        <w:tc>
          <w:tcPr>
            <w:tcW w:w="3200" w:type="dxa"/>
            <w:gridSpan w:val="2"/>
            <w:tcBorders>
              <w:top w:val="single" w:sz="8" w:space="0" w:color="auto"/>
              <w:left w:val="nil"/>
              <w:bottom w:val="single" w:sz="8" w:space="0" w:color="auto"/>
              <w:right w:val="nil"/>
            </w:tcBorders>
            <w:shd w:val="clear" w:color="000000" w:fill="FFFFFF"/>
            <w:vAlign w:val="bottom"/>
            <w:hideMark/>
          </w:tcPr>
          <w:p w14:paraId="64984F2B"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Acquisitions</w:t>
            </w:r>
          </w:p>
        </w:tc>
        <w:tc>
          <w:tcPr>
            <w:tcW w:w="200" w:type="dxa"/>
            <w:tcBorders>
              <w:top w:val="nil"/>
              <w:left w:val="nil"/>
              <w:bottom w:val="nil"/>
              <w:right w:val="nil"/>
            </w:tcBorders>
            <w:shd w:val="clear" w:color="000000" w:fill="FFFFFF"/>
            <w:vAlign w:val="bottom"/>
            <w:hideMark/>
          </w:tcPr>
          <w:p w14:paraId="42222280" w14:textId="77777777" w:rsidR="003670E8" w:rsidRPr="00F35F8C" w:rsidRDefault="003670E8" w:rsidP="00EA194A">
            <w:pPr>
              <w:suppressAutoHyphens w:val="0"/>
              <w:spacing w:line="240" w:lineRule="auto"/>
              <w:rPr>
                <w:rFonts w:eastAsia="Times New Roman"/>
                <w:i/>
                <w:iCs/>
                <w:sz w:val="16"/>
                <w:szCs w:val="16"/>
                <w:lang w:val="en-US"/>
              </w:rPr>
            </w:pPr>
            <w:r w:rsidRPr="00F35F8C">
              <w:rPr>
                <w:rFonts w:eastAsia="Times New Roman"/>
                <w:i/>
                <w:iCs/>
                <w:sz w:val="16"/>
                <w:szCs w:val="16"/>
                <w:lang w:val="en-US"/>
              </w:rPr>
              <w:t> </w:t>
            </w:r>
          </w:p>
        </w:tc>
        <w:tc>
          <w:tcPr>
            <w:tcW w:w="3840" w:type="dxa"/>
            <w:gridSpan w:val="3"/>
            <w:tcBorders>
              <w:top w:val="single" w:sz="8" w:space="0" w:color="auto"/>
              <w:left w:val="nil"/>
              <w:bottom w:val="single" w:sz="8" w:space="0" w:color="auto"/>
              <w:right w:val="nil"/>
            </w:tcBorders>
            <w:shd w:val="clear" w:color="000000" w:fill="FFFFFF"/>
            <w:vAlign w:val="bottom"/>
            <w:hideMark/>
          </w:tcPr>
          <w:p w14:paraId="32926856"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Authorisations</w:t>
            </w:r>
          </w:p>
        </w:tc>
      </w:tr>
      <w:tr w:rsidR="003670E8" w:rsidRPr="00F35F8C" w14:paraId="425A725F" w14:textId="77777777" w:rsidTr="00EA194A">
        <w:trPr>
          <w:trHeight w:val="852"/>
        </w:trPr>
        <w:tc>
          <w:tcPr>
            <w:tcW w:w="2240" w:type="dxa"/>
            <w:tcBorders>
              <w:top w:val="nil"/>
              <w:left w:val="nil"/>
              <w:bottom w:val="single" w:sz="8" w:space="0" w:color="auto"/>
              <w:right w:val="nil"/>
            </w:tcBorders>
            <w:shd w:val="clear" w:color="000000" w:fill="FFFFFF"/>
            <w:vAlign w:val="bottom"/>
            <w:hideMark/>
          </w:tcPr>
          <w:p w14:paraId="2548157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Cooperative approach ID</w:t>
            </w:r>
          </w:p>
        </w:tc>
        <w:tc>
          <w:tcPr>
            <w:tcW w:w="2240" w:type="dxa"/>
            <w:tcBorders>
              <w:top w:val="nil"/>
              <w:left w:val="nil"/>
              <w:bottom w:val="single" w:sz="8" w:space="0" w:color="auto"/>
              <w:right w:val="nil"/>
            </w:tcBorders>
            <w:shd w:val="clear" w:color="000000" w:fill="FFFFFF"/>
            <w:vAlign w:val="bottom"/>
            <w:hideMark/>
          </w:tcPr>
          <w:p w14:paraId="596B2F85"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At the beginning of the reporting period</w:t>
            </w:r>
          </w:p>
        </w:tc>
        <w:tc>
          <w:tcPr>
            <w:tcW w:w="2240" w:type="dxa"/>
            <w:tcBorders>
              <w:top w:val="nil"/>
              <w:left w:val="nil"/>
              <w:bottom w:val="single" w:sz="8" w:space="0" w:color="auto"/>
              <w:right w:val="nil"/>
            </w:tcBorders>
            <w:shd w:val="clear" w:color="000000" w:fill="FFFFFF"/>
            <w:vAlign w:val="bottom"/>
            <w:hideMark/>
          </w:tcPr>
          <w:p w14:paraId="000AE64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At the end of the reporting period</w:t>
            </w:r>
          </w:p>
        </w:tc>
        <w:tc>
          <w:tcPr>
            <w:tcW w:w="200" w:type="dxa"/>
            <w:tcBorders>
              <w:top w:val="nil"/>
              <w:left w:val="nil"/>
              <w:bottom w:val="single" w:sz="8" w:space="0" w:color="auto"/>
              <w:right w:val="nil"/>
            </w:tcBorders>
            <w:shd w:val="clear" w:color="000000" w:fill="FFFFFF"/>
            <w:vAlign w:val="bottom"/>
            <w:hideMark/>
          </w:tcPr>
          <w:p w14:paraId="3D2FCC1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single" w:sz="8" w:space="0" w:color="auto"/>
              <w:right w:val="nil"/>
            </w:tcBorders>
            <w:shd w:val="clear" w:color="000000" w:fill="FFFFFF"/>
            <w:vAlign w:val="bottom"/>
            <w:hideMark/>
          </w:tcPr>
          <w:p w14:paraId="6DB45F1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Acquistions from another Party</w:t>
            </w:r>
          </w:p>
        </w:tc>
        <w:tc>
          <w:tcPr>
            <w:tcW w:w="1620" w:type="dxa"/>
            <w:tcBorders>
              <w:top w:val="nil"/>
              <w:left w:val="nil"/>
              <w:bottom w:val="single" w:sz="8" w:space="0" w:color="auto"/>
              <w:right w:val="nil"/>
            </w:tcBorders>
            <w:shd w:val="clear" w:color="000000" w:fill="FFFFFF"/>
            <w:vAlign w:val="bottom"/>
            <w:hideMark/>
          </w:tcPr>
          <w:p w14:paraId="3BB12F07"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Acquisitions from the Adaptation Fund</w:t>
            </w:r>
          </w:p>
        </w:tc>
        <w:tc>
          <w:tcPr>
            <w:tcW w:w="200" w:type="dxa"/>
            <w:tcBorders>
              <w:top w:val="nil"/>
              <w:left w:val="nil"/>
              <w:bottom w:val="single" w:sz="8" w:space="0" w:color="auto"/>
              <w:right w:val="nil"/>
            </w:tcBorders>
            <w:shd w:val="clear" w:color="000000" w:fill="FFFFFF"/>
            <w:vAlign w:val="bottom"/>
            <w:hideMark/>
          </w:tcPr>
          <w:p w14:paraId="1765FD95"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single" w:sz="8" w:space="0" w:color="auto"/>
              <w:right w:val="nil"/>
            </w:tcBorders>
            <w:shd w:val="clear" w:color="000000" w:fill="FFFFFF"/>
            <w:vAlign w:val="bottom"/>
            <w:hideMark/>
          </w:tcPr>
          <w:p w14:paraId="3EBDEF08"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Authorisations</w:t>
            </w:r>
          </w:p>
        </w:tc>
        <w:tc>
          <w:tcPr>
            <w:tcW w:w="1320" w:type="dxa"/>
            <w:tcBorders>
              <w:top w:val="nil"/>
              <w:left w:val="nil"/>
              <w:bottom w:val="single" w:sz="8" w:space="0" w:color="auto"/>
              <w:right w:val="nil"/>
            </w:tcBorders>
            <w:shd w:val="clear" w:color="000000" w:fill="FFFFFF"/>
            <w:vAlign w:val="bottom"/>
            <w:hideMark/>
          </w:tcPr>
          <w:p w14:paraId="1787DEB3"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Changes to authorisations</w:t>
            </w:r>
          </w:p>
        </w:tc>
        <w:tc>
          <w:tcPr>
            <w:tcW w:w="1340" w:type="dxa"/>
            <w:tcBorders>
              <w:top w:val="nil"/>
              <w:left w:val="nil"/>
              <w:bottom w:val="single" w:sz="8" w:space="0" w:color="auto"/>
              <w:right w:val="nil"/>
            </w:tcBorders>
            <w:shd w:val="clear" w:color="000000" w:fill="FFFFFF"/>
            <w:vAlign w:val="bottom"/>
            <w:hideMark/>
          </w:tcPr>
          <w:p w14:paraId="527735DE"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Revocations to authorisations</w:t>
            </w:r>
          </w:p>
        </w:tc>
      </w:tr>
      <w:tr w:rsidR="003670E8" w:rsidRPr="00F35F8C" w14:paraId="42AE235E" w14:textId="77777777" w:rsidTr="00EA194A">
        <w:trPr>
          <w:trHeight w:val="288"/>
        </w:trPr>
        <w:tc>
          <w:tcPr>
            <w:tcW w:w="2240" w:type="dxa"/>
            <w:tcBorders>
              <w:top w:val="nil"/>
              <w:left w:val="nil"/>
              <w:bottom w:val="nil"/>
              <w:right w:val="nil"/>
            </w:tcBorders>
            <w:shd w:val="clear" w:color="000000" w:fill="FFFFFF"/>
            <w:noWrap/>
            <w:vAlign w:val="center"/>
            <w:hideMark/>
          </w:tcPr>
          <w:p w14:paraId="22E26F7E"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#1</w:t>
            </w:r>
          </w:p>
        </w:tc>
        <w:tc>
          <w:tcPr>
            <w:tcW w:w="2240" w:type="dxa"/>
            <w:tcBorders>
              <w:top w:val="nil"/>
              <w:left w:val="nil"/>
              <w:bottom w:val="nil"/>
              <w:right w:val="nil"/>
            </w:tcBorders>
            <w:shd w:val="clear" w:color="000000" w:fill="FFFFFF"/>
            <w:vAlign w:val="bottom"/>
            <w:hideMark/>
          </w:tcPr>
          <w:p w14:paraId="63DC0B77"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240" w:type="dxa"/>
            <w:tcBorders>
              <w:top w:val="nil"/>
              <w:left w:val="nil"/>
              <w:bottom w:val="nil"/>
              <w:right w:val="nil"/>
            </w:tcBorders>
            <w:shd w:val="clear" w:color="000000" w:fill="FFFFFF"/>
            <w:vAlign w:val="bottom"/>
            <w:hideMark/>
          </w:tcPr>
          <w:p w14:paraId="0BB0B424"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14FB8FBD"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nil"/>
              <w:right w:val="nil"/>
            </w:tcBorders>
            <w:shd w:val="clear" w:color="000000" w:fill="FFFFFF"/>
            <w:vAlign w:val="bottom"/>
            <w:hideMark/>
          </w:tcPr>
          <w:p w14:paraId="11C60427"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620" w:type="dxa"/>
            <w:tcBorders>
              <w:top w:val="nil"/>
              <w:left w:val="nil"/>
              <w:bottom w:val="nil"/>
              <w:right w:val="nil"/>
            </w:tcBorders>
            <w:shd w:val="clear" w:color="000000" w:fill="FFFFFF"/>
            <w:vAlign w:val="bottom"/>
            <w:hideMark/>
          </w:tcPr>
          <w:p w14:paraId="749A125F"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55BFCE48"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nil"/>
              <w:right w:val="nil"/>
            </w:tcBorders>
            <w:shd w:val="clear" w:color="000000" w:fill="FFFFFF"/>
            <w:vAlign w:val="bottom"/>
            <w:hideMark/>
          </w:tcPr>
          <w:p w14:paraId="3A597F17"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20" w:type="dxa"/>
            <w:tcBorders>
              <w:top w:val="nil"/>
              <w:left w:val="nil"/>
              <w:bottom w:val="nil"/>
              <w:right w:val="nil"/>
            </w:tcBorders>
            <w:shd w:val="clear" w:color="000000" w:fill="FFFFFF"/>
            <w:vAlign w:val="bottom"/>
            <w:hideMark/>
          </w:tcPr>
          <w:p w14:paraId="166D7484"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40" w:type="dxa"/>
            <w:tcBorders>
              <w:top w:val="nil"/>
              <w:left w:val="nil"/>
              <w:bottom w:val="nil"/>
              <w:right w:val="nil"/>
            </w:tcBorders>
            <w:shd w:val="clear" w:color="000000" w:fill="FFFFFF"/>
            <w:vAlign w:val="bottom"/>
            <w:hideMark/>
          </w:tcPr>
          <w:p w14:paraId="001BB9A8"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r>
      <w:tr w:rsidR="003670E8" w:rsidRPr="00F35F8C" w14:paraId="394F8109" w14:textId="77777777" w:rsidTr="00EA194A">
        <w:trPr>
          <w:trHeight w:val="288"/>
        </w:trPr>
        <w:tc>
          <w:tcPr>
            <w:tcW w:w="2240" w:type="dxa"/>
            <w:tcBorders>
              <w:top w:val="nil"/>
              <w:left w:val="nil"/>
              <w:bottom w:val="nil"/>
              <w:right w:val="nil"/>
            </w:tcBorders>
            <w:shd w:val="clear" w:color="000000" w:fill="FFFFFF"/>
            <w:noWrap/>
            <w:vAlign w:val="center"/>
            <w:hideMark/>
          </w:tcPr>
          <w:p w14:paraId="2D8FB5FA"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#2</w:t>
            </w:r>
          </w:p>
        </w:tc>
        <w:tc>
          <w:tcPr>
            <w:tcW w:w="2240" w:type="dxa"/>
            <w:tcBorders>
              <w:top w:val="nil"/>
              <w:left w:val="nil"/>
              <w:bottom w:val="nil"/>
              <w:right w:val="nil"/>
            </w:tcBorders>
            <w:shd w:val="clear" w:color="000000" w:fill="FFFFFF"/>
            <w:vAlign w:val="bottom"/>
            <w:hideMark/>
          </w:tcPr>
          <w:p w14:paraId="7D44FE1A"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240" w:type="dxa"/>
            <w:tcBorders>
              <w:top w:val="nil"/>
              <w:left w:val="nil"/>
              <w:bottom w:val="nil"/>
              <w:right w:val="nil"/>
            </w:tcBorders>
            <w:shd w:val="clear" w:color="000000" w:fill="FFFFFF"/>
            <w:vAlign w:val="bottom"/>
            <w:hideMark/>
          </w:tcPr>
          <w:p w14:paraId="5AD513D2"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3B663A2D"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nil"/>
              <w:right w:val="nil"/>
            </w:tcBorders>
            <w:shd w:val="clear" w:color="000000" w:fill="FFFFFF"/>
            <w:vAlign w:val="bottom"/>
            <w:hideMark/>
          </w:tcPr>
          <w:p w14:paraId="5BD2B6D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620" w:type="dxa"/>
            <w:tcBorders>
              <w:top w:val="nil"/>
              <w:left w:val="nil"/>
              <w:bottom w:val="nil"/>
              <w:right w:val="nil"/>
            </w:tcBorders>
            <w:shd w:val="clear" w:color="000000" w:fill="FFFFFF"/>
            <w:vAlign w:val="bottom"/>
            <w:hideMark/>
          </w:tcPr>
          <w:p w14:paraId="3DBD8F41"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2C2D8416"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nil"/>
              <w:right w:val="nil"/>
            </w:tcBorders>
            <w:shd w:val="clear" w:color="000000" w:fill="FFFFFF"/>
            <w:vAlign w:val="bottom"/>
            <w:hideMark/>
          </w:tcPr>
          <w:p w14:paraId="693100CE"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20" w:type="dxa"/>
            <w:tcBorders>
              <w:top w:val="nil"/>
              <w:left w:val="nil"/>
              <w:bottom w:val="nil"/>
              <w:right w:val="nil"/>
            </w:tcBorders>
            <w:shd w:val="clear" w:color="000000" w:fill="FFFFFF"/>
            <w:vAlign w:val="bottom"/>
            <w:hideMark/>
          </w:tcPr>
          <w:p w14:paraId="17F8BD4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40" w:type="dxa"/>
            <w:tcBorders>
              <w:top w:val="nil"/>
              <w:left w:val="nil"/>
              <w:bottom w:val="nil"/>
              <w:right w:val="nil"/>
            </w:tcBorders>
            <w:shd w:val="clear" w:color="000000" w:fill="FFFFFF"/>
            <w:vAlign w:val="bottom"/>
            <w:hideMark/>
          </w:tcPr>
          <w:p w14:paraId="3C80EEA2"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r>
      <w:tr w:rsidR="003670E8" w:rsidRPr="00F35F8C" w14:paraId="715F1D0E" w14:textId="77777777" w:rsidTr="00EA194A">
        <w:trPr>
          <w:trHeight w:val="288"/>
        </w:trPr>
        <w:tc>
          <w:tcPr>
            <w:tcW w:w="2240" w:type="dxa"/>
            <w:tcBorders>
              <w:top w:val="nil"/>
              <w:left w:val="nil"/>
              <w:bottom w:val="nil"/>
              <w:right w:val="nil"/>
            </w:tcBorders>
            <w:shd w:val="clear" w:color="000000" w:fill="FFFFFF"/>
            <w:noWrap/>
            <w:vAlign w:val="center"/>
            <w:hideMark/>
          </w:tcPr>
          <w:p w14:paraId="3A161B59"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#3</w:t>
            </w:r>
          </w:p>
        </w:tc>
        <w:tc>
          <w:tcPr>
            <w:tcW w:w="2240" w:type="dxa"/>
            <w:tcBorders>
              <w:top w:val="nil"/>
              <w:left w:val="nil"/>
              <w:bottom w:val="nil"/>
              <w:right w:val="nil"/>
            </w:tcBorders>
            <w:shd w:val="clear" w:color="000000" w:fill="FFFFFF"/>
            <w:vAlign w:val="bottom"/>
            <w:hideMark/>
          </w:tcPr>
          <w:p w14:paraId="7D240071"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240" w:type="dxa"/>
            <w:tcBorders>
              <w:top w:val="nil"/>
              <w:left w:val="nil"/>
              <w:bottom w:val="nil"/>
              <w:right w:val="nil"/>
            </w:tcBorders>
            <w:shd w:val="clear" w:color="000000" w:fill="FFFFFF"/>
            <w:vAlign w:val="bottom"/>
            <w:hideMark/>
          </w:tcPr>
          <w:p w14:paraId="6931EA75"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3AFC6AA3"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nil"/>
              <w:right w:val="nil"/>
            </w:tcBorders>
            <w:shd w:val="clear" w:color="000000" w:fill="FFFFFF"/>
            <w:vAlign w:val="bottom"/>
            <w:hideMark/>
          </w:tcPr>
          <w:p w14:paraId="0093CAC8"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620" w:type="dxa"/>
            <w:tcBorders>
              <w:top w:val="nil"/>
              <w:left w:val="nil"/>
              <w:bottom w:val="nil"/>
              <w:right w:val="nil"/>
            </w:tcBorders>
            <w:shd w:val="clear" w:color="000000" w:fill="FFFFFF"/>
            <w:vAlign w:val="bottom"/>
            <w:hideMark/>
          </w:tcPr>
          <w:p w14:paraId="40D70CC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1512425B"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nil"/>
              <w:right w:val="nil"/>
            </w:tcBorders>
            <w:shd w:val="clear" w:color="000000" w:fill="FFFFFF"/>
            <w:vAlign w:val="bottom"/>
            <w:hideMark/>
          </w:tcPr>
          <w:p w14:paraId="7888590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20" w:type="dxa"/>
            <w:tcBorders>
              <w:top w:val="nil"/>
              <w:left w:val="nil"/>
              <w:bottom w:val="nil"/>
              <w:right w:val="nil"/>
            </w:tcBorders>
            <w:shd w:val="clear" w:color="000000" w:fill="FFFFFF"/>
            <w:vAlign w:val="bottom"/>
            <w:hideMark/>
          </w:tcPr>
          <w:p w14:paraId="21CB3AD4"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40" w:type="dxa"/>
            <w:tcBorders>
              <w:top w:val="nil"/>
              <w:left w:val="nil"/>
              <w:bottom w:val="nil"/>
              <w:right w:val="nil"/>
            </w:tcBorders>
            <w:shd w:val="clear" w:color="000000" w:fill="FFFFFF"/>
            <w:vAlign w:val="bottom"/>
            <w:hideMark/>
          </w:tcPr>
          <w:p w14:paraId="0C9CAB2A"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r>
      <w:tr w:rsidR="003670E8" w:rsidRPr="00F35F8C" w14:paraId="745D0437" w14:textId="77777777" w:rsidTr="00EA194A">
        <w:trPr>
          <w:trHeight w:val="288"/>
        </w:trPr>
        <w:tc>
          <w:tcPr>
            <w:tcW w:w="2240" w:type="dxa"/>
            <w:tcBorders>
              <w:top w:val="nil"/>
              <w:left w:val="nil"/>
              <w:bottom w:val="nil"/>
              <w:right w:val="nil"/>
            </w:tcBorders>
            <w:shd w:val="clear" w:color="000000" w:fill="FFFFFF"/>
            <w:noWrap/>
            <w:vAlign w:val="center"/>
            <w:hideMark/>
          </w:tcPr>
          <w:p w14:paraId="68EAA821"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w:t>
            </w:r>
          </w:p>
        </w:tc>
        <w:tc>
          <w:tcPr>
            <w:tcW w:w="2240" w:type="dxa"/>
            <w:tcBorders>
              <w:top w:val="nil"/>
              <w:left w:val="nil"/>
              <w:bottom w:val="nil"/>
              <w:right w:val="nil"/>
            </w:tcBorders>
            <w:shd w:val="clear" w:color="000000" w:fill="FFFFFF"/>
            <w:vAlign w:val="bottom"/>
            <w:hideMark/>
          </w:tcPr>
          <w:p w14:paraId="0D40F88C"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240" w:type="dxa"/>
            <w:tcBorders>
              <w:top w:val="nil"/>
              <w:left w:val="nil"/>
              <w:bottom w:val="nil"/>
              <w:right w:val="nil"/>
            </w:tcBorders>
            <w:shd w:val="clear" w:color="000000" w:fill="FFFFFF"/>
            <w:vAlign w:val="bottom"/>
            <w:hideMark/>
          </w:tcPr>
          <w:p w14:paraId="108BBE52"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5C1110C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nil"/>
              <w:right w:val="nil"/>
            </w:tcBorders>
            <w:shd w:val="clear" w:color="000000" w:fill="FFFFFF"/>
            <w:vAlign w:val="bottom"/>
            <w:hideMark/>
          </w:tcPr>
          <w:p w14:paraId="15BC821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620" w:type="dxa"/>
            <w:tcBorders>
              <w:top w:val="nil"/>
              <w:left w:val="nil"/>
              <w:bottom w:val="nil"/>
              <w:right w:val="nil"/>
            </w:tcBorders>
            <w:shd w:val="clear" w:color="000000" w:fill="FFFFFF"/>
            <w:vAlign w:val="bottom"/>
            <w:hideMark/>
          </w:tcPr>
          <w:p w14:paraId="7BD7C595"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1FC3D06E"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nil"/>
              <w:right w:val="nil"/>
            </w:tcBorders>
            <w:shd w:val="clear" w:color="000000" w:fill="FFFFFF"/>
            <w:vAlign w:val="bottom"/>
            <w:hideMark/>
          </w:tcPr>
          <w:p w14:paraId="361FC3A2"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20" w:type="dxa"/>
            <w:tcBorders>
              <w:top w:val="nil"/>
              <w:left w:val="nil"/>
              <w:bottom w:val="nil"/>
              <w:right w:val="nil"/>
            </w:tcBorders>
            <w:shd w:val="clear" w:color="000000" w:fill="FFFFFF"/>
            <w:vAlign w:val="bottom"/>
            <w:hideMark/>
          </w:tcPr>
          <w:p w14:paraId="7BA0F61D"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40" w:type="dxa"/>
            <w:tcBorders>
              <w:top w:val="nil"/>
              <w:left w:val="nil"/>
              <w:bottom w:val="nil"/>
              <w:right w:val="nil"/>
            </w:tcBorders>
            <w:shd w:val="clear" w:color="000000" w:fill="FFFFFF"/>
            <w:vAlign w:val="bottom"/>
            <w:hideMark/>
          </w:tcPr>
          <w:p w14:paraId="690EB5B0"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r>
      <w:tr w:rsidR="003670E8" w:rsidRPr="00F35F8C" w14:paraId="4BE7C475" w14:textId="77777777" w:rsidTr="00EA194A">
        <w:trPr>
          <w:trHeight w:val="288"/>
        </w:trPr>
        <w:tc>
          <w:tcPr>
            <w:tcW w:w="2240" w:type="dxa"/>
            <w:tcBorders>
              <w:top w:val="nil"/>
              <w:left w:val="nil"/>
              <w:bottom w:val="nil"/>
              <w:right w:val="nil"/>
            </w:tcBorders>
            <w:shd w:val="clear" w:color="000000" w:fill="FFFFFF"/>
            <w:noWrap/>
            <w:vAlign w:val="center"/>
            <w:hideMark/>
          </w:tcPr>
          <w:p w14:paraId="2F77A5AC"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2240" w:type="dxa"/>
            <w:tcBorders>
              <w:top w:val="nil"/>
              <w:left w:val="nil"/>
              <w:bottom w:val="nil"/>
              <w:right w:val="nil"/>
            </w:tcBorders>
            <w:shd w:val="clear" w:color="000000" w:fill="FFFFFF"/>
            <w:vAlign w:val="bottom"/>
            <w:hideMark/>
          </w:tcPr>
          <w:p w14:paraId="1C1B7C5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240" w:type="dxa"/>
            <w:tcBorders>
              <w:top w:val="nil"/>
              <w:left w:val="nil"/>
              <w:bottom w:val="nil"/>
              <w:right w:val="nil"/>
            </w:tcBorders>
            <w:shd w:val="clear" w:color="000000" w:fill="FFFFFF"/>
            <w:vAlign w:val="bottom"/>
            <w:hideMark/>
          </w:tcPr>
          <w:p w14:paraId="657E130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30AD1CA8"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580" w:type="dxa"/>
            <w:tcBorders>
              <w:top w:val="nil"/>
              <w:left w:val="nil"/>
              <w:bottom w:val="nil"/>
              <w:right w:val="nil"/>
            </w:tcBorders>
            <w:shd w:val="clear" w:color="000000" w:fill="FFFFFF"/>
            <w:vAlign w:val="bottom"/>
            <w:hideMark/>
          </w:tcPr>
          <w:p w14:paraId="7C313171"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620" w:type="dxa"/>
            <w:tcBorders>
              <w:top w:val="nil"/>
              <w:left w:val="nil"/>
              <w:bottom w:val="nil"/>
              <w:right w:val="nil"/>
            </w:tcBorders>
            <w:shd w:val="clear" w:color="000000" w:fill="FFFFFF"/>
            <w:vAlign w:val="bottom"/>
            <w:hideMark/>
          </w:tcPr>
          <w:p w14:paraId="0642C925"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200" w:type="dxa"/>
            <w:tcBorders>
              <w:top w:val="nil"/>
              <w:left w:val="nil"/>
              <w:bottom w:val="nil"/>
              <w:right w:val="nil"/>
            </w:tcBorders>
            <w:shd w:val="clear" w:color="000000" w:fill="FFFFFF"/>
            <w:vAlign w:val="bottom"/>
            <w:hideMark/>
          </w:tcPr>
          <w:p w14:paraId="4B2B451E"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180" w:type="dxa"/>
            <w:tcBorders>
              <w:top w:val="nil"/>
              <w:left w:val="nil"/>
              <w:bottom w:val="nil"/>
              <w:right w:val="nil"/>
            </w:tcBorders>
            <w:shd w:val="clear" w:color="000000" w:fill="FFFFFF"/>
            <w:vAlign w:val="bottom"/>
            <w:hideMark/>
          </w:tcPr>
          <w:p w14:paraId="56075DF9"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20" w:type="dxa"/>
            <w:tcBorders>
              <w:top w:val="nil"/>
              <w:left w:val="nil"/>
              <w:bottom w:val="nil"/>
              <w:right w:val="nil"/>
            </w:tcBorders>
            <w:shd w:val="clear" w:color="000000" w:fill="FFFFFF"/>
            <w:vAlign w:val="bottom"/>
            <w:hideMark/>
          </w:tcPr>
          <w:p w14:paraId="73ACFDA2"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c>
          <w:tcPr>
            <w:tcW w:w="1340" w:type="dxa"/>
            <w:tcBorders>
              <w:top w:val="nil"/>
              <w:left w:val="nil"/>
              <w:bottom w:val="nil"/>
              <w:right w:val="nil"/>
            </w:tcBorders>
            <w:shd w:val="clear" w:color="000000" w:fill="FFFFFF"/>
            <w:vAlign w:val="bottom"/>
            <w:hideMark/>
          </w:tcPr>
          <w:p w14:paraId="4E8B2A6F" w14:textId="77777777" w:rsidR="003670E8" w:rsidRPr="00F35F8C" w:rsidRDefault="003670E8" w:rsidP="00EA194A">
            <w:pPr>
              <w:suppressAutoHyphens w:val="0"/>
              <w:spacing w:line="240" w:lineRule="auto"/>
              <w:jc w:val="center"/>
              <w:rPr>
                <w:rFonts w:eastAsia="Times New Roman"/>
                <w:i/>
                <w:iCs/>
                <w:sz w:val="16"/>
                <w:szCs w:val="16"/>
                <w:lang w:val="en-US"/>
              </w:rPr>
            </w:pPr>
            <w:r w:rsidRPr="00F35F8C">
              <w:rPr>
                <w:rFonts w:eastAsia="Times New Roman"/>
                <w:i/>
                <w:iCs/>
                <w:sz w:val="16"/>
                <w:szCs w:val="16"/>
                <w:lang w:val="en-US"/>
              </w:rPr>
              <w:t> </w:t>
            </w:r>
          </w:p>
        </w:tc>
      </w:tr>
      <w:tr w:rsidR="003670E8" w:rsidRPr="00F35F8C" w14:paraId="23BC5371" w14:textId="77777777" w:rsidTr="00EA194A">
        <w:trPr>
          <w:trHeight w:val="300"/>
        </w:trPr>
        <w:tc>
          <w:tcPr>
            <w:tcW w:w="2240" w:type="dxa"/>
            <w:tcBorders>
              <w:top w:val="nil"/>
              <w:left w:val="nil"/>
              <w:bottom w:val="nil"/>
              <w:right w:val="nil"/>
            </w:tcBorders>
            <w:shd w:val="clear" w:color="000000" w:fill="FFFFFF"/>
            <w:noWrap/>
            <w:vAlign w:val="center"/>
            <w:hideMark/>
          </w:tcPr>
          <w:p w14:paraId="15689812"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2240" w:type="dxa"/>
            <w:tcBorders>
              <w:top w:val="nil"/>
              <w:left w:val="nil"/>
              <w:bottom w:val="nil"/>
              <w:right w:val="nil"/>
            </w:tcBorders>
            <w:shd w:val="clear" w:color="000000" w:fill="FFFFFF"/>
            <w:noWrap/>
            <w:vAlign w:val="center"/>
            <w:hideMark/>
          </w:tcPr>
          <w:p w14:paraId="689E9CAA"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2240" w:type="dxa"/>
            <w:tcBorders>
              <w:top w:val="nil"/>
              <w:left w:val="nil"/>
              <w:bottom w:val="nil"/>
              <w:right w:val="nil"/>
            </w:tcBorders>
            <w:shd w:val="clear" w:color="000000" w:fill="FFFFFF"/>
            <w:noWrap/>
            <w:vAlign w:val="center"/>
            <w:hideMark/>
          </w:tcPr>
          <w:p w14:paraId="27ED1374"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200" w:type="dxa"/>
            <w:tcBorders>
              <w:top w:val="nil"/>
              <w:left w:val="nil"/>
              <w:bottom w:val="nil"/>
              <w:right w:val="nil"/>
            </w:tcBorders>
            <w:shd w:val="clear" w:color="000000" w:fill="FFFFFF"/>
            <w:noWrap/>
            <w:vAlign w:val="center"/>
            <w:hideMark/>
          </w:tcPr>
          <w:p w14:paraId="4D101FFB"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1580" w:type="dxa"/>
            <w:tcBorders>
              <w:top w:val="nil"/>
              <w:left w:val="nil"/>
              <w:bottom w:val="nil"/>
              <w:right w:val="nil"/>
            </w:tcBorders>
            <w:shd w:val="clear" w:color="000000" w:fill="FFFFFF"/>
            <w:noWrap/>
            <w:vAlign w:val="center"/>
            <w:hideMark/>
          </w:tcPr>
          <w:p w14:paraId="7EA7CE06"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620" w:type="dxa"/>
            <w:tcBorders>
              <w:top w:val="nil"/>
              <w:left w:val="nil"/>
              <w:bottom w:val="nil"/>
              <w:right w:val="nil"/>
            </w:tcBorders>
            <w:shd w:val="clear" w:color="000000" w:fill="FFFFFF"/>
            <w:noWrap/>
            <w:vAlign w:val="bottom"/>
            <w:hideMark/>
          </w:tcPr>
          <w:p w14:paraId="0697C753"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200" w:type="dxa"/>
            <w:tcBorders>
              <w:top w:val="nil"/>
              <w:left w:val="nil"/>
              <w:bottom w:val="nil"/>
              <w:right w:val="nil"/>
            </w:tcBorders>
            <w:shd w:val="clear" w:color="000000" w:fill="FFFFFF"/>
            <w:noWrap/>
            <w:vAlign w:val="center"/>
            <w:hideMark/>
          </w:tcPr>
          <w:p w14:paraId="07C67A78" w14:textId="77777777" w:rsidR="003670E8" w:rsidRPr="00F35F8C" w:rsidRDefault="003670E8" w:rsidP="00EA194A">
            <w:pPr>
              <w:suppressAutoHyphens w:val="0"/>
              <w:spacing w:line="240" w:lineRule="auto"/>
              <w:rPr>
                <w:rFonts w:eastAsia="Times New Roman"/>
                <w:lang w:val="en-US"/>
              </w:rPr>
            </w:pPr>
            <w:r w:rsidRPr="00F35F8C">
              <w:rPr>
                <w:rFonts w:eastAsia="Times New Roman"/>
                <w:lang w:val="en-US"/>
              </w:rPr>
              <w:t> </w:t>
            </w:r>
          </w:p>
        </w:tc>
        <w:tc>
          <w:tcPr>
            <w:tcW w:w="1180" w:type="dxa"/>
            <w:tcBorders>
              <w:top w:val="nil"/>
              <w:left w:val="nil"/>
              <w:bottom w:val="nil"/>
              <w:right w:val="nil"/>
            </w:tcBorders>
            <w:shd w:val="clear" w:color="000000" w:fill="FFFFFF"/>
            <w:noWrap/>
            <w:vAlign w:val="bottom"/>
            <w:hideMark/>
          </w:tcPr>
          <w:p w14:paraId="645513BA"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1320" w:type="dxa"/>
            <w:tcBorders>
              <w:top w:val="nil"/>
              <w:left w:val="nil"/>
              <w:bottom w:val="nil"/>
              <w:right w:val="nil"/>
            </w:tcBorders>
            <w:shd w:val="clear" w:color="000000" w:fill="FFFFFF"/>
            <w:noWrap/>
            <w:vAlign w:val="bottom"/>
            <w:hideMark/>
          </w:tcPr>
          <w:p w14:paraId="2EE2A103"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c>
          <w:tcPr>
            <w:tcW w:w="1340" w:type="dxa"/>
            <w:tcBorders>
              <w:top w:val="nil"/>
              <w:left w:val="nil"/>
              <w:bottom w:val="nil"/>
              <w:right w:val="nil"/>
            </w:tcBorders>
            <w:shd w:val="clear" w:color="000000" w:fill="FFFFFF"/>
            <w:noWrap/>
            <w:vAlign w:val="bottom"/>
            <w:hideMark/>
          </w:tcPr>
          <w:p w14:paraId="4747ACC8" w14:textId="77777777" w:rsidR="003670E8" w:rsidRPr="00F35F8C" w:rsidRDefault="003670E8" w:rsidP="00EA194A">
            <w:pPr>
              <w:suppressAutoHyphens w:val="0"/>
              <w:spacing w:line="240" w:lineRule="auto"/>
              <w:rPr>
                <w:rFonts w:ascii="Calibri" w:eastAsia="Times New Roman" w:hAnsi="Calibri" w:cs="Calibri"/>
                <w:sz w:val="22"/>
                <w:szCs w:val="22"/>
                <w:lang w:val="en-US"/>
              </w:rPr>
            </w:pPr>
            <w:r w:rsidRPr="00F35F8C">
              <w:rPr>
                <w:rFonts w:ascii="Calibri" w:eastAsia="Times New Roman" w:hAnsi="Calibri" w:cs="Calibri"/>
                <w:sz w:val="22"/>
                <w:szCs w:val="22"/>
                <w:lang w:val="en-US"/>
              </w:rPr>
              <w:t> </w:t>
            </w:r>
          </w:p>
        </w:tc>
      </w:tr>
      <w:tr w:rsidR="003670E8" w:rsidRPr="00F35F8C" w14:paraId="60311528" w14:textId="77777777" w:rsidTr="00EA194A">
        <w:trPr>
          <w:trHeight w:val="300"/>
        </w:trPr>
        <w:tc>
          <w:tcPr>
            <w:tcW w:w="2240" w:type="dxa"/>
            <w:tcBorders>
              <w:top w:val="single" w:sz="4" w:space="0" w:color="auto"/>
              <w:left w:val="nil"/>
              <w:bottom w:val="single" w:sz="12" w:space="0" w:color="auto"/>
              <w:right w:val="nil"/>
            </w:tcBorders>
            <w:shd w:val="clear" w:color="000000" w:fill="FFFFFF"/>
            <w:noWrap/>
            <w:vAlign w:val="center"/>
            <w:hideMark/>
          </w:tcPr>
          <w:p w14:paraId="0AD9E747"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Totals</w:t>
            </w:r>
          </w:p>
        </w:tc>
        <w:tc>
          <w:tcPr>
            <w:tcW w:w="2240" w:type="dxa"/>
            <w:tcBorders>
              <w:top w:val="single" w:sz="4" w:space="0" w:color="auto"/>
              <w:left w:val="nil"/>
              <w:bottom w:val="single" w:sz="12" w:space="0" w:color="auto"/>
              <w:right w:val="nil"/>
            </w:tcBorders>
            <w:shd w:val="clear" w:color="000000" w:fill="FFFFFF"/>
            <w:noWrap/>
            <w:vAlign w:val="center"/>
            <w:hideMark/>
          </w:tcPr>
          <w:p w14:paraId="648A3E5F"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2240" w:type="dxa"/>
            <w:tcBorders>
              <w:top w:val="single" w:sz="4" w:space="0" w:color="auto"/>
              <w:left w:val="nil"/>
              <w:bottom w:val="single" w:sz="12" w:space="0" w:color="auto"/>
              <w:right w:val="nil"/>
            </w:tcBorders>
            <w:shd w:val="clear" w:color="000000" w:fill="FFFFFF"/>
            <w:noWrap/>
            <w:vAlign w:val="center"/>
            <w:hideMark/>
          </w:tcPr>
          <w:p w14:paraId="2687A977" w14:textId="77777777" w:rsidR="003670E8" w:rsidRPr="00F35F8C" w:rsidRDefault="003670E8" w:rsidP="00EA194A">
            <w:pPr>
              <w:suppressAutoHyphens w:val="0"/>
              <w:spacing w:line="240" w:lineRule="auto"/>
              <w:rPr>
                <w:rFonts w:eastAsia="Times New Roman"/>
                <w:b/>
                <w:bCs/>
                <w:lang w:val="en-US"/>
              </w:rPr>
            </w:pPr>
            <w:r w:rsidRPr="00F35F8C">
              <w:rPr>
                <w:rFonts w:eastAsia="Times New Roman"/>
                <w:b/>
                <w:bCs/>
                <w:lang w:val="en-US"/>
              </w:rPr>
              <w:t> </w:t>
            </w:r>
          </w:p>
        </w:tc>
        <w:tc>
          <w:tcPr>
            <w:tcW w:w="200" w:type="dxa"/>
            <w:tcBorders>
              <w:top w:val="single" w:sz="4" w:space="0" w:color="auto"/>
              <w:left w:val="nil"/>
              <w:bottom w:val="single" w:sz="12" w:space="0" w:color="auto"/>
              <w:right w:val="nil"/>
            </w:tcBorders>
            <w:shd w:val="clear" w:color="000000" w:fill="FFFFFF"/>
            <w:noWrap/>
            <w:vAlign w:val="center"/>
            <w:hideMark/>
          </w:tcPr>
          <w:p w14:paraId="3D7D03BC"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580" w:type="dxa"/>
            <w:tcBorders>
              <w:top w:val="single" w:sz="4" w:space="0" w:color="auto"/>
              <w:left w:val="nil"/>
              <w:bottom w:val="single" w:sz="12" w:space="0" w:color="auto"/>
              <w:right w:val="nil"/>
            </w:tcBorders>
            <w:shd w:val="clear" w:color="000000" w:fill="FFFFFF"/>
            <w:noWrap/>
            <w:vAlign w:val="center"/>
            <w:hideMark/>
          </w:tcPr>
          <w:p w14:paraId="00052468"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620" w:type="dxa"/>
            <w:tcBorders>
              <w:top w:val="single" w:sz="4" w:space="0" w:color="auto"/>
              <w:left w:val="nil"/>
              <w:bottom w:val="single" w:sz="12" w:space="0" w:color="auto"/>
              <w:right w:val="nil"/>
            </w:tcBorders>
            <w:shd w:val="clear" w:color="000000" w:fill="FFFFFF"/>
            <w:noWrap/>
            <w:vAlign w:val="center"/>
            <w:hideMark/>
          </w:tcPr>
          <w:p w14:paraId="60526CD7"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200" w:type="dxa"/>
            <w:tcBorders>
              <w:top w:val="single" w:sz="4" w:space="0" w:color="auto"/>
              <w:left w:val="nil"/>
              <w:bottom w:val="single" w:sz="12" w:space="0" w:color="auto"/>
              <w:right w:val="nil"/>
            </w:tcBorders>
            <w:shd w:val="clear" w:color="000000" w:fill="FFFFFF"/>
            <w:noWrap/>
            <w:vAlign w:val="center"/>
            <w:hideMark/>
          </w:tcPr>
          <w:p w14:paraId="552663C0"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180" w:type="dxa"/>
            <w:tcBorders>
              <w:top w:val="single" w:sz="4" w:space="0" w:color="auto"/>
              <w:left w:val="nil"/>
              <w:bottom w:val="single" w:sz="12" w:space="0" w:color="auto"/>
              <w:right w:val="nil"/>
            </w:tcBorders>
            <w:shd w:val="clear" w:color="000000" w:fill="FFFFFF"/>
            <w:noWrap/>
            <w:vAlign w:val="center"/>
            <w:hideMark/>
          </w:tcPr>
          <w:p w14:paraId="3CCD96D0"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320" w:type="dxa"/>
            <w:tcBorders>
              <w:top w:val="single" w:sz="4" w:space="0" w:color="auto"/>
              <w:left w:val="nil"/>
              <w:bottom w:val="single" w:sz="12" w:space="0" w:color="auto"/>
              <w:right w:val="nil"/>
            </w:tcBorders>
            <w:shd w:val="clear" w:color="000000" w:fill="FFFFFF"/>
            <w:noWrap/>
            <w:vAlign w:val="center"/>
            <w:hideMark/>
          </w:tcPr>
          <w:p w14:paraId="361F9024"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c>
          <w:tcPr>
            <w:tcW w:w="1340" w:type="dxa"/>
            <w:tcBorders>
              <w:top w:val="single" w:sz="4" w:space="0" w:color="auto"/>
              <w:left w:val="nil"/>
              <w:bottom w:val="single" w:sz="12" w:space="0" w:color="auto"/>
              <w:right w:val="nil"/>
            </w:tcBorders>
            <w:shd w:val="clear" w:color="000000" w:fill="FFFFFF"/>
            <w:noWrap/>
            <w:vAlign w:val="center"/>
            <w:hideMark/>
          </w:tcPr>
          <w:p w14:paraId="73E9821A" w14:textId="77777777" w:rsidR="003670E8" w:rsidRPr="00F35F8C" w:rsidRDefault="003670E8" w:rsidP="00EA194A">
            <w:pPr>
              <w:suppressAutoHyphens w:val="0"/>
              <w:spacing w:line="240" w:lineRule="auto"/>
              <w:jc w:val="right"/>
              <w:rPr>
                <w:rFonts w:eastAsia="Times New Roman"/>
                <w:lang w:val="en-US"/>
              </w:rPr>
            </w:pPr>
            <w:r w:rsidRPr="00F35F8C">
              <w:rPr>
                <w:rFonts w:eastAsia="Times New Roman"/>
                <w:lang w:val="en-US"/>
              </w:rPr>
              <w:t> </w:t>
            </w:r>
          </w:p>
        </w:tc>
      </w:tr>
    </w:tbl>
    <w:p w14:paraId="56058728" w14:textId="77777777" w:rsidR="003670E8" w:rsidRDefault="003670E8" w:rsidP="003670E8"/>
    <w:p w14:paraId="2D1EEB64" w14:textId="77777777" w:rsidR="003670E8" w:rsidRDefault="003670E8" w:rsidP="003670E8">
      <w:pPr>
        <w:suppressAutoHyphens w:val="0"/>
        <w:spacing w:line="240" w:lineRule="auto"/>
      </w:pPr>
      <w:r>
        <w:br w:type="page"/>
      </w:r>
    </w:p>
    <w:p w14:paraId="16391759" w14:textId="77777777" w:rsidR="003670E8" w:rsidRPr="008C6B97" w:rsidRDefault="003670E8" w:rsidP="003670E8">
      <w:pPr>
        <w:pStyle w:val="EndnoteText"/>
        <w:tabs>
          <w:tab w:val="clear" w:pos="1021"/>
        </w:tabs>
        <w:spacing w:line="200" w:lineRule="exact"/>
        <w:ind w:left="283" w:firstLine="142"/>
        <w:rPr>
          <w:lang w:val="en-US"/>
        </w:rPr>
      </w:pPr>
      <w:r w:rsidRPr="009667A9">
        <w:rPr>
          <w:sz w:val="20"/>
        </w:rPr>
        <w:lastRenderedPageBreak/>
        <w:t>Table 6</w:t>
      </w:r>
      <w:r>
        <w:rPr>
          <w:sz w:val="20"/>
        </w:rPr>
        <w:t xml:space="preserve"> </w:t>
      </w:r>
      <w:r w:rsidRPr="00677E16">
        <w:t>(continued)</w:t>
      </w:r>
      <w:r w:rsidRPr="009667A9">
        <w:rPr>
          <w:b/>
          <w:sz w:val="20"/>
        </w:rPr>
        <w:br/>
        <w:t xml:space="preserve">Option </w:t>
      </w:r>
      <w:r>
        <w:rPr>
          <w:b/>
          <w:sz w:val="20"/>
        </w:rPr>
        <w:t>2</w:t>
      </w:r>
      <w:r w:rsidRPr="009667A9">
        <w:rPr>
          <w:b/>
          <w:sz w:val="20"/>
        </w:rPr>
        <w:t xml:space="preserve">: </w:t>
      </w:r>
      <w:r w:rsidRPr="00BF77E6">
        <w:rPr>
          <w:b/>
          <w:sz w:val="20"/>
        </w:rPr>
        <w:t>Summary information</w:t>
      </w:r>
    </w:p>
    <w:tbl>
      <w:tblPr>
        <w:tblW w:w="4862" w:type="pct"/>
        <w:tblLook w:val="04A0" w:firstRow="1" w:lastRow="0" w:firstColumn="1" w:lastColumn="0" w:noHBand="0" w:noVBand="1"/>
      </w:tblPr>
      <w:tblGrid>
        <w:gridCol w:w="830"/>
        <w:gridCol w:w="928"/>
        <w:gridCol w:w="267"/>
        <w:gridCol w:w="1070"/>
        <w:gridCol w:w="1053"/>
        <w:gridCol w:w="267"/>
        <w:gridCol w:w="1106"/>
        <w:gridCol w:w="1570"/>
        <w:gridCol w:w="1984"/>
        <w:gridCol w:w="1964"/>
        <w:gridCol w:w="1439"/>
        <w:gridCol w:w="1414"/>
      </w:tblGrid>
      <w:tr w:rsidR="003670E8" w:rsidRPr="00893A37" w14:paraId="5BB06BF8" w14:textId="77777777" w:rsidTr="00EA194A">
        <w:trPr>
          <w:trHeight w:val="300"/>
        </w:trPr>
        <w:tc>
          <w:tcPr>
            <w:tcW w:w="633" w:type="pct"/>
            <w:gridSpan w:val="2"/>
            <w:tcBorders>
              <w:top w:val="single" w:sz="8" w:space="0" w:color="auto"/>
              <w:left w:val="nil"/>
              <w:bottom w:val="single" w:sz="8" w:space="0" w:color="auto"/>
              <w:right w:val="nil"/>
            </w:tcBorders>
            <w:shd w:val="clear" w:color="000000" w:fill="FFFFFF"/>
            <w:vAlign w:val="bottom"/>
            <w:hideMark/>
          </w:tcPr>
          <w:p w14:paraId="274177C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Transfers</w:t>
            </w:r>
          </w:p>
        </w:tc>
        <w:tc>
          <w:tcPr>
            <w:tcW w:w="96" w:type="pct"/>
            <w:tcBorders>
              <w:top w:val="single" w:sz="8" w:space="0" w:color="auto"/>
              <w:left w:val="nil"/>
              <w:bottom w:val="nil"/>
              <w:right w:val="nil"/>
            </w:tcBorders>
            <w:shd w:val="clear" w:color="000000" w:fill="FFFFFF"/>
            <w:vAlign w:val="bottom"/>
            <w:hideMark/>
          </w:tcPr>
          <w:p w14:paraId="159C6A28" w14:textId="77777777" w:rsidR="003670E8" w:rsidRPr="00893A37" w:rsidRDefault="003670E8" w:rsidP="00EA194A">
            <w:pPr>
              <w:suppressAutoHyphens w:val="0"/>
              <w:spacing w:line="240" w:lineRule="auto"/>
              <w:rPr>
                <w:rFonts w:eastAsia="Times New Roman"/>
                <w:i/>
                <w:iCs/>
                <w:sz w:val="16"/>
                <w:szCs w:val="16"/>
                <w:lang w:val="en-US"/>
              </w:rPr>
            </w:pPr>
            <w:r w:rsidRPr="00893A37">
              <w:rPr>
                <w:rFonts w:eastAsia="Times New Roman"/>
                <w:i/>
                <w:iCs/>
                <w:sz w:val="16"/>
                <w:szCs w:val="16"/>
                <w:lang w:val="en-US"/>
              </w:rPr>
              <w:t> </w:t>
            </w:r>
          </w:p>
        </w:tc>
        <w:tc>
          <w:tcPr>
            <w:tcW w:w="764" w:type="pct"/>
            <w:gridSpan w:val="2"/>
            <w:tcBorders>
              <w:top w:val="single" w:sz="8" w:space="0" w:color="auto"/>
              <w:left w:val="nil"/>
              <w:bottom w:val="single" w:sz="8" w:space="0" w:color="auto"/>
              <w:right w:val="nil"/>
            </w:tcBorders>
            <w:shd w:val="clear" w:color="000000" w:fill="FFFFFF"/>
            <w:vAlign w:val="bottom"/>
            <w:hideMark/>
          </w:tcPr>
          <w:p w14:paraId="2CA12CB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Uses</w:t>
            </w:r>
          </w:p>
        </w:tc>
        <w:tc>
          <w:tcPr>
            <w:tcW w:w="96" w:type="pct"/>
            <w:tcBorders>
              <w:top w:val="single" w:sz="8" w:space="0" w:color="auto"/>
              <w:left w:val="nil"/>
              <w:bottom w:val="nil"/>
              <w:right w:val="nil"/>
            </w:tcBorders>
            <w:shd w:val="clear" w:color="000000" w:fill="FFFFFF"/>
            <w:vAlign w:val="bottom"/>
            <w:hideMark/>
          </w:tcPr>
          <w:p w14:paraId="3E3E2EF2" w14:textId="77777777" w:rsidR="003670E8" w:rsidRPr="00893A37" w:rsidRDefault="003670E8" w:rsidP="00EA194A">
            <w:pPr>
              <w:suppressAutoHyphens w:val="0"/>
              <w:spacing w:line="240" w:lineRule="auto"/>
              <w:rPr>
                <w:rFonts w:eastAsia="Times New Roman"/>
                <w:i/>
                <w:iCs/>
                <w:sz w:val="16"/>
                <w:szCs w:val="16"/>
                <w:lang w:val="en-US"/>
              </w:rPr>
            </w:pPr>
            <w:r w:rsidRPr="00893A37">
              <w:rPr>
                <w:rFonts w:eastAsia="Times New Roman"/>
                <w:i/>
                <w:iCs/>
                <w:sz w:val="16"/>
                <w:szCs w:val="16"/>
                <w:lang w:val="en-US"/>
              </w:rPr>
              <w:t> </w:t>
            </w:r>
          </w:p>
        </w:tc>
        <w:tc>
          <w:tcPr>
            <w:tcW w:w="3411" w:type="pct"/>
            <w:gridSpan w:val="6"/>
            <w:tcBorders>
              <w:top w:val="single" w:sz="8" w:space="0" w:color="auto"/>
              <w:left w:val="nil"/>
              <w:bottom w:val="single" w:sz="8" w:space="0" w:color="auto"/>
              <w:right w:val="nil"/>
            </w:tcBorders>
            <w:shd w:val="clear" w:color="000000" w:fill="FFFFFF"/>
            <w:vAlign w:val="bottom"/>
            <w:hideMark/>
          </w:tcPr>
          <w:p w14:paraId="729BBD0C"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Cancellations</w:t>
            </w:r>
          </w:p>
        </w:tc>
      </w:tr>
      <w:tr w:rsidR="003670E8" w:rsidRPr="00893A37" w14:paraId="49EF9174" w14:textId="77777777" w:rsidTr="00EA194A">
        <w:trPr>
          <w:trHeight w:val="852"/>
        </w:trPr>
        <w:tc>
          <w:tcPr>
            <w:tcW w:w="299" w:type="pct"/>
            <w:tcBorders>
              <w:top w:val="nil"/>
              <w:left w:val="nil"/>
              <w:bottom w:val="single" w:sz="8" w:space="0" w:color="auto"/>
              <w:right w:val="nil"/>
            </w:tcBorders>
            <w:shd w:val="clear" w:color="000000" w:fill="FFFFFF"/>
            <w:vAlign w:val="bottom"/>
            <w:hideMark/>
          </w:tcPr>
          <w:p w14:paraId="1A2AF79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Transfers to another Party</w:t>
            </w:r>
          </w:p>
        </w:tc>
        <w:tc>
          <w:tcPr>
            <w:tcW w:w="334" w:type="pct"/>
            <w:tcBorders>
              <w:top w:val="nil"/>
              <w:left w:val="nil"/>
              <w:bottom w:val="single" w:sz="8" w:space="0" w:color="auto"/>
              <w:right w:val="nil"/>
            </w:tcBorders>
            <w:shd w:val="clear" w:color="000000" w:fill="FFFFFF"/>
            <w:vAlign w:val="bottom"/>
            <w:hideMark/>
          </w:tcPr>
          <w:p w14:paraId="7D6A18CC"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Voluntary transfers to the Adaptation Fund</w:t>
            </w:r>
          </w:p>
        </w:tc>
        <w:tc>
          <w:tcPr>
            <w:tcW w:w="96" w:type="pct"/>
            <w:tcBorders>
              <w:top w:val="nil"/>
              <w:left w:val="nil"/>
              <w:bottom w:val="single" w:sz="8" w:space="0" w:color="auto"/>
              <w:right w:val="nil"/>
            </w:tcBorders>
            <w:shd w:val="clear" w:color="000000" w:fill="FFFFFF"/>
            <w:vAlign w:val="bottom"/>
            <w:hideMark/>
          </w:tcPr>
          <w:p w14:paraId="6A46575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single" w:sz="8" w:space="0" w:color="auto"/>
              <w:right w:val="nil"/>
            </w:tcBorders>
            <w:shd w:val="clear" w:color="000000" w:fill="FFFFFF"/>
            <w:vAlign w:val="bottom"/>
            <w:hideMark/>
          </w:tcPr>
          <w:p w14:paraId="2791DA4F"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Uses towards achievement of nationally determined contributions</w:t>
            </w:r>
          </w:p>
        </w:tc>
        <w:tc>
          <w:tcPr>
            <w:tcW w:w="379" w:type="pct"/>
            <w:tcBorders>
              <w:top w:val="nil"/>
              <w:left w:val="nil"/>
              <w:bottom w:val="single" w:sz="8" w:space="0" w:color="auto"/>
              <w:right w:val="nil"/>
            </w:tcBorders>
            <w:shd w:val="clear" w:color="000000" w:fill="FFFFFF"/>
            <w:vAlign w:val="bottom"/>
            <w:hideMark/>
          </w:tcPr>
          <w:p w14:paraId="2170CE8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Uses towards international mitigation purposes</w:t>
            </w:r>
          </w:p>
        </w:tc>
        <w:tc>
          <w:tcPr>
            <w:tcW w:w="96" w:type="pct"/>
            <w:tcBorders>
              <w:top w:val="nil"/>
              <w:left w:val="nil"/>
              <w:bottom w:val="single" w:sz="8" w:space="0" w:color="auto"/>
              <w:right w:val="nil"/>
            </w:tcBorders>
            <w:shd w:val="clear" w:color="000000" w:fill="FFFFFF"/>
            <w:vAlign w:val="bottom"/>
            <w:hideMark/>
          </w:tcPr>
          <w:p w14:paraId="7FB01C5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single" w:sz="8" w:space="0" w:color="auto"/>
              <w:right w:val="nil"/>
            </w:tcBorders>
            <w:shd w:val="clear" w:color="000000" w:fill="FFFFFF"/>
            <w:vAlign w:val="bottom"/>
            <w:hideMark/>
          </w:tcPr>
          <w:p w14:paraId="223BDC6C"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Cancellations towards other purposes</w:t>
            </w:r>
          </w:p>
        </w:tc>
        <w:tc>
          <w:tcPr>
            <w:tcW w:w="565" w:type="pct"/>
            <w:tcBorders>
              <w:top w:val="nil"/>
              <w:left w:val="nil"/>
              <w:bottom w:val="single" w:sz="8" w:space="0" w:color="auto"/>
              <w:right w:val="nil"/>
            </w:tcBorders>
            <w:shd w:val="clear" w:color="000000" w:fill="FFFFFF"/>
            <w:vAlign w:val="bottom"/>
            <w:hideMark/>
          </w:tcPr>
          <w:p w14:paraId="6D83D24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Cancellations to compensate for removals</w:t>
            </w:r>
          </w:p>
        </w:tc>
        <w:tc>
          <w:tcPr>
            <w:tcW w:w="714" w:type="pct"/>
            <w:tcBorders>
              <w:top w:val="nil"/>
              <w:left w:val="nil"/>
              <w:bottom w:val="single" w:sz="8" w:space="0" w:color="auto"/>
              <w:right w:val="nil"/>
            </w:tcBorders>
            <w:shd w:val="clear" w:color="000000" w:fill="FFFFFF"/>
            <w:vAlign w:val="bottom"/>
            <w:hideMark/>
          </w:tcPr>
          <w:p w14:paraId="7527E79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Cancellations to compensate for revocations or changes to authorization</w:t>
            </w:r>
          </w:p>
        </w:tc>
        <w:tc>
          <w:tcPr>
            <w:tcW w:w="707" w:type="pct"/>
            <w:tcBorders>
              <w:top w:val="nil"/>
              <w:left w:val="nil"/>
              <w:bottom w:val="single" w:sz="8" w:space="0" w:color="auto"/>
              <w:right w:val="nil"/>
            </w:tcBorders>
            <w:shd w:val="clear" w:color="000000" w:fill="FFFFFF"/>
            <w:vAlign w:val="bottom"/>
            <w:hideMark/>
          </w:tcPr>
          <w:p w14:paraId="16EC12AD"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Voluntary cancellations to deliver overall mitigation global emissions</w:t>
            </w:r>
          </w:p>
        </w:tc>
        <w:tc>
          <w:tcPr>
            <w:tcW w:w="518" w:type="pct"/>
            <w:tcBorders>
              <w:top w:val="nil"/>
              <w:left w:val="nil"/>
              <w:bottom w:val="single" w:sz="8" w:space="0" w:color="auto"/>
              <w:right w:val="nil"/>
            </w:tcBorders>
            <w:shd w:val="clear" w:color="000000" w:fill="FFFFFF"/>
            <w:vAlign w:val="bottom"/>
            <w:hideMark/>
          </w:tcPr>
          <w:p w14:paraId="79953EB3"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Administrative cancellations</w:t>
            </w:r>
          </w:p>
        </w:tc>
        <w:tc>
          <w:tcPr>
            <w:tcW w:w="510" w:type="pct"/>
            <w:tcBorders>
              <w:top w:val="nil"/>
              <w:left w:val="nil"/>
              <w:bottom w:val="single" w:sz="8" w:space="0" w:color="auto"/>
              <w:right w:val="nil"/>
            </w:tcBorders>
            <w:shd w:val="clear" w:color="000000" w:fill="FFFFFF"/>
            <w:vAlign w:val="bottom"/>
            <w:hideMark/>
          </w:tcPr>
          <w:p w14:paraId="6D9360A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Others cancellation purposes</w:t>
            </w:r>
          </w:p>
        </w:tc>
      </w:tr>
      <w:tr w:rsidR="003670E8" w:rsidRPr="00893A37" w14:paraId="22CA810A" w14:textId="77777777" w:rsidTr="00EA194A">
        <w:trPr>
          <w:trHeight w:val="288"/>
        </w:trPr>
        <w:tc>
          <w:tcPr>
            <w:tcW w:w="299" w:type="pct"/>
            <w:tcBorders>
              <w:top w:val="nil"/>
              <w:left w:val="nil"/>
              <w:bottom w:val="nil"/>
              <w:right w:val="nil"/>
            </w:tcBorders>
            <w:shd w:val="clear" w:color="000000" w:fill="FFFFFF"/>
            <w:vAlign w:val="bottom"/>
            <w:hideMark/>
          </w:tcPr>
          <w:p w14:paraId="06ABDE32"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34" w:type="pct"/>
            <w:tcBorders>
              <w:top w:val="nil"/>
              <w:left w:val="nil"/>
              <w:bottom w:val="nil"/>
              <w:right w:val="nil"/>
            </w:tcBorders>
            <w:shd w:val="clear" w:color="000000" w:fill="FFFFFF"/>
            <w:vAlign w:val="bottom"/>
            <w:hideMark/>
          </w:tcPr>
          <w:p w14:paraId="0A77C97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307938B2"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nil"/>
              <w:right w:val="nil"/>
            </w:tcBorders>
            <w:shd w:val="clear" w:color="000000" w:fill="FFFFFF"/>
            <w:vAlign w:val="bottom"/>
            <w:hideMark/>
          </w:tcPr>
          <w:p w14:paraId="3580C34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79" w:type="pct"/>
            <w:tcBorders>
              <w:top w:val="nil"/>
              <w:left w:val="nil"/>
              <w:bottom w:val="nil"/>
              <w:right w:val="nil"/>
            </w:tcBorders>
            <w:shd w:val="clear" w:color="000000" w:fill="FFFFFF"/>
            <w:vAlign w:val="bottom"/>
            <w:hideMark/>
          </w:tcPr>
          <w:p w14:paraId="27D15B7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25AF56DA"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nil"/>
              <w:right w:val="nil"/>
            </w:tcBorders>
            <w:shd w:val="clear" w:color="000000" w:fill="FFFFFF"/>
            <w:vAlign w:val="bottom"/>
            <w:hideMark/>
          </w:tcPr>
          <w:p w14:paraId="52A3A28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65" w:type="pct"/>
            <w:tcBorders>
              <w:top w:val="nil"/>
              <w:left w:val="nil"/>
              <w:bottom w:val="nil"/>
              <w:right w:val="nil"/>
            </w:tcBorders>
            <w:shd w:val="clear" w:color="000000" w:fill="FFFFFF"/>
            <w:vAlign w:val="bottom"/>
            <w:hideMark/>
          </w:tcPr>
          <w:p w14:paraId="6A9E7A11"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14" w:type="pct"/>
            <w:tcBorders>
              <w:top w:val="nil"/>
              <w:left w:val="nil"/>
              <w:bottom w:val="nil"/>
              <w:right w:val="nil"/>
            </w:tcBorders>
            <w:shd w:val="clear" w:color="000000" w:fill="FFFFFF"/>
            <w:vAlign w:val="bottom"/>
            <w:hideMark/>
          </w:tcPr>
          <w:p w14:paraId="5CBDCF6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07" w:type="pct"/>
            <w:tcBorders>
              <w:top w:val="nil"/>
              <w:left w:val="nil"/>
              <w:bottom w:val="nil"/>
              <w:right w:val="nil"/>
            </w:tcBorders>
            <w:shd w:val="clear" w:color="000000" w:fill="FFFFFF"/>
            <w:vAlign w:val="bottom"/>
            <w:hideMark/>
          </w:tcPr>
          <w:p w14:paraId="78CA1AC6"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8" w:type="pct"/>
            <w:tcBorders>
              <w:top w:val="nil"/>
              <w:left w:val="nil"/>
              <w:bottom w:val="nil"/>
              <w:right w:val="nil"/>
            </w:tcBorders>
            <w:shd w:val="clear" w:color="000000" w:fill="FFFFFF"/>
            <w:vAlign w:val="bottom"/>
            <w:hideMark/>
          </w:tcPr>
          <w:p w14:paraId="7C7209E6"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0" w:type="pct"/>
            <w:tcBorders>
              <w:top w:val="nil"/>
              <w:left w:val="nil"/>
              <w:bottom w:val="nil"/>
              <w:right w:val="nil"/>
            </w:tcBorders>
            <w:shd w:val="clear" w:color="000000" w:fill="FFFFFF"/>
            <w:vAlign w:val="bottom"/>
            <w:hideMark/>
          </w:tcPr>
          <w:p w14:paraId="3DF2B30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r>
      <w:tr w:rsidR="003670E8" w:rsidRPr="00893A37" w14:paraId="6A363EDF" w14:textId="77777777" w:rsidTr="00EA194A">
        <w:trPr>
          <w:trHeight w:val="288"/>
        </w:trPr>
        <w:tc>
          <w:tcPr>
            <w:tcW w:w="299" w:type="pct"/>
            <w:tcBorders>
              <w:top w:val="nil"/>
              <w:left w:val="nil"/>
              <w:bottom w:val="nil"/>
              <w:right w:val="nil"/>
            </w:tcBorders>
            <w:shd w:val="clear" w:color="000000" w:fill="FFFFFF"/>
            <w:vAlign w:val="bottom"/>
            <w:hideMark/>
          </w:tcPr>
          <w:p w14:paraId="4DC51547"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34" w:type="pct"/>
            <w:tcBorders>
              <w:top w:val="nil"/>
              <w:left w:val="nil"/>
              <w:bottom w:val="nil"/>
              <w:right w:val="nil"/>
            </w:tcBorders>
            <w:shd w:val="clear" w:color="000000" w:fill="FFFFFF"/>
            <w:vAlign w:val="bottom"/>
            <w:hideMark/>
          </w:tcPr>
          <w:p w14:paraId="1CCE2AEC"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2C516951"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nil"/>
              <w:right w:val="nil"/>
            </w:tcBorders>
            <w:shd w:val="clear" w:color="000000" w:fill="FFFFFF"/>
            <w:vAlign w:val="bottom"/>
            <w:hideMark/>
          </w:tcPr>
          <w:p w14:paraId="4A420A23"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79" w:type="pct"/>
            <w:tcBorders>
              <w:top w:val="nil"/>
              <w:left w:val="nil"/>
              <w:bottom w:val="nil"/>
              <w:right w:val="nil"/>
            </w:tcBorders>
            <w:shd w:val="clear" w:color="000000" w:fill="FFFFFF"/>
            <w:vAlign w:val="bottom"/>
            <w:hideMark/>
          </w:tcPr>
          <w:p w14:paraId="628BC60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2738777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nil"/>
              <w:right w:val="nil"/>
            </w:tcBorders>
            <w:shd w:val="clear" w:color="000000" w:fill="FFFFFF"/>
            <w:vAlign w:val="bottom"/>
            <w:hideMark/>
          </w:tcPr>
          <w:p w14:paraId="3C4C25A3"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65" w:type="pct"/>
            <w:tcBorders>
              <w:top w:val="nil"/>
              <w:left w:val="nil"/>
              <w:bottom w:val="nil"/>
              <w:right w:val="nil"/>
            </w:tcBorders>
            <w:shd w:val="clear" w:color="000000" w:fill="FFFFFF"/>
            <w:vAlign w:val="bottom"/>
            <w:hideMark/>
          </w:tcPr>
          <w:p w14:paraId="504CBF6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14" w:type="pct"/>
            <w:tcBorders>
              <w:top w:val="nil"/>
              <w:left w:val="nil"/>
              <w:bottom w:val="nil"/>
              <w:right w:val="nil"/>
            </w:tcBorders>
            <w:shd w:val="clear" w:color="000000" w:fill="FFFFFF"/>
            <w:vAlign w:val="bottom"/>
            <w:hideMark/>
          </w:tcPr>
          <w:p w14:paraId="2B577616"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07" w:type="pct"/>
            <w:tcBorders>
              <w:top w:val="nil"/>
              <w:left w:val="nil"/>
              <w:bottom w:val="nil"/>
              <w:right w:val="nil"/>
            </w:tcBorders>
            <w:shd w:val="clear" w:color="000000" w:fill="FFFFFF"/>
            <w:vAlign w:val="bottom"/>
            <w:hideMark/>
          </w:tcPr>
          <w:p w14:paraId="5559EF26"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8" w:type="pct"/>
            <w:tcBorders>
              <w:top w:val="nil"/>
              <w:left w:val="nil"/>
              <w:bottom w:val="nil"/>
              <w:right w:val="nil"/>
            </w:tcBorders>
            <w:shd w:val="clear" w:color="000000" w:fill="FFFFFF"/>
            <w:vAlign w:val="bottom"/>
            <w:hideMark/>
          </w:tcPr>
          <w:p w14:paraId="763877B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0" w:type="pct"/>
            <w:tcBorders>
              <w:top w:val="nil"/>
              <w:left w:val="nil"/>
              <w:bottom w:val="nil"/>
              <w:right w:val="nil"/>
            </w:tcBorders>
            <w:shd w:val="clear" w:color="000000" w:fill="FFFFFF"/>
            <w:vAlign w:val="bottom"/>
            <w:hideMark/>
          </w:tcPr>
          <w:p w14:paraId="6F56A64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r>
      <w:tr w:rsidR="003670E8" w:rsidRPr="00893A37" w14:paraId="6E4088B2" w14:textId="77777777" w:rsidTr="00EA194A">
        <w:trPr>
          <w:trHeight w:val="288"/>
        </w:trPr>
        <w:tc>
          <w:tcPr>
            <w:tcW w:w="299" w:type="pct"/>
            <w:tcBorders>
              <w:top w:val="nil"/>
              <w:left w:val="nil"/>
              <w:bottom w:val="nil"/>
              <w:right w:val="nil"/>
            </w:tcBorders>
            <w:shd w:val="clear" w:color="000000" w:fill="FFFFFF"/>
            <w:vAlign w:val="bottom"/>
            <w:hideMark/>
          </w:tcPr>
          <w:p w14:paraId="3E16D0B2"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34" w:type="pct"/>
            <w:tcBorders>
              <w:top w:val="nil"/>
              <w:left w:val="nil"/>
              <w:bottom w:val="nil"/>
              <w:right w:val="nil"/>
            </w:tcBorders>
            <w:shd w:val="clear" w:color="000000" w:fill="FFFFFF"/>
            <w:vAlign w:val="bottom"/>
            <w:hideMark/>
          </w:tcPr>
          <w:p w14:paraId="0C5114C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1D970783"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nil"/>
              <w:right w:val="nil"/>
            </w:tcBorders>
            <w:shd w:val="clear" w:color="000000" w:fill="FFFFFF"/>
            <w:vAlign w:val="bottom"/>
            <w:hideMark/>
          </w:tcPr>
          <w:p w14:paraId="4607F1AC"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79" w:type="pct"/>
            <w:tcBorders>
              <w:top w:val="nil"/>
              <w:left w:val="nil"/>
              <w:bottom w:val="nil"/>
              <w:right w:val="nil"/>
            </w:tcBorders>
            <w:shd w:val="clear" w:color="000000" w:fill="FFFFFF"/>
            <w:vAlign w:val="bottom"/>
            <w:hideMark/>
          </w:tcPr>
          <w:p w14:paraId="39CF3F7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5EC23B87"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nil"/>
              <w:right w:val="nil"/>
            </w:tcBorders>
            <w:shd w:val="clear" w:color="000000" w:fill="FFFFFF"/>
            <w:vAlign w:val="bottom"/>
            <w:hideMark/>
          </w:tcPr>
          <w:p w14:paraId="5C72839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65" w:type="pct"/>
            <w:tcBorders>
              <w:top w:val="nil"/>
              <w:left w:val="nil"/>
              <w:bottom w:val="nil"/>
              <w:right w:val="nil"/>
            </w:tcBorders>
            <w:shd w:val="clear" w:color="000000" w:fill="FFFFFF"/>
            <w:vAlign w:val="bottom"/>
            <w:hideMark/>
          </w:tcPr>
          <w:p w14:paraId="302EC74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14" w:type="pct"/>
            <w:tcBorders>
              <w:top w:val="nil"/>
              <w:left w:val="nil"/>
              <w:bottom w:val="nil"/>
              <w:right w:val="nil"/>
            </w:tcBorders>
            <w:shd w:val="clear" w:color="000000" w:fill="FFFFFF"/>
            <w:vAlign w:val="bottom"/>
            <w:hideMark/>
          </w:tcPr>
          <w:p w14:paraId="0DA04BC3"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07" w:type="pct"/>
            <w:tcBorders>
              <w:top w:val="nil"/>
              <w:left w:val="nil"/>
              <w:bottom w:val="nil"/>
              <w:right w:val="nil"/>
            </w:tcBorders>
            <w:shd w:val="clear" w:color="000000" w:fill="FFFFFF"/>
            <w:vAlign w:val="bottom"/>
            <w:hideMark/>
          </w:tcPr>
          <w:p w14:paraId="59871E3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8" w:type="pct"/>
            <w:tcBorders>
              <w:top w:val="nil"/>
              <w:left w:val="nil"/>
              <w:bottom w:val="nil"/>
              <w:right w:val="nil"/>
            </w:tcBorders>
            <w:shd w:val="clear" w:color="000000" w:fill="FFFFFF"/>
            <w:vAlign w:val="bottom"/>
            <w:hideMark/>
          </w:tcPr>
          <w:p w14:paraId="2F9E8AB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0" w:type="pct"/>
            <w:tcBorders>
              <w:top w:val="nil"/>
              <w:left w:val="nil"/>
              <w:bottom w:val="nil"/>
              <w:right w:val="nil"/>
            </w:tcBorders>
            <w:shd w:val="clear" w:color="000000" w:fill="FFFFFF"/>
            <w:vAlign w:val="bottom"/>
            <w:hideMark/>
          </w:tcPr>
          <w:p w14:paraId="703CF99A"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r>
      <w:tr w:rsidR="003670E8" w:rsidRPr="00893A37" w14:paraId="4373960D" w14:textId="77777777" w:rsidTr="00EA194A">
        <w:trPr>
          <w:trHeight w:val="288"/>
        </w:trPr>
        <w:tc>
          <w:tcPr>
            <w:tcW w:w="299" w:type="pct"/>
            <w:tcBorders>
              <w:top w:val="nil"/>
              <w:left w:val="nil"/>
              <w:bottom w:val="nil"/>
              <w:right w:val="nil"/>
            </w:tcBorders>
            <w:shd w:val="clear" w:color="000000" w:fill="FFFFFF"/>
            <w:vAlign w:val="bottom"/>
            <w:hideMark/>
          </w:tcPr>
          <w:p w14:paraId="3CC9095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34" w:type="pct"/>
            <w:tcBorders>
              <w:top w:val="nil"/>
              <w:left w:val="nil"/>
              <w:bottom w:val="nil"/>
              <w:right w:val="nil"/>
            </w:tcBorders>
            <w:shd w:val="clear" w:color="000000" w:fill="FFFFFF"/>
            <w:vAlign w:val="bottom"/>
            <w:hideMark/>
          </w:tcPr>
          <w:p w14:paraId="0777AE51"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156701E4"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nil"/>
              <w:right w:val="nil"/>
            </w:tcBorders>
            <w:shd w:val="clear" w:color="000000" w:fill="FFFFFF"/>
            <w:vAlign w:val="bottom"/>
            <w:hideMark/>
          </w:tcPr>
          <w:p w14:paraId="2BC03E9A"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79" w:type="pct"/>
            <w:tcBorders>
              <w:top w:val="nil"/>
              <w:left w:val="nil"/>
              <w:bottom w:val="nil"/>
              <w:right w:val="nil"/>
            </w:tcBorders>
            <w:shd w:val="clear" w:color="000000" w:fill="FFFFFF"/>
            <w:vAlign w:val="bottom"/>
            <w:hideMark/>
          </w:tcPr>
          <w:p w14:paraId="092E6B52"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54D7E64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nil"/>
              <w:right w:val="nil"/>
            </w:tcBorders>
            <w:shd w:val="clear" w:color="000000" w:fill="FFFFFF"/>
            <w:vAlign w:val="bottom"/>
            <w:hideMark/>
          </w:tcPr>
          <w:p w14:paraId="79AB1D0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65" w:type="pct"/>
            <w:tcBorders>
              <w:top w:val="nil"/>
              <w:left w:val="nil"/>
              <w:bottom w:val="nil"/>
              <w:right w:val="nil"/>
            </w:tcBorders>
            <w:shd w:val="clear" w:color="000000" w:fill="FFFFFF"/>
            <w:vAlign w:val="bottom"/>
            <w:hideMark/>
          </w:tcPr>
          <w:p w14:paraId="34861F9D"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14" w:type="pct"/>
            <w:tcBorders>
              <w:top w:val="nil"/>
              <w:left w:val="nil"/>
              <w:bottom w:val="nil"/>
              <w:right w:val="nil"/>
            </w:tcBorders>
            <w:shd w:val="clear" w:color="000000" w:fill="FFFFFF"/>
            <w:vAlign w:val="bottom"/>
            <w:hideMark/>
          </w:tcPr>
          <w:p w14:paraId="1877A42D"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07" w:type="pct"/>
            <w:tcBorders>
              <w:top w:val="nil"/>
              <w:left w:val="nil"/>
              <w:bottom w:val="nil"/>
              <w:right w:val="nil"/>
            </w:tcBorders>
            <w:shd w:val="clear" w:color="000000" w:fill="FFFFFF"/>
            <w:vAlign w:val="bottom"/>
            <w:hideMark/>
          </w:tcPr>
          <w:p w14:paraId="40E21988"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8" w:type="pct"/>
            <w:tcBorders>
              <w:top w:val="nil"/>
              <w:left w:val="nil"/>
              <w:bottom w:val="nil"/>
              <w:right w:val="nil"/>
            </w:tcBorders>
            <w:shd w:val="clear" w:color="000000" w:fill="FFFFFF"/>
            <w:vAlign w:val="bottom"/>
            <w:hideMark/>
          </w:tcPr>
          <w:p w14:paraId="3CFA3F50"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0" w:type="pct"/>
            <w:tcBorders>
              <w:top w:val="nil"/>
              <w:left w:val="nil"/>
              <w:bottom w:val="nil"/>
              <w:right w:val="nil"/>
            </w:tcBorders>
            <w:shd w:val="clear" w:color="000000" w:fill="FFFFFF"/>
            <w:vAlign w:val="bottom"/>
            <w:hideMark/>
          </w:tcPr>
          <w:p w14:paraId="675BAFC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r>
      <w:tr w:rsidR="003670E8" w:rsidRPr="00893A37" w14:paraId="601295F1" w14:textId="77777777" w:rsidTr="00EA194A">
        <w:trPr>
          <w:trHeight w:val="288"/>
        </w:trPr>
        <w:tc>
          <w:tcPr>
            <w:tcW w:w="299" w:type="pct"/>
            <w:tcBorders>
              <w:top w:val="nil"/>
              <w:left w:val="nil"/>
              <w:bottom w:val="nil"/>
              <w:right w:val="nil"/>
            </w:tcBorders>
            <w:shd w:val="clear" w:color="000000" w:fill="FFFFFF"/>
            <w:vAlign w:val="bottom"/>
            <w:hideMark/>
          </w:tcPr>
          <w:p w14:paraId="44503701"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34" w:type="pct"/>
            <w:tcBorders>
              <w:top w:val="nil"/>
              <w:left w:val="nil"/>
              <w:bottom w:val="nil"/>
              <w:right w:val="nil"/>
            </w:tcBorders>
            <w:shd w:val="clear" w:color="000000" w:fill="FFFFFF"/>
            <w:vAlign w:val="bottom"/>
            <w:hideMark/>
          </w:tcPr>
          <w:p w14:paraId="545B09BD"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4391727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85" w:type="pct"/>
            <w:tcBorders>
              <w:top w:val="nil"/>
              <w:left w:val="nil"/>
              <w:bottom w:val="nil"/>
              <w:right w:val="nil"/>
            </w:tcBorders>
            <w:shd w:val="clear" w:color="000000" w:fill="FFFFFF"/>
            <w:vAlign w:val="bottom"/>
            <w:hideMark/>
          </w:tcPr>
          <w:p w14:paraId="3DE16B7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79" w:type="pct"/>
            <w:tcBorders>
              <w:top w:val="nil"/>
              <w:left w:val="nil"/>
              <w:bottom w:val="nil"/>
              <w:right w:val="nil"/>
            </w:tcBorders>
            <w:shd w:val="clear" w:color="000000" w:fill="FFFFFF"/>
            <w:vAlign w:val="bottom"/>
            <w:hideMark/>
          </w:tcPr>
          <w:p w14:paraId="0BE58AF5"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96" w:type="pct"/>
            <w:tcBorders>
              <w:top w:val="nil"/>
              <w:left w:val="nil"/>
              <w:bottom w:val="nil"/>
              <w:right w:val="nil"/>
            </w:tcBorders>
            <w:shd w:val="clear" w:color="000000" w:fill="FFFFFF"/>
            <w:vAlign w:val="bottom"/>
            <w:hideMark/>
          </w:tcPr>
          <w:p w14:paraId="001085BE"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398" w:type="pct"/>
            <w:tcBorders>
              <w:top w:val="nil"/>
              <w:left w:val="nil"/>
              <w:bottom w:val="nil"/>
              <w:right w:val="nil"/>
            </w:tcBorders>
            <w:shd w:val="clear" w:color="000000" w:fill="FFFFFF"/>
            <w:vAlign w:val="bottom"/>
            <w:hideMark/>
          </w:tcPr>
          <w:p w14:paraId="14E767FF"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65" w:type="pct"/>
            <w:tcBorders>
              <w:top w:val="nil"/>
              <w:left w:val="nil"/>
              <w:bottom w:val="nil"/>
              <w:right w:val="nil"/>
            </w:tcBorders>
            <w:shd w:val="clear" w:color="000000" w:fill="FFFFFF"/>
            <w:vAlign w:val="bottom"/>
            <w:hideMark/>
          </w:tcPr>
          <w:p w14:paraId="0C8D6E4B"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14" w:type="pct"/>
            <w:tcBorders>
              <w:top w:val="nil"/>
              <w:left w:val="nil"/>
              <w:bottom w:val="nil"/>
              <w:right w:val="nil"/>
            </w:tcBorders>
            <w:shd w:val="clear" w:color="000000" w:fill="FFFFFF"/>
            <w:vAlign w:val="bottom"/>
            <w:hideMark/>
          </w:tcPr>
          <w:p w14:paraId="28CCED6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707" w:type="pct"/>
            <w:tcBorders>
              <w:top w:val="nil"/>
              <w:left w:val="nil"/>
              <w:bottom w:val="nil"/>
              <w:right w:val="nil"/>
            </w:tcBorders>
            <w:shd w:val="clear" w:color="000000" w:fill="FFFFFF"/>
            <w:vAlign w:val="bottom"/>
            <w:hideMark/>
          </w:tcPr>
          <w:p w14:paraId="58BCA556"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8" w:type="pct"/>
            <w:tcBorders>
              <w:top w:val="nil"/>
              <w:left w:val="nil"/>
              <w:bottom w:val="nil"/>
              <w:right w:val="nil"/>
            </w:tcBorders>
            <w:shd w:val="clear" w:color="000000" w:fill="FFFFFF"/>
            <w:vAlign w:val="bottom"/>
            <w:hideMark/>
          </w:tcPr>
          <w:p w14:paraId="581FB3D9"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c>
          <w:tcPr>
            <w:tcW w:w="510" w:type="pct"/>
            <w:tcBorders>
              <w:top w:val="nil"/>
              <w:left w:val="nil"/>
              <w:bottom w:val="nil"/>
              <w:right w:val="nil"/>
            </w:tcBorders>
            <w:shd w:val="clear" w:color="000000" w:fill="FFFFFF"/>
            <w:vAlign w:val="bottom"/>
            <w:hideMark/>
          </w:tcPr>
          <w:p w14:paraId="53438358" w14:textId="77777777" w:rsidR="003670E8" w:rsidRPr="00893A37" w:rsidRDefault="003670E8" w:rsidP="00EA194A">
            <w:pPr>
              <w:suppressAutoHyphens w:val="0"/>
              <w:spacing w:line="240" w:lineRule="auto"/>
              <w:jc w:val="center"/>
              <w:rPr>
                <w:rFonts w:eastAsia="Times New Roman"/>
                <w:i/>
                <w:iCs/>
                <w:sz w:val="16"/>
                <w:szCs w:val="16"/>
                <w:lang w:val="en-US"/>
              </w:rPr>
            </w:pPr>
            <w:r w:rsidRPr="00893A37">
              <w:rPr>
                <w:rFonts w:eastAsia="Times New Roman"/>
                <w:i/>
                <w:iCs/>
                <w:sz w:val="16"/>
                <w:szCs w:val="16"/>
                <w:lang w:val="en-US"/>
              </w:rPr>
              <w:t> </w:t>
            </w:r>
          </w:p>
        </w:tc>
      </w:tr>
      <w:tr w:rsidR="003670E8" w:rsidRPr="00893A37" w14:paraId="0C558B1A" w14:textId="77777777" w:rsidTr="00EA194A">
        <w:trPr>
          <w:trHeight w:val="300"/>
        </w:trPr>
        <w:tc>
          <w:tcPr>
            <w:tcW w:w="299" w:type="pct"/>
            <w:tcBorders>
              <w:top w:val="nil"/>
              <w:left w:val="nil"/>
              <w:bottom w:val="nil"/>
              <w:right w:val="nil"/>
            </w:tcBorders>
            <w:shd w:val="clear" w:color="000000" w:fill="FFFFFF"/>
            <w:noWrap/>
            <w:vAlign w:val="bottom"/>
            <w:hideMark/>
          </w:tcPr>
          <w:p w14:paraId="440F29A0"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334" w:type="pct"/>
            <w:tcBorders>
              <w:top w:val="nil"/>
              <w:left w:val="nil"/>
              <w:bottom w:val="nil"/>
              <w:right w:val="nil"/>
            </w:tcBorders>
            <w:shd w:val="clear" w:color="000000" w:fill="FFFFFF"/>
            <w:noWrap/>
            <w:vAlign w:val="bottom"/>
            <w:hideMark/>
          </w:tcPr>
          <w:p w14:paraId="14BCA842"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96" w:type="pct"/>
            <w:tcBorders>
              <w:top w:val="nil"/>
              <w:left w:val="nil"/>
              <w:bottom w:val="nil"/>
              <w:right w:val="nil"/>
            </w:tcBorders>
            <w:shd w:val="clear" w:color="000000" w:fill="FFFFFF"/>
            <w:noWrap/>
            <w:vAlign w:val="center"/>
            <w:hideMark/>
          </w:tcPr>
          <w:p w14:paraId="248FAA3E" w14:textId="77777777" w:rsidR="003670E8" w:rsidRPr="00893A37" w:rsidRDefault="003670E8" w:rsidP="00EA194A">
            <w:pPr>
              <w:suppressAutoHyphens w:val="0"/>
              <w:spacing w:line="240" w:lineRule="auto"/>
              <w:rPr>
                <w:rFonts w:eastAsia="Times New Roman"/>
                <w:lang w:val="en-US"/>
              </w:rPr>
            </w:pPr>
            <w:r w:rsidRPr="00893A37">
              <w:rPr>
                <w:rFonts w:eastAsia="Times New Roman"/>
                <w:lang w:val="en-US"/>
              </w:rPr>
              <w:t> </w:t>
            </w:r>
          </w:p>
        </w:tc>
        <w:tc>
          <w:tcPr>
            <w:tcW w:w="385" w:type="pct"/>
            <w:tcBorders>
              <w:top w:val="nil"/>
              <w:left w:val="nil"/>
              <w:bottom w:val="nil"/>
              <w:right w:val="nil"/>
            </w:tcBorders>
            <w:shd w:val="clear" w:color="000000" w:fill="FFFFFF"/>
            <w:noWrap/>
            <w:vAlign w:val="bottom"/>
            <w:hideMark/>
          </w:tcPr>
          <w:p w14:paraId="3682E431"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379" w:type="pct"/>
            <w:tcBorders>
              <w:top w:val="nil"/>
              <w:left w:val="nil"/>
              <w:bottom w:val="nil"/>
              <w:right w:val="nil"/>
            </w:tcBorders>
            <w:shd w:val="clear" w:color="000000" w:fill="FFFFFF"/>
            <w:noWrap/>
            <w:vAlign w:val="bottom"/>
            <w:hideMark/>
          </w:tcPr>
          <w:p w14:paraId="5678F335"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96" w:type="pct"/>
            <w:tcBorders>
              <w:top w:val="nil"/>
              <w:left w:val="nil"/>
              <w:bottom w:val="nil"/>
              <w:right w:val="nil"/>
            </w:tcBorders>
            <w:shd w:val="clear" w:color="000000" w:fill="FFFFFF"/>
            <w:noWrap/>
            <w:vAlign w:val="center"/>
            <w:hideMark/>
          </w:tcPr>
          <w:p w14:paraId="79171610" w14:textId="77777777" w:rsidR="003670E8" w:rsidRPr="00893A37" w:rsidRDefault="003670E8" w:rsidP="00EA194A">
            <w:pPr>
              <w:suppressAutoHyphens w:val="0"/>
              <w:spacing w:line="240" w:lineRule="auto"/>
              <w:rPr>
                <w:rFonts w:eastAsia="Times New Roman"/>
                <w:lang w:val="en-US"/>
              </w:rPr>
            </w:pPr>
            <w:r w:rsidRPr="00893A37">
              <w:rPr>
                <w:rFonts w:eastAsia="Times New Roman"/>
                <w:lang w:val="en-US"/>
              </w:rPr>
              <w:t> </w:t>
            </w:r>
          </w:p>
        </w:tc>
        <w:tc>
          <w:tcPr>
            <w:tcW w:w="398" w:type="pct"/>
            <w:tcBorders>
              <w:top w:val="nil"/>
              <w:left w:val="nil"/>
              <w:bottom w:val="nil"/>
              <w:right w:val="nil"/>
            </w:tcBorders>
            <w:shd w:val="clear" w:color="000000" w:fill="FFFFFF"/>
            <w:noWrap/>
            <w:vAlign w:val="bottom"/>
            <w:hideMark/>
          </w:tcPr>
          <w:p w14:paraId="05B64D8A"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565" w:type="pct"/>
            <w:tcBorders>
              <w:top w:val="nil"/>
              <w:left w:val="nil"/>
              <w:bottom w:val="nil"/>
              <w:right w:val="nil"/>
            </w:tcBorders>
            <w:shd w:val="clear" w:color="000000" w:fill="FFFFFF"/>
            <w:noWrap/>
            <w:vAlign w:val="bottom"/>
            <w:hideMark/>
          </w:tcPr>
          <w:p w14:paraId="3DC96600"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714" w:type="pct"/>
            <w:tcBorders>
              <w:top w:val="nil"/>
              <w:left w:val="nil"/>
              <w:bottom w:val="nil"/>
              <w:right w:val="nil"/>
            </w:tcBorders>
            <w:shd w:val="clear" w:color="000000" w:fill="FFFFFF"/>
            <w:noWrap/>
            <w:vAlign w:val="bottom"/>
            <w:hideMark/>
          </w:tcPr>
          <w:p w14:paraId="725AD0AF"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707" w:type="pct"/>
            <w:tcBorders>
              <w:top w:val="nil"/>
              <w:left w:val="nil"/>
              <w:bottom w:val="nil"/>
              <w:right w:val="nil"/>
            </w:tcBorders>
            <w:shd w:val="clear" w:color="000000" w:fill="FFFFFF"/>
            <w:noWrap/>
            <w:vAlign w:val="bottom"/>
            <w:hideMark/>
          </w:tcPr>
          <w:p w14:paraId="2104BCBE"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518" w:type="pct"/>
            <w:tcBorders>
              <w:top w:val="nil"/>
              <w:left w:val="nil"/>
              <w:bottom w:val="nil"/>
              <w:right w:val="nil"/>
            </w:tcBorders>
            <w:shd w:val="clear" w:color="000000" w:fill="FFFFFF"/>
            <w:noWrap/>
            <w:vAlign w:val="bottom"/>
            <w:hideMark/>
          </w:tcPr>
          <w:p w14:paraId="4DC97F8B"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c>
          <w:tcPr>
            <w:tcW w:w="510" w:type="pct"/>
            <w:tcBorders>
              <w:top w:val="nil"/>
              <w:left w:val="nil"/>
              <w:bottom w:val="nil"/>
              <w:right w:val="nil"/>
            </w:tcBorders>
            <w:shd w:val="clear" w:color="000000" w:fill="FFFFFF"/>
            <w:noWrap/>
            <w:vAlign w:val="bottom"/>
            <w:hideMark/>
          </w:tcPr>
          <w:p w14:paraId="462ECC04" w14:textId="77777777" w:rsidR="003670E8" w:rsidRPr="00893A37" w:rsidRDefault="003670E8" w:rsidP="00EA194A">
            <w:pPr>
              <w:suppressAutoHyphens w:val="0"/>
              <w:spacing w:line="240" w:lineRule="auto"/>
              <w:rPr>
                <w:rFonts w:ascii="Calibri" w:eastAsia="Times New Roman" w:hAnsi="Calibri" w:cs="Calibri"/>
                <w:sz w:val="22"/>
                <w:szCs w:val="22"/>
                <w:lang w:val="en-US"/>
              </w:rPr>
            </w:pPr>
            <w:r w:rsidRPr="00893A37">
              <w:rPr>
                <w:rFonts w:ascii="Calibri" w:eastAsia="Times New Roman" w:hAnsi="Calibri" w:cs="Calibri"/>
                <w:sz w:val="22"/>
                <w:szCs w:val="22"/>
                <w:lang w:val="en-US"/>
              </w:rPr>
              <w:t> </w:t>
            </w:r>
          </w:p>
        </w:tc>
      </w:tr>
      <w:tr w:rsidR="003670E8" w:rsidRPr="00893A37" w14:paraId="6FF39D6C" w14:textId="77777777" w:rsidTr="00EA194A">
        <w:trPr>
          <w:trHeight w:val="300"/>
        </w:trPr>
        <w:tc>
          <w:tcPr>
            <w:tcW w:w="299" w:type="pct"/>
            <w:tcBorders>
              <w:top w:val="single" w:sz="4" w:space="0" w:color="auto"/>
              <w:left w:val="nil"/>
              <w:bottom w:val="single" w:sz="12" w:space="0" w:color="auto"/>
              <w:right w:val="nil"/>
            </w:tcBorders>
            <w:shd w:val="clear" w:color="000000" w:fill="FFFFFF"/>
            <w:noWrap/>
            <w:vAlign w:val="center"/>
            <w:hideMark/>
          </w:tcPr>
          <w:p w14:paraId="48C60929"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334" w:type="pct"/>
            <w:tcBorders>
              <w:top w:val="single" w:sz="4" w:space="0" w:color="auto"/>
              <w:left w:val="nil"/>
              <w:bottom w:val="single" w:sz="12" w:space="0" w:color="auto"/>
              <w:right w:val="nil"/>
            </w:tcBorders>
            <w:shd w:val="clear" w:color="000000" w:fill="FFFFFF"/>
            <w:noWrap/>
            <w:vAlign w:val="center"/>
            <w:hideMark/>
          </w:tcPr>
          <w:p w14:paraId="705A43E1"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96" w:type="pct"/>
            <w:tcBorders>
              <w:top w:val="single" w:sz="4" w:space="0" w:color="auto"/>
              <w:left w:val="nil"/>
              <w:bottom w:val="single" w:sz="12" w:space="0" w:color="auto"/>
              <w:right w:val="nil"/>
            </w:tcBorders>
            <w:shd w:val="clear" w:color="000000" w:fill="FFFFFF"/>
            <w:noWrap/>
            <w:vAlign w:val="center"/>
            <w:hideMark/>
          </w:tcPr>
          <w:p w14:paraId="51EB14B6"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385" w:type="pct"/>
            <w:tcBorders>
              <w:top w:val="single" w:sz="4" w:space="0" w:color="auto"/>
              <w:left w:val="nil"/>
              <w:bottom w:val="single" w:sz="12" w:space="0" w:color="auto"/>
              <w:right w:val="nil"/>
            </w:tcBorders>
            <w:shd w:val="clear" w:color="000000" w:fill="FFFFFF"/>
            <w:noWrap/>
            <w:vAlign w:val="center"/>
            <w:hideMark/>
          </w:tcPr>
          <w:p w14:paraId="42865B44"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379" w:type="pct"/>
            <w:tcBorders>
              <w:top w:val="single" w:sz="4" w:space="0" w:color="auto"/>
              <w:left w:val="nil"/>
              <w:bottom w:val="single" w:sz="12" w:space="0" w:color="auto"/>
              <w:right w:val="nil"/>
            </w:tcBorders>
            <w:shd w:val="clear" w:color="000000" w:fill="FFFFFF"/>
            <w:noWrap/>
            <w:vAlign w:val="center"/>
            <w:hideMark/>
          </w:tcPr>
          <w:p w14:paraId="37680EAE"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96" w:type="pct"/>
            <w:tcBorders>
              <w:top w:val="single" w:sz="4" w:space="0" w:color="auto"/>
              <w:left w:val="nil"/>
              <w:bottom w:val="single" w:sz="12" w:space="0" w:color="auto"/>
              <w:right w:val="nil"/>
            </w:tcBorders>
            <w:shd w:val="clear" w:color="000000" w:fill="FFFFFF"/>
            <w:noWrap/>
            <w:vAlign w:val="center"/>
            <w:hideMark/>
          </w:tcPr>
          <w:p w14:paraId="2E07EDEC"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398" w:type="pct"/>
            <w:tcBorders>
              <w:top w:val="single" w:sz="4" w:space="0" w:color="auto"/>
              <w:left w:val="nil"/>
              <w:bottom w:val="single" w:sz="12" w:space="0" w:color="auto"/>
              <w:right w:val="nil"/>
            </w:tcBorders>
            <w:shd w:val="clear" w:color="000000" w:fill="FFFFFF"/>
            <w:noWrap/>
            <w:vAlign w:val="center"/>
            <w:hideMark/>
          </w:tcPr>
          <w:p w14:paraId="013F3FDE"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565" w:type="pct"/>
            <w:tcBorders>
              <w:top w:val="single" w:sz="4" w:space="0" w:color="auto"/>
              <w:left w:val="nil"/>
              <w:bottom w:val="single" w:sz="12" w:space="0" w:color="auto"/>
              <w:right w:val="nil"/>
            </w:tcBorders>
            <w:shd w:val="clear" w:color="000000" w:fill="FFFFFF"/>
            <w:noWrap/>
            <w:vAlign w:val="center"/>
            <w:hideMark/>
          </w:tcPr>
          <w:p w14:paraId="7281E5E9"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714" w:type="pct"/>
            <w:tcBorders>
              <w:top w:val="single" w:sz="4" w:space="0" w:color="auto"/>
              <w:left w:val="nil"/>
              <w:bottom w:val="single" w:sz="12" w:space="0" w:color="auto"/>
              <w:right w:val="nil"/>
            </w:tcBorders>
            <w:shd w:val="clear" w:color="000000" w:fill="FFFFFF"/>
            <w:noWrap/>
            <w:vAlign w:val="center"/>
            <w:hideMark/>
          </w:tcPr>
          <w:p w14:paraId="7C5E19AC"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707" w:type="pct"/>
            <w:tcBorders>
              <w:top w:val="single" w:sz="4" w:space="0" w:color="auto"/>
              <w:left w:val="nil"/>
              <w:bottom w:val="single" w:sz="12" w:space="0" w:color="auto"/>
              <w:right w:val="nil"/>
            </w:tcBorders>
            <w:shd w:val="clear" w:color="000000" w:fill="FFFFFF"/>
            <w:noWrap/>
            <w:vAlign w:val="center"/>
            <w:hideMark/>
          </w:tcPr>
          <w:p w14:paraId="410BD4CB"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518" w:type="pct"/>
            <w:tcBorders>
              <w:top w:val="single" w:sz="4" w:space="0" w:color="auto"/>
              <w:left w:val="nil"/>
              <w:bottom w:val="single" w:sz="12" w:space="0" w:color="auto"/>
              <w:right w:val="nil"/>
            </w:tcBorders>
            <w:shd w:val="clear" w:color="000000" w:fill="FFFFFF"/>
            <w:noWrap/>
            <w:vAlign w:val="center"/>
            <w:hideMark/>
          </w:tcPr>
          <w:p w14:paraId="7DEF4C94"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c>
          <w:tcPr>
            <w:tcW w:w="510" w:type="pct"/>
            <w:tcBorders>
              <w:top w:val="single" w:sz="4" w:space="0" w:color="auto"/>
              <w:left w:val="nil"/>
              <w:bottom w:val="single" w:sz="12" w:space="0" w:color="auto"/>
              <w:right w:val="nil"/>
            </w:tcBorders>
            <w:shd w:val="clear" w:color="000000" w:fill="FFFFFF"/>
            <w:noWrap/>
            <w:vAlign w:val="center"/>
            <w:hideMark/>
          </w:tcPr>
          <w:p w14:paraId="6059CBFD" w14:textId="77777777" w:rsidR="003670E8" w:rsidRPr="00893A37" w:rsidRDefault="003670E8" w:rsidP="00EA194A">
            <w:pPr>
              <w:suppressAutoHyphens w:val="0"/>
              <w:spacing w:line="240" w:lineRule="auto"/>
              <w:jc w:val="right"/>
              <w:rPr>
                <w:rFonts w:eastAsia="Times New Roman"/>
                <w:lang w:val="en-US"/>
              </w:rPr>
            </w:pPr>
            <w:r w:rsidRPr="00893A37">
              <w:rPr>
                <w:rFonts w:eastAsia="Times New Roman"/>
                <w:lang w:val="en-US"/>
              </w:rPr>
              <w:t> </w:t>
            </w:r>
          </w:p>
        </w:tc>
      </w:tr>
    </w:tbl>
    <w:p w14:paraId="6FEB2361" w14:textId="77777777" w:rsidR="003670E8" w:rsidRDefault="003670E8" w:rsidP="003670E8"/>
    <w:p w14:paraId="2AB936DA" w14:textId="77777777" w:rsidR="003670E8" w:rsidRPr="008C6B97" w:rsidRDefault="003670E8" w:rsidP="003670E8">
      <w:pPr>
        <w:pStyle w:val="EndnoteText"/>
        <w:tabs>
          <w:tab w:val="clear" w:pos="1021"/>
        </w:tabs>
        <w:spacing w:line="200" w:lineRule="exact"/>
        <w:ind w:left="283" w:firstLine="142"/>
        <w:rPr>
          <w:lang w:val="en-US"/>
        </w:rPr>
      </w:pPr>
      <w:r w:rsidRPr="009667A9">
        <w:rPr>
          <w:sz w:val="20"/>
        </w:rPr>
        <w:t>Table 6</w:t>
      </w:r>
      <w:r>
        <w:rPr>
          <w:sz w:val="20"/>
        </w:rPr>
        <w:t xml:space="preserve"> </w:t>
      </w:r>
      <w:r w:rsidRPr="00677E16">
        <w:t>(continued)</w:t>
      </w:r>
      <w:r w:rsidRPr="009667A9">
        <w:rPr>
          <w:b/>
          <w:sz w:val="20"/>
        </w:rPr>
        <w:br/>
        <w:t xml:space="preserve">Option </w:t>
      </w:r>
      <w:r>
        <w:rPr>
          <w:b/>
          <w:sz w:val="20"/>
        </w:rPr>
        <w:t>2</w:t>
      </w:r>
      <w:r w:rsidRPr="009667A9">
        <w:rPr>
          <w:b/>
          <w:sz w:val="20"/>
        </w:rPr>
        <w:t xml:space="preserve">: </w:t>
      </w:r>
      <w:r w:rsidRPr="00BF77E6">
        <w:rPr>
          <w:b/>
          <w:sz w:val="20"/>
        </w:rPr>
        <w:t>Summary information</w:t>
      </w:r>
    </w:p>
    <w:p w14:paraId="1E7A115B" w14:textId="77777777" w:rsidR="003670E8" w:rsidRDefault="003670E8" w:rsidP="003670E8"/>
    <w:tbl>
      <w:tblPr>
        <w:tblW w:w="5000" w:type="pct"/>
        <w:tblLook w:val="04A0" w:firstRow="1" w:lastRow="0" w:firstColumn="1" w:lastColumn="0" w:noHBand="0" w:noVBand="1"/>
      </w:tblPr>
      <w:tblGrid>
        <w:gridCol w:w="1370"/>
        <w:gridCol w:w="1717"/>
        <w:gridCol w:w="1837"/>
        <w:gridCol w:w="2017"/>
        <w:gridCol w:w="1837"/>
        <w:gridCol w:w="1837"/>
        <w:gridCol w:w="1837"/>
        <w:gridCol w:w="1834"/>
      </w:tblGrid>
      <w:tr w:rsidR="003670E8" w:rsidRPr="00240542" w14:paraId="176515BF" w14:textId="77777777" w:rsidTr="00EA194A">
        <w:trPr>
          <w:trHeight w:val="300"/>
        </w:trPr>
        <w:tc>
          <w:tcPr>
            <w:tcW w:w="5000" w:type="pct"/>
            <w:gridSpan w:val="8"/>
            <w:tcBorders>
              <w:top w:val="single" w:sz="8" w:space="0" w:color="auto"/>
              <w:left w:val="nil"/>
              <w:bottom w:val="single" w:sz="8" w:space="0" w:color="auto"/>
              <w:right w:val="nil"/>
            </w:tcBorders>
            <w:shd w:val="clear" w:color="000000" w:fill="FFFFFF"/>
            <w:vAlign w:val="bottom"/>
            <w:hideMark/>
          </w:tcPr>
          <w:p w14:paraId="4BF8807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First transfers</w:t>
            </w:r>
          </w:p>
        </w:tc>
      </w:tr>
      <w:tr w:rsidR="003670E8" w:rsidRPr="00240542" w14:paraId="2B90C785" w14:textId="77777777" w:rsidTr="00EA194A">
        <w:trPr>
          <w:trHeight w:val="852"/>
        </w:trPr>
        <w:tc>
          <w:tcPr>
            <w:tcW w:w="479" w:type="pct"/>
            <w:tcBorders>
              <w:top w:val="nil"/>
              <w:left w:val="nil"/>
              <w:bottom w:val="single" w:sz="8" w:space="0" w:color="auto"/>
              <w:right w:val="nil"/>
            </w:tcBorders>
            <w:shd w:val="clear" w:color="000000" w:fill="FFFFFF"/>
            <w:vAlign w:val="bottom"/>
            <w:hideMark/>
          </w:tcPr>
          <w:p w14:paraId="1C0002ED"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First transfers to another Party</w:t>
            </w:r>
          </w:p>
        </w:tc>
        <w:tc>
          <w:tcPr>
            <w:tcW w:w="601" w:type="pct"/>
            <w:tcBorders>
              <w:top w:val="nil"/>
              <w:left w:val="nil"/>
              <w:bottom w:val="single" w:sz="8" w:space="0" w:color="auto"/>
              <w:right w:val="nil"/>
            </w:tcBorders>
            <w:shd w:val="clear" w:color="000000" w:fill="FFFFFF"/>
            <w:vAlign w:val="bottom"/>
            <w:hideMark/>
          </w:tcPr>
          <w:p w14:paraId="477CFCF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First transfers for other international mitigation purposes when the first transfers is specified as the authorization</w:t>
            </w:r>
          </w:p>
        </w:tc>
        <w:tc>
          <w:tcPr>
            <w:tcW w:w="643" w:type="pct"/>
            <w:tcBorders>
              <w:top w:val="nil"/>
              <w:left w:val="nil"/>
              <w:bottom w:val="single" w:sz="8" w:space="0" w:color="auto"/>
              <w:right w:val="nil"/>
            </w:tcBorders>
            <w:shd w:val="clear" w:color="000000" w:fill="FFFFFF"/>
            <w:vAlign w:val="bottom"/>
            <w:hideMark/>
          </w:tcPr>
          <w:p w14:paraId="2101526B"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First transfers for other international mitigation purposes when the first transfer is specified as the issuance</w:t>
            </w:r>
          </w:p>
        </w:tc>
        <w:tc>
          <w:tcPr>
            <w:tcW w:w="706" w:type="pct"/>
            <w:tcBorders>
              <w:top w:val="nil"/>
              <w:left w:val="nil"/>
              <w:bottom w:val="single" w:sz="8" w:space="0" w:color="auto"/>
              <w:right w:val="nil"/>
            </w:tcBorders>
            <w:shd w:val="clear" w:color="000000" w:fill="FFFFFF"/>
            <w:vAlign w:val="bottom"/>
            <w:hideMark/>
          </w:tcPr>
          <w:p w14:paraId="4AC39FAC"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First transfers for other international mitigation purposes when the first transfer is specified as the use or cancellation of the mitigation outcome</w:t>
            </w:r>
          </w:p>
        </w:tc>
        <w:tc>
          <w:tcPr>
            <w:tcW w:w="643" w:type="pct"/>
            <w:tcBorders>
              <w:top w:val="nil"/>
              <w:left w:val="nil"/>
              <w:bottom w:val="single" w:sz="8" w:space="0" w:color="auto"/>
              <w:right w:val="nil"/>
            </w:tcBorders>
            <w:shd w:val="clear" w:color="000000" w:fill="FFFFFF"/>
            <w:vAlign w:val="bottom"/>
            <w:hideMark/>
          </w:tcPr>
          <w:p w14:paraId="4DD16A4B"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Mandatory transfers of Article 6, paragraph 4, emission reductions to the Adaptation Fund</w:t>
            </w:r>
          </w:p>
        </w:tc>
        <w:tc>
          <w:tcPr>
            <w:tcW w:w="643" w:type="pct"/>
            <w:tcBorders>
              <w:top w:val="nil"/>
              <w:left w:val="nil"/>
              <w:bottom w:val="single" w:sz="8" w:space="0" w:color="auto"/>
              <w:right w:val="nil"/>
            </w:tcBorders>
            <w:shd w:val="clear" w:color="000000" w:fill="FFFFFF"/>
            <w:vAlign w:val="bottom"/>
            <w:hideMark/>
          </w:tcPr>
          <w:p w14:paraId="75E78CCB"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Voluntary transfers to the Adaptation Fund</w:t>
            </w:r>
          </w:p>
        </w:tc>
        <w:tc>
          <w:tcPr>
            <w:tcW w:w="643" w:type="pct"/>
            <w:tcBorders>
              <w:top w:val="nil"/>
              <w:left w:val="nil"/>
              <w:bottom w:val="single" w:sz="8" w:space="0" w:color="auto"/>
              <w:right w:val="nil"/>
            </w:tcBorders>
            <w:shd w:val="clear" w:color="000000" w:fill="FFFFFF"/>
            <w:vAlign w:val="bottom"/>
            <w:hideMark/>
          </w:tcPr>
          <w:p w14:paraId="4F1147DF"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Mandatory cancellations of Article 6, paragraph 4, emission reductions to deliver overall mitigation global emissions</w:t>
            </w:r>
          </w:p>
        </w:tc>
        <w:tc>
          <w:tcPr>
            <w:tcW w:w="642" w:type="pct"/>
            <w:tcBorders>
              <w:top w:val="nil"/>
              <w:left w:val="nil"/>
              <w:bottom w:val="single" w:sz="8" w:space="0" w:color="auto"/>
              <w:right w:val="nil"/>
            </w:tcBorders>
            <w:shd w:val="clear" w:color="000000" w:fill="FFFFFF"/>
            <w:vAlign w:val="bottom"/>
            <w:hideMark/>
          </w:tcPr>
          <w:p w14:paraId="64FF273A"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Voluntary cancellations to deliver overall mitigation global emissions</w:t>
            </w:r>
          </w:p>
        </w:tc>
      </w:tr>
      <w:tr w:rsidR="003670E8" w:rsidRPr="00240542" w14:paraId="6B51332A" w14:textId="77777777" w:rsidTr="00EA194A">
        <w:trPr>
          <w:trHeight w:val="288"/>
        </w:trPr>
        <w:tc>
          <w:tcPr>
            <w:tcW w:w="479" w:type="pct"/>
            <w:tcBorders>
              <w:top w:val="nil"/>
              <w:left w:val="nil"/>
              <w:bottom w:val="nil"/>
              <w:right w:val="nil"/>
            </w:tcBorders>
            <w:shd w:val="clear" w:color="000000" w:fill="FFFFFF"/>
            <w:vAlign w:val="bottom"/>
            <w:hideMark/>
          </w:tcPr>
          <w:p w14:paraId="6C42FEEC"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01" w:type="pct"/>
            <w:tcBorders>
              <w:top w:val="nil"/>
              <w:left w:val="nil"/>
              <w:bottom w:val="nil"/>
              <w:right w:val="nil"/>
            </w:tcBorders>
            <w:shd w:val="clear" w:color="000000" w:fill="FFFFFF"/>
            <w:vAlign w:val="bottom"/>
            <w:hideMark/>
          </w:tcPr>
          <w:p w14:paraId="613A9A1F"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203770CE"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706" w:type="pct"/>
            <w:tcBorders>
              <w:top w:val="nil"/>
              <w:left w:val="nil"/>
              <w:bottom w:val="nil"/>
              <w:right w:val="nil"/>
            </w:tcBorders>
            <w:shd w:val="clear" w:color="000000" w:fill="FFFFFF"/>
            <w:vAlign w:val="bottom"/>
            <w:hideMark/>
          </w:tcPr>
          <w:p w14:paraId="09EF44A3"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3B28E4BA"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2ADB804C"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41D5BD73"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2" w:type="pct"/>
            <w:tcBorders>
              <w:top w:val="nil"/>
              <w:left w:val="nil"/>
              <w:bottom w:val="nil"/>
              <w:right w:val="nil"/>
            </w:tcBorders>
            <w:shd w:val="clear" w:color="000000" w:fill="FFFFFF"/>
            <w:vAlign w:val="bottom"/>
            <w:hideMark/>
          </w:tcPr>
          <w:p w14:paraId="3FD1B673"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r>
      <w:tr w:rsidR="003670E8" w:rsidRPr="00240542" w14:paraId="10934DB7" w14:textId="77777777" w:rsidTr="00EA194A">
        <w:trPr>
          <w:trHeight w:val="288"/>
        </w:trPr>
        <w:tc>
          <w:tcPr>
            <w:tcW w:w="479" w:type="pct"/>
            <w:tcBorders>
              <w:top w:val="nil"/>
              <w:left w:val="nil"/>
              <w:bottom w:val="nil"/>
              <w:right w:val="nil"/>
            </w:tcBorders>
            <w:shd w:val="clear" w:color="000000" w:fill="FFFFFF"/>
            <w:vAlign w:val="bottom"/>
            <w:hideMark/>
          </w:tcPr>
          <w:p w14:paraId="2524C6D9"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01" w:type="pct"/>
            <w:tcBorders>
              <w:top w:val="nil"/>
              <w:left w:val="nil"/>
              <w:bottom w:val="nil"/>
              <w:right w:val="nil"/>
            </w:tcBorders>
            <w:shd w:val="clear" w:color="000000" w:fill="FFFFFF"/>
            <w:vAlign w:val="bottom"/>
            <w:hideMark/>
          </w:tcPr>
          <w:p w14:paraId="0EED3E9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3E86CC78"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706" w:type="pct"/>
            <w:tcBorders>
              <w:top w:val="nil"/>
              <w:left w:val="nil"/>
              <w:bottom w:val="nil"/>
              <w:right w:val="nil"/>
            </w:tcBorders>
            <w:shd w:val="clear" w:color="000000" w:fill="FFFFFF"/>
            <w:vAlign w:val="bottom"/>
            <w:hideMark/>
          </w:tcPr>
          <w:p w14:paraId="545EF87A"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5A6F34D7"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774AF1BF"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11291DD5"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2" w:type="pct"/>
            <w:tcBorders>
              <w:top w:val="nil"/>
              <w:left w:val="nil"/>
              <w:bottom w:val="nil"/>
              <w:right w:val="nil"/>
            </w:tcBorders>
            <w:shd w:val="clear" w:color="000000" w:fill="FFFFFF"/>
            <w:vAlign w:val="bottom"/>
            <w:hideMark/>
          </w:tcPr>
          <w:p w14:paraId="716A2827"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r>
      <w:tr w:rsidR="003670E8" w:rsidRPr="00240542" w14:paraId="1FBB3498" w14:textId="77777777" w:rsidTr="00EA194A">
        <w:trPr>
          <w:trHeight w:val="288"/>
        </w:trPr>
        <w:tc>
          <w:tcPr>
            <w:tcW w:w="479" w:type="pct"/>
            <w:tcBorders>
              <w:top w:val="nil"/>
              <w:left w:val="nil"/>
              <w:bottom w:val="nil"/>
              <w:right w:val="nil"/>
            </w:tcBorders>
            <w:shd w:val="clear" w:color="000000" w:fill="FFFFFF"/>
            <w:vAlign w:val="bottom"/>
            <w:hideMark/>
          </w:tcPr>
          <w:p w14:paraId="7E192E88"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01" w:type="pct"/>
            <w:tcBorders>
              <w:top w:val="nil"/>
              <w:left w:val="nil"/>
              <w:bottom w:val="nil"/>
              <w:right w:val="nil"/>
            </w:tcBorders>
            <w:shd w:val="clear" w:color="000000" w:fill="FFFFFF"/>
            <w:vAlign w:val="bottom"/>
            <w:hideMark/>
          </w:tcPr>
          <w:p w14:paraId="271B1B6F"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55F826E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706" w:type="pct"/>
            <w:tcBorders>
              <w:top w:val="nil"/>
              <w:left w:val="nil"/>
              <w:bottom w:val="nil"/>
              <w:right w:val="nil"/>
            </w:tcBorders>
            <w:shd w:val="clear" w:color="000000" w:fill="FFFFFF"/>
            <w:vAlign w:val="bottom"/>
            <w:hideMark/>
          </w:tcPr>
          <w:p w14:paraId="2BF91A8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0E7B5FC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2E15E148"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18706365"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2" w:type="pct"/>
            <w:tcBorders>
              <w:top w:val="nil"/>
              <w:left w:val="nil"/>
              <w:bottom w:val="nil"/>
              <w:right w:val="nil"/>
            </w:tcBorders>
            <w:shd w:val="clear" w:color="000000" w:fill="FFFFFF"/>
            <w:vAlign w:val="bottom"/>
            <w:hideMark/>
          </w:tcPr>
          <w:p w14:paraId="2AA1E42C"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r>
      <w:tr w:rsidR="003670E8" w:rsidRPr="00240542" w14:paraId="7AF0BF83" w14:textId="77777777" w:rsidTr="00EA194A">
        <w:trPr>
          <w:trHeight w:val="288"/>
        </w:trPr>
        <w:tc>
          <w:tcPr>
            <w:tcW w:w="479" w:type="pct"/>
            <w:tcBorders>
              <w:top w:val="nil"/>
              <w:left w:val="nil"/>
              <w:bottom w:val="nil"/>
              <w:right w:val="nil"/>
            </w:tcBorders>
            <w:shd w:val="clear" w:color="000000" w:fill="FFFFFF"/>
            <w:vAlign w:val="bottom"/>
            <w:hideMark/>
          </w:tcPr>
          <w:p w14:paraId="6BDD5F11"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01" w:type="pct"/>
            <w:tcBorders>
              <w:top w:val="nil"/>
              <w:left w:val="nil"/>
              <w:bottom w:val="nil"/>
              <w:right w:val="nil"/>
            </w:tcBorders>
            <w:shd w:val="clear" w:color="000000" w:fill="FFFFFF"/>
            <w:vAlign w:val="bottom"/>
            <w:hideMark/>
          </w:tcPr>
          <w:p w14:paraId="269503B1"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3DBB6229"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706" w:type="pct"/>
            <w:tcBorders>
              <w:top w:val="nil"/>
              <w:left w:val="nil"/>
              <w:bottom w:val="nil"/>
              <w:right w:val="nil"/>
            </w:tcBorders>
            <w:shd w:val="clear" w:color="000000" w:fill="FFFFFF"/>
            <w:vAlign w:val="bottom"/>
            <w:hideMark/>
          </w:tcPr>
          <w:p w14:paraId="58B195F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2FD2DAC1"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471EF687"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bottom w:val="nil"/>
              <w:right w:val="nil"/>
            </w:tcBorders>
            <w:shd w:val="clear" w:color="000000" w:fill="FFFFFF"/>
            <w:vAlign w:val="bottom"/>
            <w:hideMark/>
          </w:tcPr>
          <w:p w14:paraId="09E47FC6"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2" w:type="pct"/>
            <w:tcBorders>
              <w:top w:val="nil"/>
              <w:left w:val="nil"/>
              <w:bottom w:val="nil"/>
              <w:right w:val="nil"/>
            </w:tcBorders>
            <w:shd w:val="clear" w:color="000000" w:fill="FFFFFF"/>
            <w:vAlign w:val="bottom"/>
            <w:hideMark/>
          </w:tcPr>
          <w:p w14:paraId="1E068388"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r>
      <w:tr w:rsidR="003670E8" w:rsidRPr="00240542" w14:paraId="597B4068" w14:textId="77777777" w:rsidTr="00EA194A">
        <w:trPr>
          <w:trHeight w:val="288"/>
        </w:trPr>
        <w:tc>
          <w:tcPr>
            <w:tcW w:w="479" w:type="pct"/>
            <w:tcBorders>
              <w:top w:val="nil"/>
              <w:left w:val="nil"/>
              <w:right w:val="nil"/>
            </w:tcBorders>
            <w:shd w:val="clear" w:color="000000" w:fill="FFFFFF"/>
            <w:vAlign w:val="bottom"/>
            <w:hideMark/>
          </w:tcPr>
          <w:p w14:paraId="00EFECE5"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01" w:type="pct"/>
            <w:tcBorders>
              <w:top w:val="nil"/>
              <w:left w:val="nil"/>
              <w:right w:val="nil"/>
            </w:tcBorders>
            <w:shd w:val="clear" w:color="000000" w:fill="FFFFFF"/>
            <w:vAlign w:val="bottom"/>
            <w:hideMark/>
          </w:tcPr>
          <w:p w14:paraId="0F5FBAAD"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right w:val="nil"/>
            </w:tcBorders>
            <w:shd w:val="clear" w:color="000000" w:fill="FFFFFF"/>
            <w:vAlign w:val="bottom"/>
            <w:hideMark/>
          </w:tcPr>
          <w:p w14:paraId="66893C23"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706" w:type="pct"/>
            <w:tcBorders>
              <w:top w:val="nil"/>
              <w:left w:val="nil"/>
              <w:right w:val="nil"/>
            </w:tcBorders>
            <w:shd w:val="clear" w:color="000000" w:fill="FFFFFF"/>
            <w:vAlign w:val="bottom"/>
            <w:hideMark/>
          </w:tcPr>
          <w:p w14:paraId="39D50662"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right w:val="nil"/>
            </w:tcBorders>
            <w:shd w:val="clear" w:color="000000" w:fill="FFFFFF"/>
            <w:vAlign w:val="bottom"/>
            <w:hideMark/>
          </w:tcPr>
          <w:p w14:paraId="3C62C2E8"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right w:val="nil"/>
            </w:tcBorders>
            <w:shd w:val="clear" w:color="000000" w:fill="FFFFFF"/>
            <w:vAlign w:val="bottom"/>
            <w:hideMark/>
          </w:tcPr>
          <w:p w14:paraId="33DC07F0"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3" w:type="pct"/>
            <w:tcBorders>
              <w:top w:val="nil"/>
              <w:left w:val="nil"/>
              <w:right w:val="nil"/>
            </w:tcBorders>
            <w:shd w:val="clear" w:color="000000" w:fill="FFFFFF"/>
            <w:vAlign w:val="bottom"/>
            <w:hideMark/>
          </w:tcPr>
          <w:p w14:paraId="1B294ADF"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c>
          <w:tcPr>
            <w:tcW w:w="642" w:type="pct"/>
            <w:tcBorders>
              <w:top w:val="nil"/>
              <w:left w:val="nil"/>
              <w:right w:val="nil"/>
            </w:tcBorders>
            <w:shd w:val="clear" w:color="000000" w:fill="FFFFFF"/>
            <w:vAlign w:val="bottom"/>
            <w:hideMark/>
          </w:tcPr>
          <w:p w14:paraId="1A2A07D5" w14:textId="77777777" w:rsidR="003670E8" w:rsidRPr="00240542" w:rsidRDefault="003670E8" w:rsidP="00EA194A">
            <w:pPr>
              <w:suppressAutoHyphens w:val="0"/>
              <w:spacing w:line="240" w:lineRule="auto"/>
              <w:jc w:val="center"/>
              <w:rPr>
                <w:rFonts w:eastAsia="Times New Roman"/>
                <w:i/>
                <w:iCs/>
                <w:sz w:val="16"/>
                <w:szCs w:val="16"/>
                <w:lang w:val="en-US"/>
              </w:rPr>
            </w:pPr>
            <w:r w:rsidRPr="00240542">
              <w:rPr>
                <w:rFonts w:eastAsia="Times New Roman"/>
                <w:i/>
                <w:iCs/>
                <w:sz w:val="16"/>
                <w:szCs w:val="16"/>
                <w:lang w:val="en-US"/>
              </w:rPr>
              <w:t> </w:t>
            </w:r>
          </w:p>
        </w:tc>
      </w:tr>
      <w:tr w:rsidR="003670E8" w:rsidRPr="00240542" w14:paraId="1D3717A8" w14:textId="77777777" w:rsidTr="00EA194A">
        <w:trPr>
          <w:trHeight w:val="300"/>
        </w:trPr>
        <w:tc>
          <w:tcPr>
            <w:tcW w:w="479" w:type="pct"/>
            <w:tcBorders>
              <w:top w:val="nil"/>
              <w:left w:val="nil"/>
              <w:bottom w:val="nil"/>
              <w:right w:val="nil"/>
            </w:tcBorders>
            <w:shd w:val="clear" w:color="000000" w:fill="FFFFFF"/>
            <w:noWrap/>
            <w:vAlign w:val="bottom"/>
          </w:tcPr>
          <w:p w14:paraId="6862C14D"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01" w:type="pct"/>
            <w:tcBorders>
              <w:top w:val="nil"/>
              <w:left w:val="nil"/>
              <w:bottom w:val="nil"/>
              <w:right w:val="nil"/>
            </w:tcBorders>
            <w:shd w:val="clear" w:color="000000" w:fill="FFFFFF"/>
            <w:noWrap/>
            <w:vAlign w:val="bottom"/>
          </w:tcPr>
          <w:p w14:paraId="2F9E99EA"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43" w:type="pct"/>
            <w:tcBorders>
              <w:top w:val="nil"/>
              <w:left w:val="nil"/>
              <w:bottom w:val="nil"/>
              <w:right w:val="nil"/>
            </w:tcBorders>
            <w:shd w:val="clear" w:color="000000" w:fill="FFFFFF"/>
            <w:noWrap/>
            <w:vAlign w:val="bottom"/>
          </w:tcPr>
          <w:p w14:paraId="728371E8"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706" w:type="pct"/>
            <w:tcBorders>
              <w:top w:val="nil"/>
              <w:left w:val="nil"/>
              <w:bottom w:val="nil"/>
              <w:right w:val="nil"/>
            </w:tcBorders>
            <w:shd w:val="clear" w:color="000000" w:fill="FFFFFF"/>
            <w:noWrap/>
            <w:vAlign w:val="bottom"/>
          </w:tcPr>
          <w:p w14:paraId="37B5D18F"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43" w:type="pct"/>
            <w:tcBorders>
              <w:top w:val="nil"/>
              <w:left w:val="nil"/>
              <w:bottom w:val="nil"/>
              <w:right w:val="nil"/>
            </w:tcBorders>
            <w:shd w:val="clear" w:color="000000" w:fill="FFFFFF"/>
            <w:noWrap/>
            <w:vAlign w:val="bottom"/>
          </w:tcPr>
          <w:p w14:paraId="55353397"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43" w:type="pct"/>
            <w:tcBorders>
              <w:top w:val="nil"/>
              <w:left w:val="nil"/>
              <w:bottom w:val="nil"/>
              <w:right w:val="nil"/>
            </w:tcBorders>
            <w:shd w:val="clear" w:color="000000" w:fill="FFFFFF"/>
            <w:noWrap/>
            <w:vAlign w:val="bottom"/>
          </w:tcPr>
          <w:p w14:paraId="7508FD1F"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43" w:type="pct"/>
            <w:tcBorders>
              <w:top w:val="nil"/>
              <w:left w:val="nil"/>
              <w:bottom w:val="nil"/>
              <w:right w:val="nil"/>
            </w:tcBorders>
            <w:shd w:val="clear" w:color="000000" w:fill="FFFFFF"/>
            <w:noWrap/>
            <w:vAlign w:val="bottom"/>
          </w:tcPr>
          <w:p w14:paraId="74E38339"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c>
          <w:tcPr>
            <w:tcW w:w="642" w:type="pct"/>
            <w:tcBorders>
              <w:top w:val="nil"/>
              <w:left w:val="nil"/>
              <w:bottom w:val="nil"/>
              <w:right w:val="nil"/>
            </w:tcBorders>
            <w:shd w:val="clear" w:color="000000" w:fill="FFFFFF"/>
            <w:noWrap/>
            <w:vAlign w:val="bottom"/>
          </w:tcPr>
          <w:p w14:paraId="572E1060" w14:textId="77777777" w:rsidR="003670E8" w:rsidRPr="00240542" w:rsidRDefault="003670E8" w:rsidP="00EA194A">
            <w:pPr>
              <w:suppressAutoHyphens w:val="0"/>
              <w:spacing w:line="240" w:lineRule="auto"/>
              <w:rPr>
                <w:rFonts w:ascii="Calibri" w:eastAsia="Times New Roman" w:hAnsi="Calibri" w:cs="Calibri"/>
                <w:sz w:val="22"/>
                <w:szCs w:val="22"/>
                <w:lang w:val="en-US"/>
              </w:rPr>
            </w:pPr>
          </w:p>
        </w:tc>
      </w:tr>
      <w:tr w:rsidR="003670E8" w:rsidRPr="00240542" w14:paraId="2774CBE0" w14:textId="77777777" w:rsidTr="00EA194A">
        <w:trPr>
          <w:trHeight w:val="300"/>
        </w:trPr>
        <w:tc>
          <w:tcPr>
            <w:tcW w:w="479" w:type="pct"/>
            <w:tcBorders>
              <w:top w:val="single" w:sz="4" w:space="0" w:color="auto"/>
              <w:left w:val="nil"/>
              <w:bottom w:val="single" w:sz="12" w:space="0" w:color="auto"/>
              <w:right w:val="nil"/>
            </w:tcBorders>
            <w:shd w:val="clear" w:color="000000" w:fill="FFFFFF"/>
            <w:noWrap/>
            <w:vAlign w:val="center"/>
          </w:tcPr>
          <w:p w14:paraId="65934745" w14:textId="77777777" w:rsidR="003670E8" w:rsidRPr="00240542" w:rsidRDefault="003670E8" w:rsidP="00EA194A">
            <w:pPr>
              <w:suppressAutoHyphens w:val="0"/>
              <w:spacing w:line="240" w:lineRule="auto"/>
              <w:jc w:val="right"/>
              <w:rPr>
                <w:rFonts w:eastAsia="Times New Roman"/>
                <w:lang w:val="en-US"/>
              </w:rPr>
            </w:pPr>
          </w:p>
        </w:tc>
        <w:tc>
          <w:tcPr>
            <w:tcW w:w="601" w:type="pct"/>
            <w:tcBorders>
              <w:top w:val="single" w:sz="4" w:space="0" w:color="auto"/>
              <w:left w:val="nil"/>
              <w:bottom w:val="single" w:sz="12" w:space="0" w:color="auto"/>
              <w:right w:val="nil"/>
            </w:tcBorders>
            <w:shd w:val="clear" w:color="000000" w:fill="FFFFFF"/>
            <w:noWrap/>
            <w:vAlign w:val="center"/>
          </w:tcPr>
          <w:p w14:paraId="5E220798" w14:textId="77777777" w:rsidR="003670E8" w:rsidRPr="00240542" w:rsidRDefault="003670E8" w:rsidP="00EA194A">
            <w:pPr>
              <w:suppressAutoHyphens w:val="0"/>
              <w:spacing w:line="240" w:lineRule="auto"/>
              <w:jc w:val="right"/>
              <w:rPr>
                <w:rFonts w:eastAsia="Times New Roman"/>
                <w:lang w:val="en-US"/>
              </w:rPr>
            </w:pPr>
          </w:p>
        </w:tc>
        <w:tc>
          <w:tcPr>
            <w:tcW w:w="643" w:type="pct"/>
            <w:tcBorders>
              <w:top w:val="single" w:sz="4" w:space="0" w:color="auto"/>
              <w:left w:val="nil"/>
              <w:bottom w:val="single" w:sz="12" w:space="0" w:color="auto"/>
              <w:right w:val="nil"/>
            </w:tcBorders>
            <w:shd w:val="clear" w:color="000000" w:fill="FFFFFF"/>
            <w:noWrap/>
            <w:vAlign w:val="center"/>
          </w:tcPr>
          <w:p w14:paraId="5A8A30C7" w14:textId="77777777" w:rsidR="003670E8" w:rsidRPr="00240542" w:rsidRDefault="003670E8" w:rsidP="00EA194A">
            <w:pPr>
              <w:suppressAutoHyphens w:val="0"/>
              <w:spacing w:line="240" w:lineRule="auto"/>
              <w:jc w:val="right"/>
              <w:rPr>
                <w:rFonts w:eastAsia="Times New Roman"/>
                <w:lang w:val="en-US"/>
              </w:rPr>
            </w:pPr>
          </w:p>
        </w:tc>
        <w:tc>
          <w:tcPr>
            <w:tcW w:w="706" w:type="pct"/>
            <w:tcBorders>
              <w:top w:val="single" w:sz="4" w:space="0" w:color="auto"/>
              <w:left w:val="nil"/>
              <w:bottom w:val="single" w:sz="12" w:space="0" w:color="auto"/>
              <w:right w:val="nil"/>
            </w:tcBorders>
            <w:shd w:val="clear" w:color="000000" w:fill="FFFFFF"/>
            <w:noWrap/>
            <w:vAlign w:val="center"/>
          </w:tcPr>
          <w:p w14:paraId="027E24FA" w14:textId="77777777" w:rsidR="003670E8" w:rsidRPr="00240542" w:rsidRDefault="003670E8" w:rsidP="00EA194A">
            <w:pPr>
              <w:suppressAutoHyphens w:val="0"/>
              <w:spacing w:line="240" w:lineRule="auto"/>
              <w:jc w:val="right"/>
              <w:rPr>
                <w:rFonts w:eastAsia="Times New Roman"/>
                <w:lang w:val="en-US"/>
              </w:rPr>
            </w:pPr>
          </w:p>
        </w:tc>
        <w:tc>
          <w:tcPr>
            <w:tcW w:w="643" w:type="pct"/>
            <w:tcBorders>
              <w:top w:val="single" w:sz="4" w:space="0" w:color="auto"/>
              <w:left w:val="nil"/>
              <w:bottom w:val="single" w:sz="12" w:space="0" w:color="auto"/>
              <w:right w:val="nil"/>
            </w:tcBorders>
            <w:shd w:val="clear" w:color="000000" w:fill="FFFFFF"/>
            <w:noWrap/>
            <w:vAlign w:val="center"/>
          </w:tcPr>
          <w:p w14:paraId="3C5D46C3" w14:textId="77777777" w:rsidR="003670E8" w:rsidRPr="00240542" w:rsidRDefault="003670E8" w:rsidP="00EA194A">
            <w:pPr>
              <w:suppressAutoHyphens w:val="0"/>
              <w:spacing w:line="240" w:lineRule="auto"/>
              <w:jc w:val="right"/>
              <w:rPr>
                <w:rFonts w:eastAsia="Times New Roman"/>
                <w:lang w:val="en-US"/>
              </w:rPr>
            </w:pPr>
          </w:p>
        </w:tc>
        <w:tc>
          <w:tcPr>
            <w:tcW w:w="643" w:type="pct"/>
            <w:tcBorders>
              <w:top w:val="single" w:sz="4" w:space="0" w:color="auto"/>
              <w:left w:val="nil"/>
              <w:bottom w:val="single" w:sz="12" w:space="0" w:color="auto"/>
              <w:right w:val="nil"/>
            </w:tcBorders>
            <w:shd w:val="clear" w:color="000000" w:fill="FFFFFF"/>
            <w:noWrap/>
            <w:vAlign w:val="center"/>
          </w:tcPr>
          <w:p w14:paraId="61708CAB" w14:textId="77777777" w:rsidR="003670E8" w:rsidRPr="00240542" w:rsidRDefault="003670E8" w:rsidP="00EA194A">
            <w:pPr>
              <w:suppressAutoHyphens w:val="0"/>
              <w:spacing w:line="240" w:lineRule="auto"/>
              <w:jc w:val="right"/>
              <w:rPr>
                <w:rFonts w:eastAsia="Times New Roman"/>
                <w:lang w:val="en-US"/>
              </w:rPr>
            </w:pPr>
          </w:p>
        </w:tc>
        <w:tc>
          <w:tcPr>
            <w:tcW w:w="643" w:type="pct"/>
            <w:tcBorders>
              <w:top w:val="single" w:sz="4" w:space="0" w:color="auto"/>
              <w:left w:val="nil"/>
              <w:bottom w:val="single" w:sz="12" w:space="0" w:color="auto"/>
              <w:right w:val="nil"/>
            </w:tcBorders>
            <w:shd w:val="clear" w:color="000000" w:fill="FFFFFF"/>
            <w:noWrap/>
            <w:vAlign w:val="center"/>
          </w:tcPr>
          <w:p w14:paraId="35D16732" w14:textId="77777777" w:rsidR="003670E8" w:rsidRPr="00240542" w:rsidRDefault="003670E8" w:rsidP="00EA194A">
            <w:pPr>
              <w:suppressAutoHyphens w:val="0"/>
              <w:spacing w:line="240" w:lineRule="auto"/>
              <w:jc w:val="right"/>
              <w:rPr>
                <w:rFonts w:eastAsia="Times New Roman"/>
                <w:lang w:val="en-US"/>
              </w:rPr>
            </w:pPr>
          </w:p>
        </w:tc>
        <w:tc>
          <w:tcPr>
            <w:tcW w:w="642" w:type="pct"/>
            <w:tcBorders>
              <w:top w:val="single" w:sz="4" w:space="0" w:color="auto"/>
              <w:left w:val="nil"/>
              <w:bottom w:val="single" w:sz="12" w:space="0" w:color="auto"/>
              <w:right w:val="nil"/>
            </w:tcBorders>
            <w:shd w:val="clear" w:color="000000" w:fill="FFFFFF"/>
            <w:noWrap/>
            <w:vAlign w:val="center"/>
          </w:tcPr>
          <w:p w14:paraId="3D70B24B" w14:textId="77777777" w:rsidR="003670E8" w:rsidRPr="00240542" w:rsidRDefault="003670E8" w:rsidP="00EA194A">
            <w:pPr>
              <w:suppressAutoHyphens w:val="0"/>
              <w:spacing w:line="240" w:lineRule="auto"/>
              <w:jc w:val="right"/>
              <w:rPr>
                <w:rFonts w:eastAsia="Times New Roman"/>
                <w:lang w:val="en-US"/>
              </w:rPr>
            </w:pPr>
          </w:p>
        </w:tc>
      </w:tr>
    </w:tbl>
    <w:p w14:paraId="46BE280B" w14:textId="77777777" w:rsidR="003670E8" w:rsidRPr="00DC26FE" w:rsidRDefault="003670E8" w:rsidP="003670E8">
      <w:pPr>
        <w:rPr>
          <w:lang w:val="en-US"/>
        </w:rPr>
      </w:pPr>
    </w:p>
    <w:p w14:paraId="0812F568" w14:textId="77777777" w:rsidR="003670E8" w:rsidRPr="00677E16" w:rsidRDefault="003670E8" w:rsidP="003670E8">
      <w:pPr>
        <w:suppressAutoHyphens w:val="0"/>
        <w:spacing w:line="240" w:lineRule="auto"/>
      </w:pPr>
      <w:r w:rsidRPr="00677E16">
        <w:rPr>
          <w:b/>
          <w:i/>
          <w:sz w:val="28"/>
        </w:rPr>
        <w:t>]</w:t>
      </w:r>
    </w:p>
    <w:p w14:paraId="5A5D4E3A" w14:textId="77777777" w:rsidR="003670E8" w:rsidRDefault="003670E8" w:rsidP="003670E8">
      <w:pPr>
        <w:suppressAutoHyphens w:val="0"/>
        <w:spacing w:line="240" w:lineRule="auto"/>
      </w:pPr>
    </w:p>
    <w:p w14:paraId="488EF0CB" w14:textId="77777777" w:rsidR="003670E8" w:rsidRDefault="003670E8" w:rsidP="003670E8">
      <w:pPr>
        <w:suppressAutoHyphens w:val="0"/>
        <w:spacing w:line="240" w:lineRule="auto"/>
      </w:pPr>
    </w:p>
    <w:tbl>
      <w:tblPr>
        <w:tblpPr w:leftFromText="180" w:rightFromText="180" w:horzAnchor="page" w:tblpX="2587" w:tblpY="741"/>
        <w:tblW w:w="12796" w:type="dxa"/>
        <w:tblLook w:val="04A0" w:firstRow="1" w:lastRow="0" w:firstColumn="1" w:lastColumn="0" w:noHBand="0" w:noVBand="1"/>
      </w:tblPr>
      <w:tblGrid>
        <w:gridCol w:w="993"/>
        <w:gridCol w:w="1477"/>
        <w:gridCol w:w="266"/>
        <w:gridCol w:w="2509"/>
        <w:gridCol w:w="1843"/>
        <w:gridCol w:w="283"/>
        <w:gridCol w:w="1701"/>
        <w:gridCol w:w="1843"/>
        <w:gridCol w:w="1881"/>
      </w:tblGrid>
      <w:tr w:rsidR="003670E8" w:rsidRPr="007B0DB5" w14:paraId="4AC06FBE" w14:textId="77777777" w:rsidTr="00EA194A">
        <w:trPr>
          <w:trHeight w:val="300"/>
        </w:trPr>
        <w:tc>
          <w:tcPr>
            <w:tcW w:w="2470" w:type="dxa"/>
            <w:gridSpan w:val="2"/>
            <w:tcBorders>
              <w:top w:val="single" w:sz="8" w:space="0" w:color="auto"/>
              <w:left w:val="nil"/>
              <w:bottom w:val="single" w:sz="8" w:space="0" w:color="auto"/>
              <w:right w:val="nil"/>
            </w:tcBorders>
            <w:shd w:val="clear" w:color="000000" w:fill="FFFFFF"/>
            <w:vAlign w:val="bottom"/>
            <w:hideMark/>
          </w:tcPr>
          <w:p w14:paraId="2EB880E7"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lastRenderedPageBreak/>
              <w:t>Transfers</w:t>
            </w:r>
          </w:p>
        </w:tc>
        <w:tc>
          <w:tcPr>
            <w:tcW w:w="266" w:type="dxa"/>
            <w:tcBorders>
              <w:top w:val="single" w:sz="6" w:space="0" w:color="auto"/>
              <w:left w:val="nil"/>
              <w:bottom w:val="nil"/>
              <w:right w:val="nil"/>
            </w:tcBorders>
            <w:shd w:val="clear" w:color="000000" w:fill="FFFFFF"/>
            <w:vAlign w:val="bottom"/>
            <w:hideMark/>
          </w:tcPr>
          <w:p w14:paraId="7735D9A2" w14:textId="77777777" w:rsidR="003670E8" w:rsidRPr="007B0DB5" w:rsidRDefault="003670E8" w:rsidP="00EA194A">
            <w:pPr>
              <w:suppressAutoHyphens w:val="0"/>
              <w:spacing w:line="240" w:lineRule="auto"/>
              <w:rPr>
                <w:rFonts w:eastAsia="Times New Roman"/>
                <w:i/>
                <w:iCs/>
                <w:sz w:val="16"/>
                <w:szCs w:val="16"/>
                <w:lang w:val="en-US"/>
              </w:rPr>
            </w:pPr>
            <w:r w:rsidRPr="007B0DB5">
              <w:rPr>
                <w:rFonts w:eastAsia="Times New Roman"/>
                <w:i/>
                <w:iCs/>
                <w:sz w:val="16"/>
                <w:szCs w:val="16"/>
                <w:lang w:val="en-US"/>
              </w:rPr>
              <w:t> </w:t>
            </w:r>
          </w:p>
        </w:tc>
        <w:tc>
          <w:tcPr>
            <w:tcW w:w="4352" w:type="dxa"/>
            <w:gridSpan w:val="2"/>
            <w:tcBorders>
              <w:top w:val="single" w:sz="8" w:space="0" w:color="auto"/>
              <w:left w:val="nil"/>
              <w:bottom w:val="single" w:sz="8" w:space="0" w:color="auto"/>
              <w:right w:val="nil"/>
            </w:tcBorders>
            <w:shd w:val="clear" w:color="000000" w:fill="FFFFFF"/>
            <w:vAlign w:val="bottom"/>
            <w:hideMark/>
          </w:tcPr>
          <w:p w14:paraId="67EB1323"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Uses</w:t>
            </w:r>
          </w:p>
        </w:tc>
        <w:tc>
          <w:tcPr>
            <w:tcW w:w="283" w:type="dxa"/>
            <w:tcBorders>
              <w:top w:val="single" w:sz="8" w:space="0" w:color="auto"/>
              <w:left w:val="nil"/>
              <w:bottom w:val="single" w:sz="8" w:space="0" w:color="auto"/>
              <w:right w:val="nil"/>
            </w:tcBorders>
            <w:shd w:val="clear" w:color="000000" w:fill="FFFFFF"/>
          </w:tcPr>
          <w:p w14:paraId="404A0626"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5425" w:type="dxa"/>
            <w:gridSpan w:val="3"/>
            <w:tcBorders>
              <w:top w:val="single" w:sz="8" w:space="0" w:color="auto"/>
              <w:left w:val="nil"/>
              <w:bottom w:val="single" w:sz="8" w:space="0" w:color="auto"/>
              <w:right w:val="nil"/>
            </w:tcBorders>
            <w:shd w:val="clear" w:color="000000" w:fill="FFFFFF"/>
            <w:vAlign w:val="bottom"/>
          </w:tcPr>
          <w:p w14:paraId="72DAB0E0" w14:textId="77777777" w:rsidR="003670E8" w:rsidRPr="007B0DB5"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Cancellations</w:t>
            </w:r>
          </w:p>
        </w:tc>
      </w:tr>
      <w:tr w:rsidR="003670E8" w:rsidRPr="007B0DB5" w14:paraId="1CDD6399" w14:textId="77777777" w:rsidTr="00EA194A">
        <w:trPr>
          <w:trHeight w:val="870"/>
        </w:trPr>
        <w:tc>
          <w:tcPr>
            <w:tcW w:w="993" w:type="dxa"/>
            <w:tcBorders>
              <w:top w:val="nil"/>
              <w:left w:val="nil"/>
              <w:bottom w:val="single" w:sz="8" w:space="0" w:color="auto"/>
              <w:right w:val="nil"/>
            </w:tcBorders>
            <w:shd w:val="clear" w:color="000000" w:fill="FFFFFF"/>
            <w:vAlign w:val="bottom"/>
            <w:hideMark/>
          </w:tcPr>
          <w:p w14:paraId="538BBB4B"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Transfers to another Party</w:t>
            </w:r>
          </w:p>
        </w:tc>
        <w:tc>
          <w:tcPr>
            <w:tcW w:w="1477" w:type="dxa"/>
            <w:tcBorders>
              <w:top w:val="nil"/>
              <w:left w:val="nil"/>
              <w:bottom w:val="single" w:sz="8" w:space="0" w:color="auto"/>
              <w:right w:val="nil"/>
            </w:tcBorders>
            <w:shd w:val="clear" w:color="000000" w:fill="FFFFFF"/>
            <w:vAlign w:val="bottom"/>
            <w:hideMark/>
          </w:tcPr>
          <w:p w14:paraId="329CFBF9"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Voluntary transfers to the Adaptation Fund</w:t>
            </w:r>
          </w:p>
        </w:tc>
        <w:tc>
          <w:tcPr>
            <w:tcW w:w="266" w:type="dxa"/>
            <w:tcBorders>
              <w:top w:val="nil"/>
              <w:left w:val="nil"/>
              <w:bottom w:val="single" w:sz="8" w:space="0" w:color="auto"/>
              <w:right w:val="nil"/>
            </w:tcBorders>
            <w:shd w:val="clear" w:color="000000" w:fill="FFFFFF"/>
            <w:vAlign w:val="bottom"/>
            <w:hideMark/>
          </w:tcPr>
          <w:p w14:paraId="4B7B3D1F"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single" w:sz="8" w:space="0" w:color="auto"/>
              <w:right w:val="nil"/>
            </w:tcBorders>
            <w:shd w:val="clear" w:color="000000" w:fill="FFFFFF"/>
            <w:vAlign w:val="bottom"/>
            <w:hideMark/>
          </w:tcPr>
          <w:p w14:paraId="51E4BAE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Uses towards achievement of nationally determined contributions</w:t>
            </w:r>
          </w:p>
        </w:tc>
        <w:tc>
          <w:tcPr>
            <w:tcW w:w="1843" w:type="dxa"/>
            <w:tcBorders>
              <w:top w:val="nil"/>
              <w:left w:val="nil"/>
              <w:bottom w:val="single" w:sz="8" w:space="0" w:color="auto"/>
              <w:right w:val="nil"/>
            </w:tcBorders>
            <w:shd w:val="clear" w:color="000000" w:fill="FFFFFF"/>
            <w:vAlign w:val="bottom"/>
            <w:hideMark/>
          </w:tcPr>
          <w:p w14:paraId="4EE33EA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Uses towards international mitigation purposes</w:t>
            </w:r>
          </w:p>
        </w:tc>
        <w:tc>
          <w:tcPr>
            <w:tcW w:w="283" w:type="dxa"/>
            <w:tcBorders>
              <w:top w:val="nil"/>
              <w:left w:val="nil"/>
              <w:bottom w:val="single" w:sz="8" w:space="0" w:color="auto"/>
              <w:right w:val="nil"/>
            </w:tcBorders>
            <w:shd w:val="clear" w:color="000000" w:fill="FFFFFF"/>
          </w:tcPr>
          <w:p w14:paraId="7EE78DD7"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single" w:sz="8" w:space="0" w:color="auto"/>
              <w:right w:val="nil"/>
            </w:tcBorders>
            <w:shd w:val="clear" w:color="000000" w:fill="FFFFFF"/>
            <w:vAlign w:val="bottom"/>
          </w:tcPr>
          <w:p w14:paraId="14397701" w14:textId="77777777" w:rsidR="003670E8" w:rsidRPr="007B0DB5"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Cancellations towards other purposes</w:t>
            </w:r>
          </w:p>
        </w:tc>
        <w:tc>
          <w:tcPr>
            <w:tcW w:w="1843" w:type="dxa"/>
            <w:tcBorders>
              <w:top w:val="nil"/>
              <w:left w:val="nil"/>
              <w:bottom w:val="single" w:sz="8" w:space="0" w:color="auto"/>
              <w:right w:val="nil"/>
            </w:tcBorders>
            <w:shd w:val="clear" w:color="000000" w:fill="FFFFFF"/>
            <w:vAlign w:val="bottom"/>
          </w:tcPr>
          <w:p w14:paraId="7B972B9D" w14:textId="77777777" w:rsidR="003670E8" w:rsidRPr="007B0DB5"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Cancellations to compensate for removals</w:t>
            </w:r>
          </w:p>
        </w:tc>
        <w:tc>
          <w:tcPr>
            <w:tcW w:w="1881" w:type="dxa"/>
            <w:tcBorders>
              <w:top w:val="nil"/>
              <w:left w:val="nil"/>
              <w:bottom w:val="single" w:sz="8" w:space="0" w:color="auto"/>
              <w:right w:val="nil"/>
            </w:tcBorders>
            <w:shd w:val="clear" w:color="000000" w:fill="FFFFFF"/>
            <w:vAlign w:val="bottom"/>
          </w:tcPr>
          <w:p w14:paraId="71712676" w14:textId="77777777" w:rsidR="003670E8" w:rsidRPr="007B0DB5"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Cancellations to compensate for revocations or changes to authorization</w:t>
            </w:r>
          </w:p>
        </w:tc>
      </w:tr>
      <w:tr w:rsidR="003670E8" w:rsidRPr="007B0DB5" w14:paraId="4C792344" w14:textId="77777777" w:rsidTr="00EA194A">
        <w:trPr>
          <w:trHeight w:val="290"/>
        </w:trPr>
        <w:tc>
          <w:tcPr>
            <w:tcW w:w="993" w:type="dxa"/>
            <w:tcBorders>
              <w:top w:val="nil"/>
              <w:left w:val="nil"/>
              <w:bottom w:val="nil"/>
              <w:right w:val="nil"/>
            </w:tcBorders>
            <w:shd w:val="clear" w:color="000000" w:fill="FFFFFF"/>
            <w:vAlign w:val="bottom"/>
            <w:hideMark/>
          </w:tcPr>
          <w:p w14:paraId="74429941"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477" w:type="dxa"/>
            <w:tcBorders>
              <w:top w:val="nil"/>
              <w:left w:val="nil"/>
              <w:bottom w:val="nil"/>
              <w:right w:val="nil"/>
            </w:tcBorders>
            <w:shd w:val="clear" w:color="000000" w:fill="FFFFFF"/>
            <w:vAlign w:val="bottom"/>
            <w:hideMark/>
          </w:tcPr>
          <w:p w14:paraId="39FE470D"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66" w:type="dxa"/>
            <w:tcBorders>
              <w:top w:val="nil"/>
              <w:left w:val="nil"/>
              <w:bottom w:val="nil"/>
              <w:right w:val="nil"/>
            </w:tcBorders>
            <w:shd w:val="clear" w:color="000000" w:fill="FFFFFF"/>
            <w:vAlign w:val="bottom"/>
            <w:hideMark/>
          </w:tcPr>
          <w:p w14:paraId="6AF8A20D"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nil"/>
              <w:right w:val="nil"/>
            </w:tcBorders>
            <w:shd w:val="clear" w:color="000000" w:fill="FFFFFF"/>
            <w:vAlign w:val="bottom"/>
            <w:hideMark/>
          </w:tcPr>
          <w:p w14:paraId="5F6DAEE1"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843" w:type="dxa"/>
            <w:tcBorders>
              <w:top w:val="nil"/>
              <w:left w:val="nil"/>
              <w:bottom w:val="nil"/>
              <w:right w:val="nil"/>
            </w:tcBorders>
            <w:shd w:val="clear" w:color="000000" w:fill="FFFFFF"/>
            <w:vAlign w:val="bottom"/>
            <w:hideMark/>
          </w:tcPr>
          <w:p w14:paraId="0DDAC5C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83" w:type="dxa"/>
            <w:tcBorders>
              <w:top w:val="nil"/>
              <w:left w:val="nil"/>
              <w:bottom w:val="nil"/>
              <w:right w:val="nil"/>
            </w:tcBorders>
            <w:shd w:val="clear" w:color="000000" w:fill="FFFFFF"/>
          </w:tcPr>
          <w:p w14:paraId="1CE24D8B"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nil"/>
              <w:right w:val="nil"/>
            </w:tcBorders>
            <w:shd w:val="clear" w:color="000000" w:fill="FFFFFF"/>
          </w:tcPr>
          <w:p w14:paraId="30C596B4"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43" w:type="dxa"/>
            <w:tcBorders>
              <w:top w:val="nil"/>
              <w:left w:val="nil"/>
              <w:bottom w:val="nil"/>
              <w:right w:val="nil"/>
            </w:tcBorders>
            <w:shd w:val="clear" w:color="000000" w:fill="FFFFFF"/>
          </w:tcPr>
          <w:p w14:paraId="27333CA0"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81" w:type="dxa"/>
            <w:tcBorders>
              <w:top w:val="nil"/>
              <w:left w:val="nil"/>
              <w:bottom w:val="nil"/>
              <w:right w:val="nil"/>
            </w:tcBorders>
            <w:shd w:val="clear" w:color="000000" w:fill="FFFFFF"/>
          </w:tcPr>
          <w:p w14:paraId="73A999AB" w14:textId="77777777" w:rsidR="003670E8" w:rsidRPr="007B0DB5" w:rsidRDefault="003670E8" w:rsidP="00EA194A">
            <w:pPr>
              <w:suppressAutoHyphens w:val="0"/>
              <w:spacing w:line="240" w:lineRule="auto"/>
              <w:jc w:val="center"/>
              <w:rPr>
                <w:rFonts w:eastAsia="Times New Roman"/>
                <w:i/>
                <w:iCs/>
                <w:sz w:val="16"/>
                <w:szCs w:val="16"/>
                <w:lang w:val="en-US"/>
              </w:rPr>
            </w:pPr>
          </w:p>
        </w:tc>
      </w:tr>
      <w:tr w:rsidR="003670E8" w:rsidRPr="007B0DB5" w14:paraId="21B58182" w14:textId="77777777" w:rsidTr="00EA194A">
        <w:trPr>
          <w:trHeight w:val="290"/>
        </w:trPr>
        <w:tc>
          <w:tcPr>
            <w:tcW w:w="993" w:type="dxa"/>
            <w:tcBorders>
              <w:top w:val="nil"/>
              <w:left w:val="nil"/>
              <w:bottom w:val="nil"/>
              <w:right w:val="nil"/>
            </w:tcBorders>
            <w:shd w:val="clear" w:color="000000" w:fill="FFFFFF"/>
            <w:vAlign w:val="bottom"/>
            <w:hideMark/>
          </w:tcPr>
          <w:p w14:paraId="5E4AC224"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477" w:type="dxa"/>
            <w:tcBorders>
              <w:top w:val="nil"/>
              <w:left w:val="nil"/>
              <w:bottom w:val="nil"/>
              <w:right w:val="nil"/>
            </w:tcBorders>
            <w:shd w:val="clear" w:color="000000" w:fill="FFFFFF"/>
            <w:vAlign w:val="bottom"/>
            <w:hideMark/>
          </w:tcPr>
          <w:p w14:paraId="7506C221"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66" w:type="dxa"/>
            <w:tcBorders>
              <w:top w:val="nil"/>
              <w:left w:val="nil"/>
              <w:bottom w:val="nil"/>
              <w:right w:val="nil"/>
            </w:tcBorders>
            <w:shd w:val="clear" w:color="000000" w:fill="FFFFFF"/>
            <w:vAlign w:val="bottom"/>
            <w:hideMark/>
          </w:tcPr>
          <w:p w14:paraId="1F527123"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nil"/>
              <w:right w:val="nil"/>
            </w:tcBorders>
            <w:shd w:val="clear" w:color="000000" w:fill="FFFFFF"/>
            <w:vAlign w:val="bottom"/>
            <w:hideMark/>
          </w:tcPr>
          <w:p w14:paraId="38CB1D03"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843" w:type="dxa"/>
            <w:tcBorders>
              <w:top w:val="nil"/>
              <w:left w:val="nil"/>
              <w:bottom w:val="nil"/>
              <w:right w:val="nil"/>
            </w:tcBorders>
            <w:shd w:val="clear" w:color="000000" w:fill="FFFFFF"/>
            <w:vAlign w:val="bottom"/>
            <w:hideMark/>
          </w:tcPr>
          <w:p w14:paraId="6324D900"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83" w:type="dxa"/>
            <w:tcBorders>
              <w:top w:val="nil"/>
              <w:left w:val="nil"/>
              <w:bottom w:val="nil"/>
              <w:right w:val="nil"/>
            </w:tcBorders>
            <w:shd w:val="clear" w:color="000000" w:fill="FFFFFF"/>
          </w:tcPr>
          <w:p w14:paraId="17A5B7D5"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nil"/>
              <w:right w:val="nil"/>
            </w:tcBorders>
            <w:shd w:val="clear" w:color="000000" w:fill="FFFFFF"/>
          </w:tcPr>
          <w:p w14:paraId="4B8A3042"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43" w:type="dxa"/>
            <w:tcBorders>
              <w:top w:val="nil"/>
              <w:left w:val="nil"/>
              <w:bottom w:val="nil"/>
              <w:right w:val="nil"/>
            </w:tcBorders>
            <w:shd w:val="clear" w:color="000000" w:fill="FFFFFF"/>
          </w:tcPr>
          <w:p w14:paraId="0F6A3191"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81" w:type="dxa"/>
            <w:tcBorders>
              <w:top w:val="nil"/>
              <w:left w:val="nil"/>
              <w:bottom w:val="nil"/>
              <w:right w:val="nil"/>
            </w:tcBorders>
            <w:shd w:val="clear" w:color="000000" w:fill="FFFFFF"/>
          </w:tcPr>
          <w:p w14:paraId="77FC3621" w14:textId="77777777" w:rsidR="003670E8" w:rsidRPr="007B0DB5" w:rsidRDefault="003670E8" w:rsidP="00EA194A">
            <w:pPr>
              <w:suppressAutoHyphens w:val="0"/>
              <w:spacing w:line="240" w:lineRule="auto"/>
              <w:jc w:val="center"/>
              <w:rPr>
                <w:rFonts w:eastAsia="Times New Roman"/>
                <w:i/>
                <w:iCs/>
                <w:sz w:val="16"/>
                <w:szCs w:val="16"/>
                <w:lang w:val="en-US"/>
              </w:rPr>
            </w:pPr>
          </w:p>
        </w:tc>
      </w:tr>
      <w:tr w:rsidR="003670E8" w:rsidRPr="007B0DB5" w14:paraId="39451374" w14:textId="77777777" w:rsidTr="00EA194A">
        <w:trPr>
          <w:trHeight w:val="290"/>
        </w:trPr>
        <w:tc>
          <w:tcPr>
            <w:tcW w:w="993" w:type="dxa"/>
            <w:tcBorders>
              <w:top w:val="nil"/>
              <w:left w:val="nil"/>
              <w:bottom w:val="nil"/>
              <w:right w:val="nil"/>
            </w:tcBorders>
            <w:shd w:val="clear" w:color="000000" w:fill="FFFFFF"/>
            <w:vAlign w:val="bottom"/>
            <w:hideMark/>
          </w:tcPr>
          <w:p w14:paraId="4B3612E5"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477" w:type="dxa"/>
            <w:tcBorders>
              <w:top w:val="nil"/>
              <w:left w:val="nil"/>
              <w:bottom w:val="nil"/>
              <w:right w:val="nil"/>
            </w:tcBorders>
            <w:shd w:val="clear" w:color="000000" w:fill="FFFFFF"/>
            <w:vAlign w:val="bottom"/>
            <w:hideMark/>
          </w:tcPr>
          <w:p w14:paraId="747FBDA5"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66" w:type="dxa"/>
            <w:tcBorders>
              <w:top w:val="nil"/>
              <w:left w:val="nil"/>
              <w:bottom w:val="nil"/>
              <w:right w:val="nil"/>
            </w:tcBorders>
            <w:shd w:val="clear" w:color="000000" w:fill="FFFFFF"/>
            <w:vAlign w:val="bottom"/>
            <w:hideMark/>
          </w:tcPr>
          <w:p w14:paraId="639B56B4"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nil"/>
              <w:right w:val="nil"/>
            </w:tcBorders>
            <w:shd w:val="clear" w:color="000000" w:fill="FFFFFF"/>
            <w:vAlign w:val="bottom"/>
            <w:hideMark/>
          </w:tcPr>
          <w:p w14:paraId="595A29A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843" w:type="dxa"/>
            <w:tcBorders>
              <w:top w:val="nil"/>
              <w:left w:val="nil"/>
              <w:bottom w:val="nil"/>
              <w:right w:val="nil"/>
            </w:tcBorders>
            <w:shd w:val="clear" w:color="000000" w:fill="FFFFFF"/>
            <w:vAlign w:val="bottom"/>
            <w:hideMark/>
          </w:tcPr>
          <w:p w14:paraId="72FCEBF1"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83" w:type="dxa"/>
            <w:tcBorders>
              <w:top w:val="nil"/>
              <w:left w:val="nil"/>
              <w:bottom w:val="nil"/>
              <w:right w:val="nil"/>
            </w:tcBorders>
            <w:shd w:val="clear" w:color="000000" w:fill="FFFFFF"/>
          </w:tcPr>
          <w:p w14:paraId="6BF47B8D"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nil"/>
              <w:right w:val="nil"/>
            </w:tcBorders>
            <w:shd w:val="clear" w:color="000000" w:fill="FFFFFF"/>
          </w:tcPr>
          <w:p w14:paraId="1D34CBEF"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43" w:type="dxa"/>
            <w:tcBorders>
              <w:top w:val="nil"/>
              <w:left w:val="nil"/>
              <w:bottom w:val="nil"/>
              <w:right w:val="nil"/>
            </w:tcBorders>
            <w:shd w:val="clear" w:color="000000" w:fill="FFFFFF"/>
          </w:tcPr>
          <w:p w14:paraId="0D803F1B"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81" w:type="dxa"/>
            <w:tcBorders>
              <w:top w:val="nil"/>
              <w:left w:val="nil"/>
              <w:bottom w:val="nil"/>
              <w:right w:val="nil"/>
            </w:tcBorders>
            <w:shd w:val="clear" w:color="000000" w:fill="FFFFFF"/>
          </w:tcPr>
          <w:p w14:paraId="0C01B9E4" w14:textId="77777777" w:rsidR="003670E8" w:rsidRPr="007B0DB5" w:rsidRDefault="003670E8" w:rsidP="00EA194A">
            <w:pPr>
              <w:suppressAutoHyphens w:val="0"/>
              <w:spacing w:line="240" w:lineRule="auto"/>
              <w:jc w:val="center"/>
              <w:rPr>
                <w:rFonts w:eastAsia="Times New Roman"/>
                <w:i/>
                <w:iCs/>
                <w:sz w:val="16"/>
                <w:szCs w:val="16"/>
                <w:lang w:val="en-US"/>
              </w:rPr>
            </w:pPr>
          </w:p>
        </w:tc>
      </w:tr>
      <w:tr w:rsidR="003670E8" w:rsidRPr="007B0DB5" w14:paraId="7201F1D7" w14:textId="77777777" w:rsidTr="00EA194A">
        <w:trPr>
          <w:trHeight w:val="290"/>
        </w:trPr>
        <w:tc>
          <w:tcPr>
            <w:tcW w:w="993" w:type="dxa"/>
            <w:tcBorders>
              <w:top w:val="nil"/>
              <w:left w:val="nil"/>
              <w:bottom w:val="nil"/>
              <w:right w:val="nil"/>
            </w:tcBorders>
            <w:shd w:val="clear" w:color="000000" w:fill="FFFFFF"/>
            <w:vAlign w:val="bottom"/>
            <w:hideMark/>
          </w:tcPr>
          <w:p w14:paraId="2A0828C0"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477" w:type="dxa"/>
            <w:tcBorders>
              <w:top w:val="nil"/>
              <w:left w:val="nil"/>
              <w:bottom w:val="nil"/>
              <w:right w:val="nil"/>
            </w:tcBorders>
            <w:shd w:val="clear" w:color="000000" w:fill="FFFFFF"/>
            <w:vAlign w:val="bottom"/>
            <w:hideMark/>
          </w:tcPr>
          <w:p w14:paraId="16101EE6"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66" w:type="dxa"/>
            <w:tcBorders>
              <w:top w:val="nil"/>
              <w:left w:val="nil"/>
              <w:bottom w:val="nil"/>
              <w:right w:val="nil"/>
            </w:tcBorders>
            <w:shd w:val="clear" w:color="000000" w:fill="FFFFFF"/>
            <w:vAlign w:val="bottom"/>
            <w:hideMark/>
          </w:tcPr>
          <w:p w14:paraId="037E2C8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nil"/>
              <w:right w:val="nil"/>
            </w:tcBorders>
            <w:shd w:val="clear" w:color="000000" w:fill="FFFFFF"/>
            <w:vAlign w:val="bottom"/>
            <w:hideMark/>
          </w:tcPr>
          <w:p w14:paraId="1A7F221E"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843" w:type="dxa"/>
            <w:tcBorders>
              <w:top w:val="nil"/>
              <w:left w:val="nil"/>
              <w:bottom w:val="nil"/>
              <w:right w:val="nil"/>
            </w:tcBorders>
            <w:shd w:val="clear" w:color="000000" w:fill="FFFFFF"/>
            <w:vAlign w:val="bottom"/>
            <w:hideMark/>
          </w:tcPr>
          <w:p w14:paraId="1A4CA208"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83" w:type="dxa"/>
            <w:tcBorders>
              <w:top w:val="nil"/>
              <w:left w:val="nil"/>
              <w:bottom w:val="nil"/>
              <w:right w:val="nil"/>
            </w:tcBorders>
            <w:shd w:val="clear" w:color="000000" w:fill="FFFFFF"/>
          </w:tcPr>
          <w:p w14:paraId="08F0CB2D"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nil"/>
              <w:right w:val="nil"/>
            </w:tcBorders>
            <w:shd w:val="clear" w:color="000000" w:fill="FFFFFF"/>
          </w:tcPr>
          <w:p w14:paraId="18AF2EA7"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43" w:type="dxa"/>
            <w:tcBorders>
              <w:top w:val="nil"/>
              <w:left w:val="nil"/>
              <w:bottom w:val="nil"/>
              <w:right w:val="nil"/>
            </w:tcBorders>
            <w:shd w:val="clear" w:color="000000" w:fill="FFFFFF"/>
          </w:tcPr>
          <w:p w14:paraId="139D8414"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81" w:type="dxa"/>
            <w:tcBorders>
              <w:top w:val="nil"/>
              <w:left w:val="nil"/>
              <w:bottom w:val="nil"/>
              <w:right w:val="nil"/>
            </w:tcBorders>
            <w:shd w:val="clear" w:color="000000" w:fill="FFFFFF"/>
          </w:tcPr>
          <w:p w14:paraId="1CE0AAB7" w14:textId="77777777" w:rsidR="003670E8" w:rsidRPr="007B0DB5" w:rsidRDefault="003670E8" w:rsidP="00EA194A">
            <w:pPr>
              <w:suppressAutoHyphens w:val="0"/>
              <w:spacing w:line="240" w:lineRule="auto"/>
              <w:jc w:val="center"/>
              <w:rPr>
                <w:rFonts w:eastAsia="Times New Roman"/>
                <w:i/>
                <w:iCs/>
                <w:sz w:val="16"/>
                <w:szCs w:val="16"/>
                <w:lang w:val="en-US"/>
              </w:rPr>
            </w:pPr>
          </w:p>
        </w:tc>
      </w:tr>
      <w:tr w:rsidR="003670E8" w:rsidRPr="007B0DB5" w14:paraId="0C911783" w14:textId="77777777" w:rsidTr="00EA194A">
        <w:trPr>
          <w:trHeight w:val="290"/>
        </w:trPr>
        <w:tc>
          <w:tcPr>
            <w:tcW w:w="993" w:type="dxa"/>
            <w:tcBorders>
              <w:top w:val="nil"/>
              <w:left w:val="nil"/>
              <w:bottom w:val="nil"/>
              <w:right w:val="nil"/>
            </w:tcBorders>
            <w:shd w:val="clear" w:color="000000" w:fill="FFFFFF"/>
            <w:vAlign w:val="bottom"/>
            <w:hideMark/>
          </w:tcPr>
          <w:p w14:paraId="4FA7AA42"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477" w:type="dxa"/>
            <w:tcBorders>
              <w:top w:val="nil"/>
              <w:left w:val="nil"/>
              <w:bottom w:val="nil"/>
              <w:right w:val="nil"/>
            </w:tcBorders>
            <w:shd w:val="clear" w:color="000000" w:fill="FFFFFF"/>
            <w:vAlign w:val="bottom"/>
            <w:hideMark/>
          </w:tcPr>
          <w:p w14:paraId="6E3B8834"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66" w:type="dxa"/>
            <w:tcBorders>
              <w:top w:val="nil"/>
              <w:left w:val="nil"/>
              <w:bottom w:val="nil"/>
              <w:right w:val="nil"/>
            </w:tcBorders>
            <w:shd w:val="clear" w:color="000000" w:fill="FFFFFF"/>
            <w:vAlign w:val="bottom"/>
            <w:hideMark/>
          </w:tcPr>
          <w:p w14:paraId="7CE5381C"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509" w:type="dxa"/>
            <w:tcBorders>
              <w:top w:val="nil"/>
              <w:left w:val="nil"/>
              <w:bottom w:val="nil"/>
              <w:right w:val="nil"/>
            </w:tcBorders>
            <w:shd w:val="clear" w:color="000000" w:fill="FFFFFF"/>
            <w:vAlign w:val="bottom"/>
            <w:hideMark/>
          </w:tcPr>
          <w:p w14:paraId="00A688E1"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1843" w:type="dxa"/>
            <w:tcBorders>
              <w:top w:val="nil"/>
              <w:left w:val="nil"/>
              <w:bottom w:val="nil"/>
              <w:right w:val="nil"/>
            </w:tcBorders>
            <w:shd w:val="clear" w:color="000000" w:fill="FFFFFF"/>
            <w:vAlign w:val="bottom"/>
            <w:hideMark/>
          </w:tcPr>
          <w:p w14:paraId="0FDDD936" w14:textId="77777777" w:rsidR="003670E8" w:rsidRPr="007B0DB5" w:rsidRDefault="003670E8" w:rsidP="00EA194A">
            <w:pPr>
              <w:suppressAutoHyphens w:val="0"/>
              <w:spacing w:line="240" w:lineRule="auto"/>
              <w:jc w:val="center"/>
              <w:rPr>
                <w:rFonts w:eastAsia="Times New Roman"/>
                <w:i/>
                <w:iCs/>
                <w:sz w:val="16"/>
                <w:szCs w:val="16"/>
                <w:lang w:val="en-US"/>
              </w:rPr>
            </w:pPr>
            <w:r w:rsidRPr="007B0DB5">
              <w:rPr>
                <w:rFonts w:eastAsia="Times New Roman"/>
                <w:i/>
                <w:iCs/>
                <w:sz w:val="16"/>
                <w:szCs w:val="16"/>
                <w:lang w:val="en-US"/>
              </w:rPr>
              <w:t> </w:t>
            </w:r>
          </w:p>
        </w:tc>
        <w:tc>
          <w:tcPr>
            <w:tcW w:w="283" w:type="dxa"/>
            <w:tcBorders>
              <w:top w:val="nil"/>
              <w:left w:val="nil"/>
              <w:bottom w:val="nil"/>
              <w:right w:val="nil"/>
            </w:tcBorders>
            <w:shd w:val="clear" w:color="000000" w:fill="FFFFFF"/>
          </w:tcPr>
          <w:p w14:paraId="4CE2AC4F"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701" w:type="dxa"/>
            <w:tcBorders>
              <w:top w:val="nil"/>
              <w:left w:val="nil"/>
              <w:bottom w:val="nil"/>
              <w:right w:val="nil"/>
            </w:tcBorders>
            <w:shd w:val="clear" w:color="000000" w:fill="FFFFFF"/>
          </w:tcPr>
          <w:p w14:paraId="2EF920D0"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43" w:type="dxa"/>
            <w:tcBorders>
              <w:top w:val="nil"/>
              <w:left w:val="nil"/>
              <w:bottom w:val="nil"/>
              <w:right w:val="nil"/>
            </w:tcBorders>
            <w:shd w:val="clear" w:color="000000" w:fill="FFFFFF"/>
          </w:tcPr>
          <w:p w14:paraId="266CA015" w14:textId="77777777" w:rsidR="003670E8" w:rsidRPr="007B0DB5" w:rsidRDefault="003670E8" w:rsidP="00EA194A">
            <w:pPr>
              <w:suppressAutoHyphens w:val="0"/>
              <w:spacing w:line="240" w:lineRule="auto"/>
              <w:jc w:val="center"/>
              <w:rPr>
                <w:rFonts w:eastAsia="Times New Roman"/>
                <w:i/>
                <w:iCs/>
                <w:sz w:val="16"/>
                <w:szCs w:val="16"/>
                <w:lang w:val="en-US"/>
              </w:rPr>
            </w:pPr>
          </w:p>
        </w:tc>
        <w:tc>
          <w:tcPr>
            <w:tcW w:w="1881" w:type="dxa"/>
            <w:tcBorders>
              <w:top w:val="nil"/>
              <w:left w:val="nil"/>
              <w:bottom w:val="nil"/>
              <w:right w:val="nil"/>
            </w:tcBorders>
            <w:shd w:val="clear" w:color="000000" w:fill="FFFFFF"/>
          </w:tcPr>
          <w:p w14:paraId="30461B46" w14:textId="77777777" w:rsidR="003670E8" w:rsidRPr="007B0DB5" w:rsidRDefault="003670E8" w:rsidP="00EA194A">
            <w:pPr>
              <w:suppressAutoHyphens w:val="0"/>
              <w:spacing w:line="240" w:lineRule="auto"/>
              <w:jc w:val="center"/>
              <w:rPr>
                <w:rFonts w:eastAsia="Times New Roman"/>
                <w:i/>
                <w:iCs/>
                <w:sz w:val="16"/>
                <w:szCs w:val="16"/>
                <w:lang w:val="en-US"/>
              </w:rPr>
            </w:pPr>
          </w:p>
        </w:tc>
      </w:tr>
      <w:tr w:rsidR="003670E8" w:rsidRPr="007B0DB5" w14:paraId="1B3A67D2" w14:textId="77777777" w:rsidTr="00EA194A">
        <w:trPr>
          <w:trHeight w:val="300"/>
        </w:trPr>
        <w:tc>
          <w:tcPr>
            <w:tcW w:w="993" w:type="dxa"/>
            <w:tcBorders>
              <w:top w:val="nil"/>
              <w:left w:val="nil"/>
              <w:bottom w:val="nil"/>
              <w:right w:val="nil"/>
            </w:tcBorders>
            <w:shd w:val="clear" w:color="000000" w:fill="FFFFFF"/>
            <w:noWrap/>
            <w:vAlign w:val="bottom"/>
            <w:hideMark/>
          </w:tcPr>
          <w:p w14:paraId="353FB037" w14:textId="77777777" w:rsidR="003670E8" w:rsidRPr="007B0DB5" w:rsidRDefault="003670E8" w:rsidP="00EA194A">
            <w:pPr>
              <w:suppressAutoHyphens w:val="0"/>
              <w:spacing w:line="240" w:lineRule="auto"/>
              <w:rPr>
                <w:rFonts w:ascii="Calibri" w:eastAsia="Times New Roman" w:hAnsi="Calibri" w:cs="Calibri"/>
                <w:sz w:val="22"/>
                <w:szCs w:val="22"/>
                <w:lang w:val="en-US"/>
              </w:rPr>
            </w:pPr>
            <w:r w:rsidRPr="007B0DB5">
              <w:rPr>
                <w:rFonts w:ascii="Calibri" w:eastAsia="Times New Roman" w:hAnsi="Calibri" w:cs="Calibri"/>
                <w:sz w:val="22"/>
                <w:szCs w:val="22"/>
                <w:lang w:val="en-US"/>
              </w:rPr>
              <w:t> </w:t>
            </w:r>
          </w:p>
        </w:tc>
        <w:tc>
          <w:tcPr>
            <w:tcW w:w="1477" w:type="dxa"/>
            <w:tcBorders>
              <w:top w:val="nil"/>
              <w:left w:val="nil"/>
              <w:bottom w:val="nil"/>
              <w:right w:val="nil"/>
            </w:tcBorders>
            <w:shd w:val="clear" w:color="000000" w:fill="FFFFFF"/>
            <w:noWrap/>
            <w:vAlign w:val="bottom"/>
            <w:hideMark/>
          </w:tcPr>
          <w:p w14:paraId="67580D96" w14:textId="77777777" w:rsidR="003670E8" w:rsidRPr="007B0DB5" w:rsidRDefault="003670E8" w:rsidP="00EA194A">
            <w:pPr>
              <w:suppressAutoHyphens w:val="0"/>
              <w:spacing w:line="240" w:lineRule="auto"/>
              <w:rPr>
                <w:rFonts w:ascii="Calibri" w:eastAsia="Times New Roman" w:hAnsi="Calibri" w:cs="Calibri"/>
                <w:sz w:val="22"/>
                <w:szCs w:val="22"/>
                <w:lang w:val="en-US"/>
              </w:rPr>
            </w:pPr>
            <w:r w:rsidRPr="007B0DB5">
              <w:rPr>
                <w:rFonts w:ascii="Calibri" w:eastAsia="Times New Roman" w:hAnsi="Calibri" w:cs="Calibri"/>
                <w:sz w:val="22"/>
                <w:szCs w:val="22"/>
                <w:lang w:val="en-US"/>
              </w:rPr>
              <w:t> </w:t>
            </w:r>
          </w:p>
        </w:tc>
        <w:tc>
          <w:tcPr>
            <w:tcW w:w="266" w:type="dxa"/>
            <w:tcBorders>
              <w:top w:val="nil"/>
              <w:left w:val="nil"/>
              <w:bottom w:val="nil"/>
              <w:right w:val="nil"/>
            </w:tcBorders>
            <w:shd w:val="clear" w:color="000000" w:fill="FFFFFF"/>
            <w:noWrap/>
            <w:vAlign w:val="center"/>
            <w:hideMark/>
          </w:tcPr>
          <w:p w14:paraId="380E2B01" w14:textId="77777777" w:rsidR="003670E8" w:rsidRPr="007B0DB5" w:rsidRDefault="003670E8" w:rsidP="00EA194A">
            <w:pPr>
              <w:suppressAutoHyphens w:val="0"/>
              <w:spacing w:line="240" w:lineRule="auto"/>
              <w:rPr>
                <w:rFonts w:eastAsia="Times New Roman"/>
                <w:lang w:val="en-US"/>
              </w:rPr>
            </w:pPr>
            <w:r w:rsidRPr="007B0DB5">
              <w:rPr>
                <w:rFonts w:eastAsia="Times New Roman"/>
                <w:lang w:val="en-US"/>
              </w:rPr>
              <w:t> </w:t>
            </w:r>
          </w:p>
        </w:tc>
        <w:tc>
          <w:tcPr>
            <w:tcW w:w="2509" w:type="dxa"/>
            <w:tcBorders>
              <w:top w:val="nil"/>
              <w:left w:val="nil"/>
              <w:bottom w:val="nil"/>
              <w:right w:val="nil"/>
            </w:tcBorders>
            <w:shd w:val="clear" w:color="000000" w:fill="FFFFFF"/>
            <w:noWrap/>
            <w:vAlign w:val="bottom"/>
            <w:hideMark/>
          </w:tcPr>
          <w:p w14:paraId="12949457" w14:textId="77777777" w:rsidR="003670E8" w:rsidRPr="007B0DB5" w:rsidRDefault="003670E8" w:rsidP="00EA194A">
            <w:pPr>
              <w:suppressAutoHyphens w:val="0"/>
              <w:spacing w:line="240" w:lineRule="auto"/>
              <w:rPr>
                <w:rFonts w:ascii="Calibri" w:eastAsia="Times New Roman" w:hAnsi="Calibri" w:cs="Calibri"/>
                <w:sz w:val="22"/>
                <w:szCs w:val="22"/>
                <w:lang w:val="en-US"/>
              </w:rPr>
            </w:pPr>
            <w:r w:rsidRPr="007B0DB5">
              <w:rPr>
                <w:rFonts w:ascii="Calibri" w:eastAsia="Times New Roman" w:hAnsi="Calibri" w:cs="Calibri"/>
                <w:sz w:val="22"/>
                <w:szCs w:val="22"/>
                <w:lang w:val="en-US"/>
              </w:rPr>
              <w:t> </w:t>
            </w:r>
          </w:p>
        </w:tc>
        <w:tc>
          <w:tcPr>
            <w:tcW w:w="1843" w:type="dxa"/>
            <w:tcBorders>
              <w:top w:val="nil"/>
              <w:left w:val="nil"/>
              <w:bottom w:val="nil"/>
              <w:right w:val="nil"/>
            </w:tcBorders>
            <w:shd w:val="clear" w:color="000000" w:fill="FFFFFF"/>
            <w:noWrap/>
            <w:vAlign w:val="bottom"/>
            <w:hideMark/>
          </w:tcPr>
          <w:p w14:paraId="690B9250" w14:textId="77777777" w:rsidR="003670E8" w:rsidRPr="007B0DB5" w:rsidRDefault="003670E8" w:rsidP="00EA194A">
            <w:pPr>
              <w:suppressAutoHyphens w:val="0"/>
              <w:spacing w:line="240" w:lineRule="auto"/>
              <w:rPr>
                <w:rFonts w:ascii="Calibri" w:eastAsia="Times New Roman" w:hAnsi="Calibri" w:cs="Calibri"/>
                <w:sz w:val="22"/>
                <w:szCs w:val="22"/>
                <w:lang w:val="en-US"/>
              </w:rPr>
            </w:pPr>
            <w:r w:rsidRPr="007B0DB5">
              <w:rPr>
                <w:rFonts w:ascii="Calibri" w:eastAsia="Times New Roman" w:hAnsi="Calibri" w:cs="Calibri"/>
                <w:sz w:val="22"/>
                <w:szCs w:val="22"/>
                <w:lang w:val="en-US"/>
              </w:rPr>
              <w:t> </w:t>
            </w:r>
          </w:p>
        </w:tc>
        <w:tc>
          <w:tcPr>
            <w:tcW w:w="283" w:type="dxa"/>
            <w:tcBorders>
              <w:top w:val="nil"/>
              <w:left w:val="nil"/>
              <w:bottom w:val="nil"/>
              <w:right w:val="nil"/>
            </w:tcBorders>
            <w:shd w:val="clear" w:color="000000" w:fill="FFFFFF"/>
          </w:tcPr>
          <w:p w14:paraId="7BF8F68D" w14:textId="77777777" w:rsidR="003670E8" w:rsidRPr="007B0DB5" w:rsidRDefault="003670E8" w:rsidP="00EA194A">
            <w:pPr>
              <w:suppressAutoHyphens w:val="0"/>
              <w:spacing w:line="240" w:lineRule="auto"/>
              <w:rPr>
                <w:rFonts w:ascii="Calibri" w:eastAsia="Times New Roman" w:hAnsi="Calibri" w:cs="Calibri"/>
                <w:sz w:val="22"/>
                <w:szCs w:val="22"/>
                <w:lang w:val="en-US"/>
              </w:rPr>
            </w:pPr>
          </w:p>
        </w:tc>
        <w:tc>
          <w:tcPr>
            <w:tcW w:w="1701" w:type="dxa"/>
            <w:tcBorders>
              <w:top w:val="nil"/>
              <w:left w:val="nil"/>
              <w:bottom w:val="nil"/>
              <w:right w:val="nil"/>
            </w:tcBorders>
            <w:shd w:val="clear" w:color="000000" w:fill="FFFFFF"/>
          </w:tcPr>
          <w:p w14:paraId="19178A38" w14:textId="77777777" w:rsidR="003670E8" w:rsidRPr="007B0DB5" w:rsidRDefault="003670E8" w:rsidP="00EA194A">
            <w:pPr>
              <w:suppressAutoHyphens w:val="0"/>
              <w:spacing w:line="240" w:lineRule="auto"/>
              <w:rPr>
                <w:rFonts w:ascii="Calibri" w:eastAsia="Times New Roman" w:hAnsi="Calibri" w:cs="Calibri"/>
                <w:sz w:val="22"/>
                <w:szCs w:val="22"/>
                <w:lang w:val="en-US"/>
              </w:rPr>
            </w:pPr>
          </w:p>
        </w:tc>
        <w:tc>
          <w:tcPr>
            <w:tcW w:w="1843" w:type="dxa"/>
            <w:tcBorders>
              <w:top w:val="nil"/>
              <w:left w:val="nil"/>
              <w:bottom w:val="nil"/>
              <w:right w:val="nil"/>
            </w:tcBorders>
            <w:shd w:val="clear" w:color="000000" w:fill="FFFFFF"/>
          </w:tcPr>
          <w:p w14:paraId="371E37B9" w14:textId="77777777" w:rsidR="003670E8" w:rsidRPr="007B0DB5" w:rsidRDefault="003670E8" w:rsidP="00EA194A">
            <w:pPr>
              <w:suppressAutoHyphens w:val="0"/>
              <w:spacing w:line="240" w:lineRule="auto"/>
              <w:rPr>
                <w:rFonts w:ascii="Calibri" w:eastAsia="Times New Roman" w:hAnsi="Calibri" w:cs="Calibri"/>
                <w:sz w:val="22"/>
                <w:szCs w:val="22"/>
                <w:lang w:val="en-US"/>
              </w:rPr>
            </w:pPr>
          </w:p>
        </w:tc>
        <w:tc>
          <w:tcPr>
            <w:tcW w:w="1881" w:type="dxa"/>
            <w:tcBorders>
              <w:top w:val="nil"/>
              <w:left w:val="nil"/>
              <w:bottom w:val="nil"/>
              <w:right w:val="nil"/>
            </w:tcBorders>
            <w:shd w:val="clear" w:color="000000" w:fill="FFFFFF"/>
          </w:tcPr>
          <w:p w14:paraId="1D4C8296" w14:textId="77777777" w:rsidR="003670E8" w:rsidRPr="007B0DB5" w:rsidRDefault="003670E8" w:rsidP="00EA194A">
            <w:pPr>
              <w:suppressAutoHyphens w:val="0"/>
              <w:spacing w:line="240" w:lineRule="auto"/>
              <w:rPr>
                <w:rFonts w:ascii="Calibri" w:eastAsia="Times New Roman" w:hAnsi="Calibri" w:cs="Calibri"/>
                <w:sz w:val="22"/>
                <w:szCs w:val="22"/>
                <w:lang w:val="en-US"/>
              </w:rPr>
            </w:pPr>
          </w:p>
        </w:tc>
      </w:tr>
      <w:tr w:rsidR="003670E8" w:rsidRPr="007B0DB5" w14:paraId="09AE7954" w14:textId="77777777" w:rsidTr="00EA194A">
        <w:trPr>
          <w:trHeight w:val="300"/>
        </w:trPr>
        <w:tc>
          <w:tcPr>
            <w:tcW w:w="993" w:type="dxa"/>
            <w:tcBorders>
              <w:top w:val="single" w:sz="4" w:space="0" w:color="auto"/>
              <w:left w:val="nil"/>
              <w:bottom w:val="single" w:sz="12" w:space="0" w:color="auto"/>
              <w:right w:val="nil"/>
            </w:tcBorders>
            <w:shd w:val="clear" w:color="000000" w:fill="FFFFFF"/>
            <w:noWrap/>
            <w:vAlign w:val="center"/>
            <w:hideMark/>
          </w:tcPr>
          <w:p w14:paraId="2AADA707" w14:textId="77777777" w:rsidR="003670E8" w:rsidRPr="007B0DB5" w:rsidRDefault="003670E8" w:rsidP="00EA194A">
            <w:pPr>
              <w:suppressAutoHyphens w:val="0"/>
              <w:spacing w:line="240" w:lineRule="auto"/>
              <w:jc w:val="right"/>
              <w:rPr>
                <w:rFonts w:eastAsia="Times New Roman"/>
                <w:lang w:val="en-US"/>
              </w:rPr>
            </w:pPr>
            <w:r w:rsidRPr="007B0DB5">
              <w:rPr>
                <w:rFonts w:eastAsia="Times New Roman"/>
                <w:lang w:val="en-US"/>
              </w:rPr>
              <w:t> </w:t>
            </w:r>
          </w:p>
        </w:tc>
        <w:tc>
          <w:tcPr>
            <w:tcW w:w="1477" w:type="dxa"/>
            <w:tcBorders>
              <w:top w:val="single" w:sz="4" w:space="0" w:color="auto"/>
              <w:left w:val="nil"/>
              <w:bottom w:val="single" w:sz="12" w:space="0" w:color="auto"/>
              <w:right w:val="nil"/>
            </w:tcBorders>
            <w:shd w:val="clear" w:color="000000" w:fill="FFFFFF"/>
            <w:noWrap/>
            <w:vAlign w:val="center"/>
            <w:hideMark/>
          </w:tcPr>
          <w:p w14:paraId="62ED72CF" w14:textId="77777777" w:rsidR="003670E8" w:rsidRPr="007B0DB5" w:rsidRDefault="003670E8" w:rsidP="00EA194A">
            <w:pPr>
              <w:suppressAutoHyphens w:val="0"/>
              <w:spacing w:line="240" w:lineRule="auto"/>
              <w:jc w:val="right"/>
              <w:rPr>
                <w:rFonts w:eastAsia="Times New Roman"/>
                <w:lang w:val="en-US"/>
              </w:rPr>
            </w:pPr>
            <w:r w:rsidRPr="007B0DB5">
              <w:rPr>
                <w:rFonts w:eastAsia="Times New Roman"/>
                <w:lang w:val="en-US"/>
              </w:rPr>
              <w:t> </w:t>
            </w:r>
          </w:p>
        </w:tc>
        <w:tc>
          <w:tcPr>
            <w:tcW w:w="266" w:type="dxa"/>
            <w:tcBorders>
              <w:top w:val="single" w:sz="4" w:space="0" w:color="auto"/>
              <w:left w:val="nil"/>
              <w:bottom w:val="single" w:sz="12" w:space="0" w:color="auto"/>
              <w:right w:val="nil"/>
            </w:tcBorders>
            <w:shd w:val="clear" w:color="000000" w:fill="FFFFFF"/>
            <w:noWrap/>
            <w:vAlign w:val="center"/>
            <w:hideMark/>
          </w:tcPr>
          <w:p w14:paraId="4A5A630A" w14:textId="77777777" w:rsidR="003670E8" w:rsidRPr="007B0DB5" w:rsidRDefault="003670E8" w:rsidP="00EA194A">
            <w:pPr>
              <w:suppressAutoHyphens w:val="0"/>
              <w:spacing w:line="240" w:lineRule="auto"/>
              <w:jc w:val="right"/>
              <w:rPr>
                <w:rFonts w:eastAsia="Times New Roman"/>
                <w:lang w:val="en-US"/>
              </w:rPr>
            </w:pPr>
            <w:r w:rsidRPr="007B0DB5">
              <w:rPr>
                <w:rFonts w:eastAsia="Times New Roman"/>
                <w:lang w:val="en-US"/>
              </w:rPr>
              <w:t> </w:t>
            </w:r>
          </w:p>
        </w:tc>
        <w:tc>
          <w:tcPr>
            <w:tcW w:w="2509" w:type="dxa"/>
            <w:tcBorders>
              <w:top w:val="single" w:sz="4" w:space="0" w:color="auto"/>
              <w:left w:val="nil"/>
              <w:bottom w:val="single" w:sz="12" w:space="0" w:color="auto"/>
              <w:right w:val="nil"/>
            </w:tcBorders>
            <w:shd w:val="clear" w:color="000000" w:fill="FFFFFF"/>
            <w:noWrap/>
            <w:vAlign w:val="center"/>
            <w:hideMark/>
          </w:tcPr>
          <w:p w14:paraId="0896496F" w14:textId="77777777" w:rsidR="003670E8" w:rsidRPr="007B0DB5" w:rsidRDefault="003670E8" w:rsidP="00EA194A">
            <w:pPr>
              <w:suppressAutoHyphens w:val="0"/>
              <w:spacing w:line="240" w:lineRule="auto"/>
              <w:jc w:val="right"/>
              <w:rPr>
                <w:rFonts w:eastAsia="Times New Roman"/>
                <w:lang w:val="en-US"/>
              </w:rPr>
            </w:pPr>
            <w:r w:rsidRPr="007B0DB5">
              <w:rPr>
                <w:rFonts w:eastAsia="Times New Roman"/>
                <w:lang w:val="en-US"/>
              </w:rPr>
              <w:t> </w:t>
            </w:r>
          </w:p>
        </w:tc>
        <w:tc>
          <w:tcPr>
            <w:tcW w:w="1843" w:type="dxa"/>
            <w:tcBorders>
              <w:top w:val="single" w:sz="4" w:space="0" w:color="auto"/>
              <w:left w:val="nil"/>
              <w:bottom w:val="single" w:sz="12" w:space="0" w:color="auto"/>
              <w:right w:val="nil"/>
            </w:tcBorders>
            <w:shd w:val="clear" w:color="000000" w:fill="FFFFFF"/>
            <w:noWrap/>
            <w:vAlign w:val="center"/>
            <w:hideMark/>
          </w:tcPr>
          <w:p w14:paraId="088BCFCA" w14:textId="77777777" w:rsidR="003670E8" w:rsidRPr="007B0DB5" w:rsidRDefault="003670E8" w:rsidP="00EA194A">
            <w:pPr>
              <w:suppressAutoHyphens w:val="0"/>
              <w:spacing w:line="240" w:lineRule="auto"/>
              <w:jc w:val="right"/>
              <w:rPr>
                <w:rFonts w:eastAsia="Times New Roman"/>
                <w:lang w:val="en-US"/>
              </w:rPr>
            </w:pPr>
            <w:r w:rsidRPr="007B0DB5">
              <w:rPr>
                <w:rFonts w:eastAsia="Times New Roman"/>
                <w:lang w:val="en-US"/>
              </w:rPr>
              <w:t> </w:t>
            </w:r>
          </w:p>
        </w:tc>
        <w:tc>
          <w:tcPr>
            <w:tcW w:w="283" w:type="dxa"/>
            <w:tcBorders>
              <w:top w:val="single" w:sz="4" w:space="0" w:color="auto"/>
              <w:left w:val="nil"/>
              <w:bottom w:val="single" w:sz="12" w:space="0" w:color="auto"/>
              <w:right w:val="nil"/>
            </w:tcBorders>
            <w:shd w:val="clear" w:color="000000" w:fill="FFFFFF"/>
          </w:tcPr>
          <w:p w14:paraId="76AF2F27" w14:textId="77777777" w:rsidR="003670E8" w:rsidRPr="007B0DB5" w:rsidRDefault="003670E8" w:rsidP="00EA194A">
            <w:pPr>
              <w:suppressAutoHyphens w:val="0"/>
              <w:spacing w:line="240" w:lineRule="auto"/>
              <w:jc w:val="right"/>
              <w:rPr>
                <w:rFonts w:eastAsia="Times New Roman"/>
                <w:lang w:val="en-US"/>
              </w:rPr>
            </w:pPr>
          </w:p>
        </w:tc>
        <w:tc>
          <w:tcPr>
            <w:tcW w:w="1701" w:type="dxa"/>
            <w:tcBorders>
              <w:top w:val="single" w:sz="4" w:space="0" w:color="auto"/>
              <w:left w:val="nil"/>
              <w:bottom w:val="single" w:sz="12" w:space="0" w:color="auto"/>
              <w:right w:val="nil"/>
            </w:tcBorders>
            <w:shd w:val="clear" w:color="000000" w:fill="FFFFFF"/>
          </w:tcPr>
          <w:p w14:paraId="39B0E2E7" w14:textId="77777777" w:rsidR="003670E8" w:rsidRPr="007B0DB5" w:rsidRDefault="003670E8" w:rsidP="00EA194A">
            <w:pPr>
              <w:suppressAutoHyphens w:val="0"/>
              <w:spacing w:line="240" w:lineRule="auto"/>
              <w:jc w:val="right"/>
              <w:rPr>
                <w:rFonts w:eastAsia="Times New Roman"/>
                <w:lang w:val="en-US"/>
              </w:rPr>
            </w:pPr>
          </w:p>
        </w:tc>
        <w:tc>
          <w:tcPr>
            <w:tcW w:w="1843" w:type="dxa"/>
            <w:tcBorders>
              <w:top w:val="single" w:sz="4" w:space="0" w:color="auto"/>
              <w:left w:val="nil"/>
              <w:bottom w:val="single" w:sz="12" w:space="0" w:color="auto"/>
              <w:right w:val="nil"/>
            </w:tcBorders>
            <w:shd w:val="clear" w:color="000000" w:fill="FFFFFF"/>
          </w:tcPr>
          <w:p w14:paraId="51FD9BF2" w14:textId="77777777" w:rsidR="003670E8" w:rsidRPr="007B0DB5" w:rsidRDefault="003670E8" w:rsidP="00EA194A">
            <w:pPr>
              <w:suppressAutoHyphens w:val="0"/>
              <w:spacing w:line="240" w:lineRule="auto"/>
              <w:jc w:val="right"/>
              <w:rPr>
                <w:rFonts w:eastAsia="Times New Roman"/>
                <w:lang w:val="en-US"/>
              </w:rPr>
            </w:pPr>
          </w:p>
        </w:tc>
        <w:tc>
          <w:tcPr>
            <w:tcW w:w="1881" w:type="dxa"/>
            <w:tcBorders>
              <w:top w:val="single" w:sz="4" w:space="0" w:color="auto"/>
              <w:left w:val="nil"/>
              <w:bottom w:val="single" w:sz="12" w:space="0" w:color="auto"/>
              <w:right w:val="nil"/>
            </w:tcBorders>
            <w:shd w:val="clear" w:color="000000" w:fill="FFFFFF"/>
          </w:tcPr>
          <w:p w14:paraId="09547F90" w14:textId="77777777" w:rsidR="003670E8" w:rsidRPr="007B0DB5" w:rsidRDefault="003670E8" w:rsidP="00EA194A">
            <w:pPr>
              <w:suppressAutoHyphens w:val="0"/>
              <w:spacing w:line="240" w:lineRule="auto"/>
              <w:jc w:val="right"/>
              <w:rPr>
                <w:rFonts w:eastAsia="Times New Roman"/>
                <w:lang w:val="en-US"/>
              </w:rPr>
            </w:pPr>
          </w:p>
        </w:tc>
      </w:tr>
    </w:tbl>
    <w:p w14:paraId="05713FF8" w14:textId="77777777" w:rsidR="003670E8" w:rsidRDefault="003670E8" w:rsidP="003670E8">
      <w:pPr>
        <w:pStyle w:val="FC2"/>
        <w:spacing w:before="240"/>
      </w:pPr>
      <w:r w:rsidRPr="00677E16">
        <w:t xml:space="preserve"> [Table 6</w:t>
      </w:r>
      <w:r>
        <w:t xml:space="preserve"> (continued)</w:t>
      </w:r>
      <w:r w:rsidRPr="00677E16">
        <w:rPr>
          <w:b/>
        </w:rPr>
        <w:br/>
        <w:t>Aggregated SOP and OMGE</w:t>
      </w:r>
    </w:p>
    <w:tbl>
      <w:tblPr>
        <w:tblpPr w:leftFromText="180" w:rightFromText="180" w:vertAnchor="text" w:horzAnchor="page" w:tblpX="2548" w:tblpY="4423"/>
        <w:tblW w:w="12758" w:type="dxa"/>
        <w:tblLook w:val="04A0" w:firstRow="1" w:lastRow="0" w:firstColumn="1" w:lastColumn="0" w:noHBand="0" w:noVBand="1"/>
      </w:tblPr>
      <w:tblGrid>
        <w:gridCol w:w="1985"/>
        <w:gridCol w:w="1162"/>
        <w:gridCol w:w="1389"/>
        <w:gridCol w:w="284"/>
        <w:gridCol w:w="1134"/>
        <w:gridCol w:w="1843"/>
        <w:gridCol w:w="2268"/>
        <w:gridCol w:w="2693"/>
      </w:tblGrid>
      <w:tr w:rsidR="003670E8" w:rsidRPr="00C36B93" w14:paraId="270BDDDD" w14:textId="77777777" w:rsidTr="00EA194A">
        <w:trPr>
          <w:trHeight w:val="300"/>
        </w:trPr>
        <w:tc>
          <w:tcPr>
            <w:tcW w:w="4536" w:type="dxa"/>
            <w:gridSpan w:val="3"/>
            <w:tcBorders>
              <w:top w:val="single" w:sz="8" w:space="0" w:color="auto"/>
              <w:left w:val="nil"/>
              <w:bottom w:val="single" w:sz="8" w:space="0" w:color="auto"/>
              <w:right w:val="nil"/>
            </w:tcBorders>
            <w:shd w:val="clear" w:color="000000" w:fill="FFFFFF"/>
            <w:vAlign w:val="bottom"/>
            <w:hideMark/>
          </w:tcPr>
          <w:p w14:paraId="64AFC643"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Cancellations</w:t>
            </w:r>
            <w:r>
              <w:rPr>
                <w:rFonts w:eastAsia="Times New Roman"/>
                <w:i/>
                <w:iCs/>
                <w:sz w:val="16"/>
                <w:szCs w:val="16"/>
                <w:lang w:val="en-US"/>
              </w:rPr>
              <w:t xml:space="preserve"> (continues)</w:t>
            </w:r>
          </w:p>
        </w:tc>
        <w:tc>
          <w:tcPr>
            <w:tcW w:w="284" w:type="dxa"/>
            <w:tcBorders>
              <w:top w:val="single" w:sz="8" w:space="0" w:color="auto"/>
              <w:left w:val="nil"/>
              <w:right w:val="nil"/>
            </w:tcBorders>
            <w:shd w:val="clear" w:color="000000" w:fill="FFFFFF"/>
            <w:vAlign w:val="bottom"/>
          </w:tcPr>
          <w:p w14:paraId="4655E8E2" w14:textId="77777777" w:rsidR="003670E8" w:rsidRPr="00C36B93" w:rsidRDefault="003670E8" w:rsidP="00EA194A">
            <w:pPr>
              <w:suppressAutoHyphens w:val="0"/>
              <w:spacing w:line="240" w:lineRule="auto"/>
              <w:jc w:val="center"/>
              <w:rPr>
                <w:rFonts w:eastAsia="Times New Roman"/>
                <w:i/>
                <w:iCs/>
                <w:sz w:val="16"/>
                <w:szCs w:val="16"/>
                <w:lang w:val="en-US"/>
              </w:rPr>
            </w:pPr>
          </w:p>
        </w:tc>
        <w:tc>
          <w:tcPr>
            <w:tcW w:w="7938" w:type="dxa"/>
            <w:gridSpan w:val="4"/>
            <w:tcBorders>
              <w:top w:val="single" w:sz="8" w:space="0" w:color="auto"/>
              <w:left w:val="nil"/>
              <w:bottom w:val="single" w:sz="8" w:space="0" w:color="auto"/>
              <w:right w:val="nil"/>
            </w:tcBorders>
            <w:shd w:val="clear" w:color="000000" w:fill="FFFFFF"/>
            <w:vAlign w:val="bottom"/>
          </w:tcPr>
          <w:p w14:paraId="68D3F932" w14:textId="77777777" w:rsidR="003670E8" w:rsidRPr="00C36B93" w:rsidRDefault="003670E8" w:rsidP="00EA194A">
            <w:pPr>
              <w:suppressAutoHyphens w:val="0"/>
              <w:spacing w:line="240" w:lineRule="auto"/>
              <w:jc w:val="center"/>
              <w:rPr>
                <w:rFonts w:eastAsia="Times New Roman"/>
                <w:i/>
                <w:iCs/>
                <w:sz w:val="16"/>
                <w:szCs w:val="16"/>
                <w:lang w:val="en-US"/>
              </w:rPr>
            </w:pPr>
            <w:r>
              <w:rPr>
                <w:rFonts w:eastAsia="Times New Roman"/>
                <w:i/>
                <w:iCs/>
                <w:sz w:val="16"/>
                <w:szCs w:val="16"/>
                <w:lang w:val="en-US"/>
              </w:rPr>
              <w:t>First transfers</w:t>
            </w:r>
          </w:p>
        </w:tc>
      </w:tr>
      <w:tr w:rsidR="003670E8" w:rsidRPr="00C36B93" w14:paraId="1ED6B6BB" w14:textId="77777777" w:rsidTr="00EA194A">
        <w:trPr>
          <w:trHeight w:val="795"/>
        </w:trPr>
        <w:tc>
          <w:tcPr>
            <w:tcW w:w="1985" w:type="dxa"/>
            <w:tcBorders>
              <w:left w:val="nil"/>
              <w:bottom w:val="single" w:sz="8" w:space="0" w:color="auto"/>
              <w:right w:val="nil"/>
            </w:tcBorders>
            <w:shd w:val="clear" w:color="000000" w:fill="FFFFFF"/>
            <w:vAlign w:val="bottom"/>
          </w:tcPr>
          <w:p w14:paraId="0D4B33F1"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Voluntary cancellations to deliver overall mitigation global emissions</w:t>
            </w:r>
          </w:p>
        </w:tc>
        <w:tc>
          <w:tcPr>
            <w:tcW w:w="1162" w:type="dxa"/>
            <w:tcBorders>
              <w:left w:val="nil"/>
              <w:bottom w:val="single" w:sz="8" w:space="0" w:color="auto"/>
              <w:right w:val="nil"/>
            </w:tcBorders>
            <w:shd w:val="clear" w:color="000000" w:fill="FFFFFF"/>
            <w:vAlign w:val="bottom"/>
          </w:tcPr>
          <w:p w14:paraId="19145110"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Administrative cancellations</w:t>
            </w:r>
          </w:p>
        </w:tc>
        <w:tc>
          <w:tcPr>
            <w:tcW w:w="1389" w:type="dxa"/>
            <w:tcBorders>
              <w:left w:val="nil"/>
              <w:bottom w:val="single" w:sz="8" w:space="0" w:color="auto"/>
              <w:right w:val="nil"/>
            </w:tcBorders>
            <w:shd w:val="clear" w:color="000000" w:fill="FFFFFF"/>
            <w:vAlign w:val="bottom"/>
          </w:tcPr>
          <w:p w14:paraId="3B76823E"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Others cancellation purposes</w:t>
            </w:r>
          </w:p>
        </w:tc>
        <w:tc>
          <w:tcPr>
            <w:tcW w:w="284" w:type="dxa"/>
            <w:tcBorders>
              <w:left w:val="nil"/>
              <w:right w:val="nil"/>
            </w:tcBorders>
            <w:shd w:val="clear" w:color="000000" w:fill="FFFFFF"/>
            <w:vAlign w:val="bottom"/>
          </w:tcPr>
          <w:p w14:paraId="4C6F5D8A"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p w14:paraId="676448E1"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p w14:paraId="0D4CC01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p w14:paraId="5472492F"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34" w:type="dxa"/>
            <w:tcBorders>
              <w:top w:val="nil"/>
              <w:left w:val="nil"/>
              <w:bottom w:val="single" w:sz="6" w:space="0" w:color="auto"/>
              <w:right w:val="nil"/>
            </w:tcBorders>
            <w:shd w:val="clear" w:color="000000" w:fill="FFFFFF"/>
            <w:vAlign w:val="bottom"/>
          </w:tcPr>
          <w:p w14:paraId="3F6E8291" w14:textId="77777777" w:rsidR="003670E8" w:rsidRPr="00C36B93" w:rsidRDefault="003670E8" w:rsidP="00EA194A">
            <w:pPr>
              <w:spacing w:line="240" w:lineRule="auto"/>
              <w:jc w:val="center"/>
              <w:rPr>
                <w:rFonts w:eastAsia="Times New Roman"/>
                <w:i/>
                <w:iCs/>
                <w:sz w:val="16"/>
                <w:szCs w:val="16"/>
                <w:lang w:val="en-US"/>
              </w:rPr>
            </w:pPr>
            <w:r>
              <w:rPr>
                <w:i/>
                <w:iCs/>
                <w:sz w:val="16"/>
                <w:szCs w:val="16"/>
              </w:rPr>
              <w:t>First transfers to another Party</w:t>
            </w:r>
          </w:p>
        </w:tc>
        <w:tc>
          <w:tcPr>
            <w:tcW w:w="1843" w:type="dxa"/>
            <w:tcBorders>
              <w:left w:val="nil"/>
              <w:bottom w:val="single" w:sz="6" w:space="0" w:color="auto"/>
            </w:tcBorders>
            <w:shd w:val="clear" w:color="000000" w:fill="FFFFFF"/>
            <w:vAlign w:val="bottom"/>
          </w:tcPr>
          <w:p w14:paraId="0D93BD23" w14:textId="77777777" w:rsidR="003670E8" w:rsidRPr="00C36B93" w:rsidRDefault="003670E8" w:rsidP="00EA194A">
            <w:pPr>
              <w:suppressAutoHyphens w:val="0"/>
              <w:spacing w:line="240" w:lineRule="auto"/>
              <w:jc w:val="center"/>
              <w:rPr>
                <w:rFonts w:eastAsia="Times New Roman"/>
                <w:i/>
                <w:iCs/>
                <w:sz w:val="16"/>
                <w:szCs w:val="16"/>
                <w:lang w:val="en-US"/>
              </w:rPr>
            </w:pPr>
            <w:r>
              <w:rPr>
                <w:i/>
                <w:iCs/>
                <w:sz w:val="16"/>
                <w:szCs w:val="16"/>
              </w:rPr>
              <w:t>First transfers for other international mitigation purposes when the first transfers is specified as the authorization</w:t>
            </w:r>
          </w:p>
        </w:tc>
        <w:tc>
          <w:tcPr>
            <w:tcW w:w="2268" w:type="dxa"/>
            <w:tcBorders>
              <w:bottom w:val="single" w:sz="6" w:space="0" w:color="auto"/>
            </w:tcBorders>
            <w:shd w:val="clear" w:color="000000" w:fill="FFFFFF"/>
            <w:vAlign w:val="bottom"/>
          </w:tcPr>
          <w:p w14:paraId="77CB8DA0" w14:textId="77777777" w:rsidR="003670E8" w:rsidRPr="00C36B93" w:rsidRDefault="003670E8" w:rsidP="00EA194A">
            <w:pPr>
              <w:suppressAutoHyphens w:val="0"/>
              <w:spacing w:line="240" w:lineRule="auto"/>
              <w:jc w:val="center"/>
              <w:rPr>
                <w:rFonts w:eastAsia="Times New Roman"/>
                <w:i/>
                <w:iCs/>
                <w:sz w:val="16"/>
                <w:szCs w:val="16"/>
                <w:lang w:val="en-US"/>
              </w:rPr>
            </w:pPr>
            <w:r>
              <w:rPr>
                <w:i/>
                <w:iCs/>
                <w:sz w:val="16"/>
                <w:szCs w:val="16"/>
              </w:rPr>
              <w:t>First transfers for other international mitigation purposes when the first transfer is specified as the issuance</w:t>
            </w:r>
          </w:p>
        </w:tc>
        <w:tc>
          <w:tcPr>
            <w:tcW w:w="2693" w:type="dxa"/>
            <w:tcBorders>
              <w:bottom w:val="single" w:sz="6" w:space="0" w:color="auto"/>
              <w:right w:val="nil"/>
            </w:tcBorders>
            <w:shd w:val="clear" w:color="000000" w:fill="FFFFFF"/>
            <w:vAlign w:val="bottom"/>
          </w:tcPr>
          <w:p w14:paraId="57052FE1" w14:textId="77777777" w:rsidR="003670E8" w:rsidRPr="00C36B93" w:rsidRDefault="003670E8" w:rsidP="00EA194A">
            <w:pPr>
              <w:suppressAutoHyphens w:val="0"/>
              <w:spacing w:line="240" w:lineRule="auto"/>
              <w:jc w:val="center"/>
              <w:rPr>
                <w:rFonts w:eastAsia="Times New Roman"/>
                <w:i/>
                <w:iCs/>
                <w:sz w:val="16"/>
                <w:szCs w:val="16"/>
                <w:lang w:val="en-US"/>
              </w:rPr>
            </w:pPr>
          </w:p>
          <w:p w14:paraId="7D0AB535" w14:textId="77777777" w:rsidR="003670E8" w:rsidRPr="00C36B93" w:rsidRDefault="003670E8" w:rsidP="00EA194A">
            <w:pPr>
              <w:suppressAutoHyphens w:val="0"/>
              <w:spacing w:line="240" w:lineRule="auto"/>
              <w:jc w:val="center"/>
              <w:rPr>
                <w:rFonts w:eastAsia="Times New Roman"/>
                <w:i/>
                <w:iCs/>
                <w:sz w:val="16"/>
                <w:szCs w:val="16"/>
                <w:lang w:val="en-US"/>
              </w:rPr>
            </w:pPr>
            <w:r>
              <w:rPr>
                <w:i/>
                <w:iCs/>
                <w:sz w:val="16"/>
                <w:szCs w:val="16"/>
              </w:rPr>
              <w:t>First transfers for other international mitigation purposes when the first transfer is specified as the use or cancellation of the mitigation outcome</w:t>
            </w:r>
          </w:p>
        </w:tc>
      </w:tr>
      <w:tr w:rsidR="003670E8" w:rsidRPr="00C36B93" w14:paraId="42A356C6" w14:textId="77777777" w:rsidTr="00EA194A">
        <w:trPr>
          <w:trHeight w:val="290"/>
        </w:trPr>
        <w:tc>
          <w:tcPr>
            <w:tcW w:w="1985" w:type="dxa"/>
            <w:tcBorders>
              <w:top w:val="single" w:sz="6" w:space="0" w:color="auto"/>
              <w:left w:val="nil"/>
              <w:bottom w:val="nil"/>
              <w:right w:val="nil"/>
            </w:tcBorders>
            <w:shd w:val="clear" w:color="000000" w:fill="FFFFFF"/>
            <w:vAlign w:val="bottom"/>
            <w:hideMark/>
          </w:tcPr>
          <w:p w14:paraId="2E2CDCCE"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62" w:type="dxa"/>
            <w:tcBorders>
              <w:top w:val="single" w:sz="6" w:space="0" w:color="auto"/>
              <w:left w:val="nil"/>
              <w:bottom w:val="nil"/>
              <w:right w:val="nil"/>
            </w:tcBorders>
            <w:shd w:val="clear" w:color="000000" w:fill="FFFFFF"/>
            <w:vAlign w:val="bottom"/>
            <w:hideMark/>
          </w:tcPr>
          <w:p w14:paraId="0A1F9F82"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389" w:type="dxa"/>
            <w:tcBorders>
              <w:top w:val="single" w:sz="6" w:space="0" w:color="auto"/>
              <w:left w:val="nil"/>
              <w:bottom w:val="nil"/>
              <w:right w:val="nil"/>
            </w:tcBorders>
            <w:shd w:val="clear" w:color="000000" w:fill="FFFFFF"/>
            <w:vAlign w:val="bottom"/>
            <w:hideMark/>
          </w:tcPr>
          <w:p w14:paraId="7A36FB71"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84" w:type="dxa"/>
            <w:tcBorders>
              <w:top w:val="single" w:sz="6" w:space="0" w:color="auto"/>
              <w:left w:val="nil"/>
              <w:right w:val="nil"/>
            </w:tcBorders>
            <w:shd w:val="clear" w:color="000000" w:fill="FFFFFF"/>
            <w:vAlign w:val="bottom"/>
            <w:hideMark/>
          </w:tcPr>
          <w:p w14:paraId="2A590740" w14:textId="77777777" w:rsidR="003670E8" w:rsidRPr="00C36B93" w:rsidRDefault="003670E8" w:rsidP="00EA194A">
            <w:pPr>
              <w:spacing w:line="240" w:lineRule="auto"/>
              <w:jc w:val="right"/>
              <w:rPr>
                <w:rFonts w:eastAsia="Times New Roman"/>
                <w:i/>
                <w:iCs/>
                <w:sz w:val="16"/>
                <w:szCs w:val="16"/>
                <w:lang w:val="en-US"/>
              </w:rPr>
            </w:pPr>
          </w:p>
        </w:tc>
        <w:tc>
          <w:tcPr>
            <w:tcW w:w="1134" w:type="dxa"/>
            <w:tcBorders>
              <w:top w:val="single" w:sz="6" w:space="0" w:color="auto"/>
              <w:left w:val="nil"/>
              <w:right w:val="nil"/>
            </w:tcBorders>
            <w:shd w:val="clear" w:color="000000" w:fill="FFFFFF"/>
            <w:vAlign w:val="bottom"/>
          </w:tcPr>
          <w:p w14:paraId="3477FCFD" w14:textId="77777777" w:rsidR="003670E8" w:rsidRPr="00C36B93" w:rsidRDefault="003670E8" w:rsidP="00EA194A">
            <w:pPr>
              <w:spacing w:line="240" w:lineRule="auto"/>
              <w:jc w:val="right"/>
              <w:rPr>
                <w:rFonts w:eastAsia="Times New Roman"/>
                <w:i/>
                <w:iCs/>
                <w:sz w:val="16"/>
                <w:szCs w:val="16"/>
                <w:lang w:val="en-US"/>
              </w:rPr>
            </w:pPr>
          </w:p>
        </w:tc>
        <w:tc>
          <w:tcPr>
            <w:tcW w:w="1843" w:type="dxa"/>
            <w:tcBorders>
              <w:top w:val="single" w:sz="6" w:space="0" w:color="auto"/>
              <w:left w:val="nil"/>
              <w:bottom w:val="nil"/>
              <w:right w:val="nil"/>
            </w:tcBorders>
            <w:shd w:val="clear" w:color="000000" w:fill="FFFFFF"/>
            <w:vAlign w:val="bottom"/>
            <w:hideMark/>
          </w:tcPr>
          <w:p w14:paraId="7A314E7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268" w:type="dxa"/>
            <w:tcBorders>
              <w:top w:val="single" w:sz="6" w:space="0" w:color="auto"/>
              <w:left w:val="nil"/>
              <w:right w:val="nil"/>
            </w:tcBorders>
            <w:shd w:val="clear" w:color="000000" w:fill="FFFFFF"/>
            <w:vAlign w:val="bottom"/>
            <w:hideMark/>
          </w:tcPr>
          <w:p w14:paraId="509C6C9F" w14:textId="77777777" w:rsidR="003670E8" w:rsidRPr="00C36B93" w:rsidRDefault="003670E8" w:rsidP="00EA194A">
            <w:pPr>
              <w:spacing w:line="240" w:lineRule="auto"/>
              <w:jc w:val="right"/>
              <w:rPr>
                <w:rFonts w:eastAsia="Times New Roman"/>
                <w:i/>
                <w:iCs/>
                <w:sz w:val="16"/>
                <w:szCs w:val="16"/>
                <w:lang w:val="en-US"/>
              </w:rPr>
            </w:pPr>
          </w:p>
        </w:tc>
        <w:tc>
          <w:tcPr>
            <w:tcW w:w="2693" w:type="dxa"/>
            <w:tcBorders>
              <w:top w:val="single" w:sz="6" w:space="0" w:color="auto"/>
              <w:left w:val="nil"/>
              <w:right w:val="nil"/>
            </w:tcBorders>
            <w:shd w:val="clear" w:color="000000" w:fill="FFFFFF"/>
            <w:vAlign w:val="bottom"/>
          </w:tcPr>
          <w:p w14:paraId="1BFFE28F" w14:textId="77777777" w:rsidR="003670E8" w:rsidRPr="00C36B93" w:rsidRDefault="003670E8" w:rsidP="00EA194A">
            <w:pPr>
              <w:spacing w:line="240" w:lineRule="auto"/>
              <w:jc w:val="right"/>
              <w:rPr>
                <w:rFonts w:eastAsia="Times New Roman"/>
                <w:i/>
                <w:iCs/>
                <w:sz w:val="16"/>
                <w:szCs w:val="16"/>
                <w:lang w:val="en-US"/>
              </w:rPr>
            </w:pPr>
          </w:p>
        </w:tc>
      </w:tr>
      <w:tr w:rsidR="003670E8" w:rsidRPr="00C36B93" w14:paraId="27EC9A6D" w14:textId="77777777" w:rsidTr="00EA194A">
        <w:trPr>
          <w:trHeight w:val="290"/>
        </w:trPr>
        <w:tc>
          <w:tcPr>
            <w:tcW w:w="1985" w:type="dxa"/>
            <w:tcBorders>
              <w:top w:val="nil"/>
              <w:left w:val="nil"/>
              <w:bottom w:val="nil"/>
              <w:right w:val="nil"/>
            </w:tcBorders>
            <w:shd w:val="clear" w:color="000000" w:fill="FFFFFF"/>
            <w:vAlign w:val="bottom"/>
            <w:hideMark/>
          </w:tcPr>
          <w:p w14:paraId="0F44C712"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62" w:type="dxa"/>
            <w:tcBorders>
              <w:top w:val="nil"/>
              <w:left w:val="nil"/>
              <w:bottom w:val="nil"/>
              <w:right w:val="nil"/>
            </w:tcBorders>
            <w:shd w:val="clear" w:color="000000" w:fill="FFFFFF"/>
            <w:vAlign w:val="bottom"/>
            <w:hideMark/>
          </w:tcPr>
          <w:p w14:paraId="5C95A88C"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389" w:type="dxa"/>
            <w:tcBorders>
              <w:top w:val="nil"/>
              <w:left w:val="nil"/>
              <w:bottom w:val="nil"/>
              <w:right w:val="nil"/>
            </w:tcBorders>
            <w:shd w:val="clear" w:color="000000" w:fill="FFFFFF"/>
            <w:vAlign w:val="bottom"/>
            <w:hideMark/>
          </w:tcPr>
          <w:p w14:paraId="746FE6BC"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84" w:type="dxa"/>
            <w:tcBorders>
              <w:left w:val="nil"/>
              <w:right w:val="nil"/>
            </w:tcBorders>
            <w:shd w:val="clear" w:color="000000" w:fill="FFFFFF"/>
            <w:vAlign w:val="bottom"/>
            <w:hideMark/>
          </w:tcPr>
          <w:p w14:paraId="03F3BF60" w14:textId="77777777" w:rsidR="003670E8" w:rsidRPr="00C36B93" w:rsidRDefault="003670E8" w:rsidP="00EA194A">
            <w:pPr>
              <w:spacing w:line="240" w:lineRule="auto"/>
              <w:jc w:val="right"/>
              <w:rPr>
                <w:rFonts w:eastAsia="Times New Roman"/>
                <w:i/>
                <w:iCs/>
                <w:sz w:val="16"/>
                <w:szCs w:val="16"/>
                <w:lang w:val="en-US"/>
              </w:rPr>
            </w:pPr>
          </w:p>
        </w:tc>
        <w:tc>
          <w:tcPr>
            <w:tcW w:w="1134" w:type="dxa"/>
            <w:tcBorders>
              <w:left w:val="nil"/>
              <w:right w:val="nil"/>
            </w:tcBorders>
            <w:shd w:val="clear" w:color="000000" w:fill="FFFFFF"/>
            <w:vAlign w:val="bottom"/>
          </w:tcPr>
          <w:p w14:paraId="390169C4" w14:textId="77777777" w:rsidR="003670E8" w:rsidRPr="00C36B93" w:rsidRDefault="003670E8" w:rsidP="00EA194A">
            <w:pPr>
              <w:spacing w:line="240" w:lineRule="auto"/>
              <w:jc w:val="right"/>
              <w:rPr>
                <w:rFonts w:eastAsia="Times New Roman"/>
                <w:i/>
                <w:iCs/>
                <w:sz w:val="16"/>
                <w:szCs w:val="16"/>
                <w:lang w:val="en-US"/>
              </w:rPr>
            </w:pPr>
          </w:p>
        </w:tc>
        <w:tc>
          <w:tcPr>
            <w:tcW w:w="1843" w:type="dxa"/>
            <w:tcBorders>
              <w:top w:val="nil"/>
              <w:left w:val="nil"/>
              <w:bottom w:val="nil"/>
              <w:right w:val="nil"/>
            </w:tcBorders>
            <w:shd w:val="clear" w:color="000000" w:fill="FFFFFF"/>
            <w:vAlign w:val="bottom"/>
            <w:hideMark/>
          </w:tcPr>
          <w:p w14:paraId="06435E45"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268" w:type="dxa"/>
            <w:tcBorders>
              <w:left w:val="nil"/>
              <w:right w:val="nil"/>
            </w:tcBorders>
            <w:shd w:val="clear" w:color="000000" w:fill="FFFFFF"/>
            <w:vAlign w:val="bottom"/>
            <w:hideMark/>
          </w:tcPr>
          <w:p w14:paraId="61843D47" w14:textId="77777777" w:rsidR="003670E8" w:rsidRPr="00C36B93" w:rsidRDefault="003670E8" w:rsidP="00EA194A">
            <w:pPr>
              <w:spacing w:line="240" w:lineRule="auto"/>
              <w:jc w:val="right"/>
              <w:rPr>
                <w:rFonts w:eastAsia="Times New Roman"/>
                <w:i/>
                <w:iCs/>
                <w:sz w:val="16"/>
                <w:szCs w:val="16"/>
                <w:lang w:val="en-US"/>
              </w:rPr>
            </w:pPr>
          </w:p>
        </w:tc>
        <w:tc>
          <w:tcPr>
            <w:tcW w:w="2693" w:type="dxa"/>
            <w:tcBorders>
              <w:left w:val="nil"/>
              <w:right w:val="nil"/>
            </w:tcBorders>
            <w:shd w:val="clear" w:color="000000" w:fill="FFFFFF"/>
            <w:vAlign w:val="bottom"/>
          </w:tcPr>
          <w:p w14:paraId="292FC02F" w14:textId="77777777" w:rsidR="003670E8" w:rsidRPr="00C36B93" w:rsidRDefault="003670E8" w:rsidP="00EA194A">
            <w:pPr>
              <w:spacing w:line="240" w:lineRule="auto"/>
              <w:jc w:val="right"/>
              <w:rPr>
                <w:rFonts w:eastAsia="Times New Roman"/>
                <w:i/>
                <w:iCs/>
                <w:sz w:val="16"/>
                <w:szCs w:val="16"/>
                <w:lang w:val="en-US"/>
              </w:rPr>
            </w:pPr>
          </w:p>
        </w:tc>
      </w:tr>
      <w:tr w:rsidR="003670E8" w:rsidRPr="00C36B93" w14:paraId="71EFF860" w14:textId="77777777" w:rsidTr="00EA194A">
        <w:trPr>
          <w:trHeight w:val="290"/>
        </w:trPr>
        <w:tc>
          <w:tcPr>
            <w:tcW w:w="1985" w:type="dxa"/>
            <w:tcBorders>
              <w:top w:val="nil"/>
              <w:left w:val="nil"/>
              <w:bottom w:val="nil"/>
              <w:right w:val="nil"/>
            </w:tcBorders>
            <w:shd w:val="clear" w:color="000000" w:fill="FFFFFF"/>
            <w:vAlign w:val="bottom"/>
            <w:hideMark/>
          </w:tcPr>
          <w:p w14:paraId="3AED08C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62" w:type="dxa"/>
            <w:tcBorders>
              <w:top w:val="nil"/>
              <w:left w:val="nil"/>
              <w:bottom w:val="nil"/>
              <w:right w:val="nil"/>
            </w:tcBorders>
            <w:shd w:val="clear" w:color="000000" w:fill="FFFFFF"/>
            <w:vAlign w:val="bottom"/>
            <w:hideMark/>
          </w:tcPr>
          <w:p w14:paraId="3276E1E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389" w:type="dxa"/>
            <w:tcBorders>
              <w:top w:val="nil"/>
              <w:left w:val="nil"/>
              <w:bottom w:val="nil"/>
              <w:right w:val="nil"/>
            </w:tcBorders>
            <w:shd w:val="clear" w:color="000000" w:fill="FFFFFF"/>
            <w:vAlign w:val="bottom"/>
            <w:hideMark/>
          </w:tcPr>
          <w:p w14:paraId="15C567C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84" w:type="dxa"/>
            <w:tcBorders>
              <w:left w:val="nil"/>
              <w:right w:val="nil"/>
            </w:tcBorders>
            <w:shd w:val="clear" w:color="000000" w:fill="FFFFFF"/>
            <w:vAlign w:val="bottom"/>
            <w:hideMark/>
          </w:tcPr>
          <w:p w14:paraId="512B5014" w14:textId="77777777" w:rsidR="003670E8" w:rsidRPr="00C36B93" w:rsidRDefault="003670E8" w:rsidP="00EA194A">
            <w:pPr>
              <w:spacing w:line="240" w:lineRule="auto"/>
              <w:jc w:val="right"/>
              <w:rPr>
                <w:rFonts w:eastAsia="Times New Roman"/>
                <w:i/>
                <w:iCs/>
                <w:sz w:val="16"/>
                <w:szCs w:val="16"/>
                <w:lang w:val="en-US"/>
              </w:rPr>
            </w:pPr>
          </w:p>
        </w:tc>
        <w:tc>
          <w:tcPr>
            <w:tcW w:w="1134" w:type="dxa"/>
            <w:tcBorders>
              <w:left w:val="nil"/>
              <w:right w:val="nil"/>
            </w:tcBorders>
            <w:shd w:val="clear" w:color="000000" w:fill="FFFFFF"/>
            <w:vAlign w:val="bottom"/>
          </w:tcPr>
          <w:p w14:paraId="05ABE2BD" w14:textId="77777777" w:rsidR="003670E8" w:rsidRPr="00C36B93" w:rsidRDefault="003670E8" w:rsidP="00EA194A">
            <w:pPr>
              <w:spacing w:line="240" w:lineRule="auto"/>
              <w:jc w:val="right"/>
              <w:rPr>
                <w:rFonts w:eastAsia="Times New Roman"/>
                <w:i/>
                <w:iCs/>
                <w:sz w:val="16"/>
                <w:szCs w:val="16"/>
                <w:lang w:val="en-US"/>
              </w:rPr>
            </w:pPr>
          </w:p>
        </w:tc>
        <w:tc>
          <w:tcPr>
            <w:tcW w:w="1843" w:type="dxa"/>
            <w:tcBorders>
              <w:top w:val="nil"/>
              <w:left w:val="nil"/>
              <w:bottom w:val="nil"/>
              <w:right w:val="nil"/>
            </w:tcBorders>
            <w:shd w:val="clear" w:color="000000" w:fill="FFFFFF"/>
            <w:vAlign w:val="bottom"/>
            <w:hideMark/>
          </w:tcPr>
          <w:p w14:paraId="2E262D79"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268" w:type="dxa"/>
            <w:tcBorders>
              <w:left w:val="nil"/>
              <w:right w:val="nil"/>
            </w:tcBorders>
            <w:shd w:val="clear" w:color="000000" w:fill="FFFFFF"/>
            <w:vAlign w:val="bottom"/>
            <w:hideMark/>
          </w:tcPr>
          <w:p w14:paraId="09AB595F" w14:textId="77777777" w:rsidR="003670E8" w:rsidRPr="00C36B93" w:rsidRDefault="003670E8" w:rsidP="00EA194A">
            <w:pPr>
              <w:spacing w:line="240" w:lineRule="auto"/>
              <w:jc w:val="right"/>
              <w:rPr>
                <w:rFonts w:eastAsia="Times New Roman"/>
                <w:i/>
                <w:iCs/>
                <w:sz w:val="16"/>
                <w:szCs w:val="16"/>
                <w:lang w:val="en-US"/>
              </w:rPr>
            </w:pPr>
          </w:p>
        </w:tc>
        <w:tc>
          <w:tcPr>
            <w:tcW w:w="2693" w:type="dxa"/>
            <w:tcBorders>
              <w:left w:val="nil"/>
              <w:right w:val="nil"/>
            </w:tcBorders>
            <w:shd w:val="clear" w:color="000000" w:fill="FFFFFF"/>
            <w:vAlign w:val="bottom"/>
          </w:tcPr>
          <w:p w14:paraId="0D903FE5" w14:textId="77777777" w:rsidR="003670E8" w:rsidRPr="00C36B93" w:rsidRDefault="003670E8" w:rsidP="00EA194A">
            <w:pPr>
              <w:spacing w:line="240" w:lineRule="auto"/>
              <w:jc w:val="right"/>
              <w:rPr>
                <w:rFonts w:eastAsia="Times New Roman"/>
                <w:i/>
                <w:iCs/>
                <w:sz w:val="16"/>
                <w:szCs w:val="16"/>
                <w:lang w:val="en-US"/>
              </w:rPr>
            </w:pPr>
          </w:p>
        </w:tc>
      </w:tr>
      <w:tr w:rsidR="003670E8" w:rsidRPr="00C36B93" w14:paraId="7F363000" w14:textId="77777777" w:rsidTr="00EA194A">
        <w:trPr>
          <w:trHeight w:val="290"/>
        </w:trPr>
        <w:tc>
          <w:tcPr>
            <w:tcW w:w="1985" w:type="dxa"/>
            <w:tcBorders>
              <w:top w:val="nil"/>
              <w:left w:val="nil"/>
              <w:bottom w:val="nil"/>
              <w:right w:val="nil"/>
            </w:tcBorders>
            <w:shd w:val="clear" w:color="000000" w:fill="FFFFFF"/>
            <w:vAlign w:val="bottom"/>
            <w:hideMark/>
          </w:tcPr>
          <w:p w14:paraId="1E185FF5"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62" w:type="dxa"/>
            <w:tcBorders>
              <w:top w:val="nil"/>
              <w:left w:val="nil"/>
              <w:bottom w:val="nil"/>
              <w:right w:val="nil"/>
            </w:tcBorders>
            <w:shd w:val="clear" w:color="000000" w:fill="FFFFFF"/>
            <w:vAlign w:val="bottom"/>
            <w:hideMark/>
          </w:tcPr>
          <w:p w14:paraId="2825EED5"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389" w:type="dxa"/>
            <w:tcBorders>
              <w:top w:val="nil"/>
              <w:left w:val="nil"/>
              <w:bottom w:val="nil"/>
              <w:right w:val="nil"/>
            </w:tcBorders>
            <w:shd w:val="clear" w:color="000000" w:fill="FFFFFF"/>
            <w:vAlign w:val="bottom"/>
            <w:hideMark/>
          </w:tcPr>
          <w:p w14:paraId="52481707"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84" w:type="dxa"/>
            <w:tcBorders>
              <w:left w:val="nil"/>
              <w:right w:val="nil"/>
            </w:tcBorders>
            <w:shd w:val="clear" w:color="000000" w:fill="FFFFFF"/>
            <w:vAlign w:val="bottom"/>
            <w:hideMark/>
          </w:tcPr>
          <w:p w14:paraId="32A8437B" w14:textId="77777777" w:rsidR="003670E8" w:rsidRPr="00C36B93" w:rsidRDefault="003670E8" w:rsidP="00EA194A">
            <w:pPr>
              <w:spacing w:line="240" w:lineRule="auto"/>
              <w:jc w:val="right"/>
              <w:rPr>
                <w:rFonts w:eastAsia="Times New Roman"/>
                <w:i/>
                <w:iCs/>
                <w:sz w:val="16"/>
                <w:szCs w:val="16"/>
                <w:lang w:val="en-US"/>
              </w:rPr>
            </w:pPr>
          </w:p>
        </w:tc>
        <w:tc>
          <w:tcPr>
            <w:tcW w:w="1134" w:type="dxa"/>
            <w:tcBorders>
              <w:left w:val="nil"/>
              <w:right w:val="nil"/>
            </w:tcBorders>
            <w:shd w:val="clear" w:color="000000" w:fill="FFFFFF"/>
            <w:vAlign w:val="bottom"/>
          </w:tcPr>
          <w:p w14:paraId="7C319AA6" w14:textId="77777777" w:rsidR="003670E8" w:rsidRPr="00C36B93" w:rsidRDefault="003670E8" w:rsidP="00EA194A">
            <w:pPr>
              <w:spacing w:line="240" w:lineRule="auto"/>
              <w:jc w:val="right"/>
              <w:rPr>
                <w:rFonts w:eastAsia="Times New Roman"/>
                <w:i/>
                <w:iCs/>
                <w:sz w:val="16"/>
                <w:szCs w:val="16"/>
                <w:lang w:val="en-US"/>
              </w:rPr>
            </w:pPr>
          </w:p>
        </w:tc>
        <w:tc>
          <w:tcPr>
            <w:tcW w:w="1843" w:type="dxa"/>
            <w:tcBorders>
              <w:top w:val="nil"/>
              <w:left w:val="nil"/>
              <w:bottom w:val="nil"/>
              <w:right w:val="nil"/>
            </w:tcBorders>
            <w:shd w:val="clear" w:color="000000" w:fill="FFFFFF"/>
            <w:vAlign w:val="bottom"/>
            <w:hideMark/>
          </w:tcPr>
          <w:p w14:paraId="1606D1C3"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268" w:type="dxa"/>
            <w:tcBorders>
              <w:left w:val="nil"/>
              <w:right w:val="nil"/>
            </w:tcBorders>
            <w:shd w:val="clear" w:color="000000" w:fill="FFFFFF"/>
            <w:vAlign w:val="bottom"/>
            <w:hideMark/>
          </w:tcPr>
          <w:p w14:paraId="1EA9D845" w14:textId="77777777" w:rsidR="003670E8" w:rsidRPr="00C36B93" w:rsidRDefault="003670E8" w:rsidP="00EA194A">
            <w:pPr>
              <w:spacing w:line="240" w:lineRule="auto"/>
              <w:jc w:val="right"/>
              <w:rPr>
                <w:rFonts w:eastAsia="Times New Roman"/>
                <w:i/>
                <w:iCs/>
                <w:sz w:val="16"/>
                <w:szCs w:val="16"/>
                <w:lang w:val="en-US"/>
              </w:rPr>
            </w:pPr>
          </w:p>
        </w:tc>
        <w:tc>
          <w:tcPr>
            <w:tcW w:w="2693" w:type="dxa"/>
            <w:tcBorders>
              <w:left w:val="nil"/>
              <w:right w:val="nil"/>
            </w:tcBorders>
            <w:shd w:val="clear" w:color="000000" w:fill="FFFFFF"/>
            <w:vAlign w:val="bottom"/>
          </w:tcPr>
          <w:p w14:paraId="74DA8BE8" w14:textId="77777777" w:rsidR="003670E8" w:rsidRPr="00C36B93" w:rsidRDefault="003670E8" w:rsidP="00EA194A">
            <w:pPr>
              <w:spacing w:line="240" w:lineRule="auto"/>
              <w:jc w:val="right"/>
              <w:rPr>
                <w:rFonts w:eastAsia="Times New Roman"/>
                <w:i/>
                <w:iCs/>
                <w:sz w:val="16"/>
                <w:szCs w:val="16"/>
                <w:lang w:val="en-US"/>
              </w:rPr>
            </w:pPr>
          </w:p>
        </w:tc>
      </w:tr>
      <w:tr w:rsidR="003670E8" w:rsidRPr="00C36B93" w14:paraId="1B33CF57" w14:textId="77777777" w:rsidTr="00EA194A">
        <w:trPr>
          <w:trHeight w:val="290"/>
        </w:trPr>
        <w:tc>
          <w:tcPr>
            <w:tcW w:w="1985" w:type="dxa"/>
            <w:tcBorders>
              <w:top w:val="nil"/>
              <w:left w:val="nil"/>
              <w:bottom w:val="nil"/>
              <w:right w:val="nil"/>
            </w:tcBorders>
            <w:shd w:val="clear" w:color="000000" w:fill="FFFFFF"/>
            <w:vAlign w:val="bottom"/>
            <w:hideMark/>
          </w:tcPr>
          <w:p w14:paraId="5CDC5F6B"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162" w:type="dxa"/>
            <w:tcBorders>
              <w:top w:val="nil"/>
              <w:left w:val="nil"/>
              <w:bottom w:val="nil"/>
              <w:right w:val="nil"/>
            </w:tcBorders>
            <w:shd w:val="clear" w:color="000000" w:fill="FFFFFF"/>
            <w:vAlign w:val="bottom"/>
            <w:hideMark/>
          </w:tcPr>
          <w:p w14:paraId="0D45699C"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1389" w:type="dxa"/>
            <w:tcBorders>
              <w:top w:val="nil"/>
              <w:left w:val="nil"/>
              <w:bottom w:val="nil"/>
              <w:right w:val="nil"/>
            </w:tcBorders>
            <w:shd w:val="clear" w:color="000000" w:fill="FFFFFF"/>
            <w:vAlign w:val="bottom"/>
            <w:hideMark/>
          </w:tcPr>
          <w:p w14:paraId="3AF14211"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84" w:type="dxa"/>
            <w:tcBorders>
              <w:left w:val="nil"/>
              <w:right w:val="nil"/>
            </w:tcBorders>
            <w:shd w:val="clear" w:color="000000" w:fill="FFFFFF"/>
            <w:vAlign w:val="bottom"/>
            <w:hideMark/>
          </w:tcPr>
          <w:p w14:paraId="54804916" w14:textId="77777777" w:rsidR="003670E8" w:rsidRPr="00C36B93" w:rsidRDefault="003670E8" w:rsidP="00EA194A">
            <w:pPr>
              <w:spacing w:line="240" w:lineRule="auto"/>
              <w:jc w:val="right"/>
              <w:rPr>
                <w:rFonts w:eastAsia="Times New Roman"/>
                <w:i/>
                <w:iCs/>
                <w:sz w:val="16"/>
                <w:szCs w:val="16"/>
                <w:lang w:val="en-US"/>
              </w:rPr>
            </w:pPr>
          </w:p>
        </w:tc>
        <w:tc>
          <w:tcPr>
            <w:tcW w:w="1134" w:type="dxa"/>
            <w:tcBorders>
              <w:left w:val="nil"/>
              <w:right w:val="nil"/>
            </w:tcBorders>
            <w:shd w:val="clear" w:color="000000" w:fill="FFFFFF"/>
            <w:vAlign w:val="bottom"/>
          </w:tcPr>
          <w:p w14:paraId="5880B2B3" w14:textId="77777777" w:rsidR="003670E8" w:rsidRPr="00C36B93" w:rsidRDefault="003670E8" w:rsidP="00EA194A">
            <w:pPr>
              <w:spacing w:line="240" w:lineRule="auto"/>
              <w:jc w:val="right"/>
              <w:rPr>
                <w:rFonts w:eastAsia="Times New Roman"/>
                <w:i/>
                <w:iCs/>
                <w:sz w:val="16"/>
                <w:szCs w:val="16"/>
                <w:lang w:val="en-US"/>
              </w:rPr>
            </w:pPr>
          </w:p>
        </w:tc>
        <w:tc>
          <w:tcPr>
            <w:tcW w:w="1843" w:type="dxa"/>
            <w:tcBorders>
              <w:top w:val="nil"/>
              <w:left w:val="nil"/>
              <w:bottom w:val="nil"/>
              <w:right w:val="nil"/>
            </w:tcBorders>
            <w:shd w:val="clear" w:color="000000" w:fill="FFFFFF"/>
            <w:vAlign w:val="bottom"/>
            <w:hideMark/>
          </w:tcPr>
          <w:p w14:paraId="5C545178" w14:textId="77777777" w:rsidR="003670E8" w:rsidRPr="00C36B93" w:rsidRDefault="003670E8" w:rsidP="00EA194A">
            <w:pPr>
              <w:suppressAutoHyphens w:val="0"/>
              <w:spacing w:line="240" w:lineRule="auto"/>
              <w:jc w:val="center"/>
              <w:rPr>
                <w:rFonts w:eastAsia="Times New Roman"/>
                <w:i/>
                <w:iCs/>
                <w:sz w:val="16"/>
                <w:szCs w:val="16"/>
                <w:lang w:val="en-US"/>
              </w:rPr>
            </w:pPr>
            <w:r w:rsidRPr="00C36B93">
              <w:rPr>
                <w:rFonts w:eastAsia="Times New Roman"/>
                <w:i/>
                <w:iCs/>
                <w:sz w:val="16"/>
                <w:szCs w:val="16"/>
                <w:lang w:val="en-US"/>
              </w:rPr>
              <w:t> </w:t>
            </w:r>
          </w:p>
        </w:tc>
        <w:tc>
          <w:tcPr>
            <w:tcW w:w="2268" w:type="dxa"/>
            <w:tcBorders>
              <w:left w:val="nil"/>
              <w:right w:val="nil"/>
            </w:tcBorders>
            <w:shd w:val="clear" w:color="000000" w:fill="FFFFFF"/>
            <w:vAlign w:val="bottom"/>
            <w:hideMark/>
          </w:tcPr>
          <w:p w14:paraId="29C65DA2" w14:textId="77777777" w:rsidR="003670E8" w:rsidRPr="00C36B93" w:rsidRDefault="003670E8" w:rsidP="00EA194A">
            <w:pPr>
              <w:spacing w:line="240" w:lineRule="auto"/>
              <w:jc w:val="right"/>
              <w:rPr>
                <w:rFonts w:eastAsia="Times New Roman"/>
                <w:i/>
                <w:iCs/>
                <w:sz w:val="16"/>
                <w:szCs w:val="16"/>
                <w:lang w:val="en-US"/>
              </w:rPr>
            </w:pPr>
          </w:p>
        </w:tc>
        <w:tc>
          <w:tcPr>
            <w:tcW w:w="2693" w:type="dxa"/>
            <w:tcBorders>
              <w:left w:val="nil"/>
              <w:right w:val="nil"/>
            </w:tcBorders>
            <w:shd w:val="clear" w:color="000000" w:fill="FFFFFF"/>
            <w:vAlign w:val="bottom"/>
          </w:tcPr>
          <w:p w14:paraId="3A02DF0D" w14:textId="77777777" w:rsidR="003670E8" w:rsidRPr="00C36B93" w:rsidRDefault="003670E8" w:rsidP="00EA194A">
            <w:pPr>
              <w:spacing w:line="240" w:lineRule="auto"/>
              <w:jc w:val="right"/>
              <w:rPr>
                <w:rFonts w:eastAsia="Times New Roman"/>
                <w:i/>
                <w:iCs/>
                <w:sz w:val="16"/>
                <w:szCs w:val="16"/>
                <w:lang w:val="en-US"/>
              </w:rPr>
            </w:pPr>
          </w:p>
        </w:tc>
      </w:tr>
      <w:tr w:rsidR="003670E8" w:rsidRPr="00C36B93" w14:paraId="7544C88F" w14:textId="77777777" w:rsidTr="00EA194A">
        <w:trPr>
          <w:trHeight w:val="300"/>
        </w:trPr>
        <w:tc>
          <w:tcPr>
            <w:tcW w:w="1985" w:type="dxa"/>
            <w:tcBorders>
              <w:top w:val="nil"/>
              <w:left w:val="nil"/>
              <w:bottom w:val="nil"/>
              <w:right w:val="nil"/>
            </w:tcBorders>
            <w:shd w:val="clear" w:color="000000" w:fill="FFFFFF"/>
            <w:noWrap/>
            <w:vAlign w:val="bottom"/>
            <w:hideMark/>
          </w:tcPr>
          <w:p w14:paraId="2DA5F960" w14:textId="77777777" w:rsidR="003670E8" w:rsidRPr="00C36B93" w:rsidRDefault="003670E8" w:rsidP="00EA194A">
            <w:pPr>
              <w:suppressAutoHyphens w:val="0"/>
              <w:spacing w:line="240" w:lineRule="auto"/>
              <w:rPr>
                <w:rFonts w:ascii="Calibri" w:eastAsia="Times New Roman" w:hAnsi="Calibri" w:cs="Calibri"/>
                <w:sz w:val="22"/>
                <w:szCs w:val="22"/>
                <w:lang w:val="en-US"/>
              </w:rPr>
            </w:pPr>
            <w:r w:rsidRPr="00C36B93">
              <w:rPr>
                <w:rFonts w:ascii="Calibri" w:eastAsia="Times New Roman" w:hAnsi="Calibri" w:cs="Calibri"/>
                <w:sz w:val="22"/>
                <w:szCs w:val="22"/>
                <w:lang w:val="en-US"/>
              </w:rPr>
              <w:t> </w:t>
            </w:r>
          </w:p>
        </w:tc>
        <w:tc>
          <w:tcPr>
            <w:tcW w:w="1162" w:type="dxa"/>
            <w:tcBorders>
              <w:top w:val="nil"/>
              <w:left w:val="nil"/>
              <w:bottom w:val="nil"/>
              <w:right w:val="nil"/>
            </w:tcBorders>
            <w:shd w:val="clear" w:color="000000" w:fill="FFFFFF"/>
            <w:noWrap/>
            <w:vAlign w:val="bottom"/>
            <w:hideMark/>
          </w:tcPr>
          <w:p w14:paraId="535C9743" w14:textId="77777777" w:rsidR="003670E8" w:rsidRPr="00C36B93" w:rsidRDefault="003670E8" w:rsidP="00EA194A">
            <w:pPr>
              <w:suppressAutoHyphens w:val="0"/>
              <w:spacing w:line="240" w:lineRule="auto"/>
              <w:rPr>
                <w:rFonts w:ascii="Calibri" w:eastAsia="Times New Roman" w:hAnsi="Calibri" w:cs="Calibri"/>
                <w:sz w:val="22"/>
                <w:szCs w:val="22"/>
                <w:lang w:val="en-US"/>
              </w:rPr>
            </w:pPr>
            <w:r w:rsidRPr="00C36B93">
              <w:rPr>
                <w:rFonts w:ascii="Calibri" w:eastAsia="Times New Roman" w:hAnsi="Calibri" w:cs="Calibri"/>
                <w:sz w:val="22"/>
                <w:szCs w:val="22"/>
                <w:lang w:val="en-US"/>
              </w:rPr>
              <w:t> </w:t>
            </w:r>
          </w:p>
        </w:tc>
        <w:tc>
          <w:tcPr>
            <w:tcW w:w="1389" w:type="dxa"/>
            <w:tcBorders>
              <w:top w:val="nil"/>
              <w:left w:val="nil"/>
              <w:bottom w:val="nil"/>
              <w:right w:val="nil"/>
            </w:tcBorders>
            <w:shd w:val="clear" w:color="000000" w:fill="FFFFFF"/>
            <w:noWrap/>
            <w:vAlign w:val="bottom"/>
            <w:hideMark/>
          </w:tcPr>
          <w:p w14:paraId="2223D8CE" w14:textId="77777777" w:rsidR="003670E8" w:rsidRPr="00C36B93" w:rsidRDefault="003670E8" w:rsidP="00EA194A">
            <w:pPr>
              <w:suppressAutoHyphens w:val="0"/>
              <w:spacing w:line="240" w:lineRule="auto"/>
              <w:rPr>
                <w:rFonts w:ascii="Calibri" w:eastAsia="Times New Roman" w:hAnsi="Calibri" w:cs="Calibri"/>
                <w:sz w:val="22"/>
                <w:szCs w:val="22"/>
                <w:lang w:val="en-US"/>
              </w:rPr>
            </w:pPr>
            <w:r w:rsidRPr="00C36B93">
              <w:rPr>
                <w:rFonts w:ascii="Calibri" w:eastAsia="Times New Roman" w:hAnsi="Calibri" w:cs="Calibri"/>
                <w:sz w:val="22"/>
                <w:szCs w:val="22"/>
                <w:lang w:val="en-US"/>
              </w:rPr>
              <w:t> </w:t>
            </w:r>
          </w:p>
        </w:tc>
        <w:tc>
          <w:tcPr>
            <w:tcW w:w="284" w:type="dxa"/>
            <w:tcBorders>
              <w:left w:val="nil"/>
              <w:right w:val="nil"/>
            </w:tcBorders>
            <w:shd w:val="clear" w:color="000000" w:fill="FFFFFF"/>
            <w:noWrap/>
            <w:vAlign w:val="bottom"/>
            <w:hideMark/>
          </w:tcPr>
          <w:p w14:paraId="54412D27" w14:textId="77777777" w:rsidR="003670E8" w:rsidRPr="00C36B93" w:rsidRDefault="003670E8" w:rsidP="00EA194A">
            <w:pPr>
              <w:spacing w:line="240" w:lineRule="auto"/>
              <w:jc w:val="right"/>
              <w:rPr>
                <w:rFonts w:ascii="Calibri" w:eastAsia="Times New Roman" w:hAnsi="Calibri" w:cs="Calibri"/>
                <w:sz w:val="22"/>
                <w:szCs w:val="22"/>
                <w:lang w:val="en-US"/>
              </w:rPr>
            </w:pPr>
          </w:p>
        </w:tc>
        <w:tc>
          <w:tcPr>
            <w:tcW w:w="1134" w:type="dxa"/>
            <w:tcBorders>
              <w:left w:val="nil"/>
              <w:bottom w:val="single" w:sz="6" w:space="0" w:color="auto"/>
              <w:right w:val="nil"/>
            </w:tcBorders>
            <w:shd w:val="clear" w:color="000000" w:fill="FFFFFF"/>
            <w:vAlign w:val="bottom"/>
          </w:tcPr>
          <w:p w14:paraId="636E1499" w14:textId="77777777" w:rsidR="003670E8" w:rsidRPr="00C36B93" w:rsidRDefault="003670E8" w:rsidP="00EA194A">
            <w:pPr>
              <w:spacing w:line="240" w:lineRule="auto"/>
              <w:jc w:val="right"/>
              <w:rPr>
                <w:rFonts w:ascii="Calibri" w:eastAsia="Times New Roman" w:hAnsi="Calibri" w:cs="Calibri"/>
                <w:sz w:val="22"/>
                <w:szCs w:val="22"/>
                <w:lang w:val="en-US"/>
              </w:rPr>
            </w:pPr>
          </w:p>
        </w:tc>
        <w:tc>
          <w:tcPr>
            <w:tcW w:w="1843" w:type="dxa"/>
            <w:tcBorders>
              <w:top w:val="nil"/>
              <w:left w:val="nil"/>
              <w:bottom w:val="nil"/>
              <w:right w:val="nil"/>
            </w:tcBorders>
            <w:shd w:val="clear" w:color="000000" w:fill="FFFFFF"/>
            <w:noWrap/>
            <w:vAlign w:val="bottom"/>
            <w:hideMark/>
          </w:tcPr>
          <w:p w14:paraId="11190CD9" w14:textId="77777777" w:rsidR="003670E8" w:rsidRPr="00C36B93" w:rsidRDefault="003670E8" w:rsidP="00EA194A">
            <w:pPr>
              <w:suppressAutoHyphens w:val="0"/>
              <w:spacing w:line="240" w:lineRule="auto"/>
              <w:rPr>
                <w:rFonts w:ascii="Calibri" w:eastAsia="Times New Roman" w:hAnsi="Calibri" w:cs="Calibri"/>
                <w:sz w:val="22"/>
                <w:szCs w:val="22"/>
                <w:lang w:val="en-US"/>
              </w:rPr>
            </w:pPr>
            <w:r w:rsidRPr="00C36B93">
              <w:rPr>
                <w:rFonts w:ascii="Calibri" w:eastAsia="Times New Roman" w:hAnsi="Calibri" w:cs="Calibri"/>
                <w:sz w:val="22"/>
                <w:szCs w:val="22"/>
                <w:lang w:val="en-US"/>
              </w:rPr>
              <w:t> </w:t>
            </w:r>
          </w:p>
        </w:tc>
        <w:tc>
          <w:tcPr>
            <w:tcW w:w="2268" w:type="dxa"/>
            <w:tcBorders>
              <w:left w:val="nil"/>
              <w:right w:val="nil"/>
            </w:tcBorders>
            <w:shd w:val="clear" w:color="000000" w:fill="FFFFFF"/>
            <w:noWrap/>
            <w:vAlign w:val="bottom"/>
            <w:hideMark/>
          </w:tcPr>
          <w:p w14:paraId="090E9D74" w14:textId="77777777" w:rsidR="003670E8" w:rsidRPr="00C36B93" w:rsidRDefault="003670E8" w:rsidP="00EA194A">
            <w:pPr>
              <w:spacing w:line="240" w:lineRule="auto"/>
              <w:jc w:val="right"/>
              <w:rPr>
                <w:rFonts w:ascii="Calibri" w:eastAsia="Times New Roman" w:hAnsi="Calibri" w:cs="Calibri"/>
                <w:sz w:val="22"/>
                <w:szCs w:val="22"/>
                <w:lang w:val="en-US"/>
              </w:rPr>
            </w:pPr>
          </w:p>
        </w:tc>
        <w:tc>
          <w:tcPr>
            <w:tcW w:w="2693" w:type="dxa"/>
            <w:tcBorders>
              <w:left w:val="nil"/>
              <w:right w:val="nil"/>
            </w:tcBorders>
            <w:shd w:val="clear" w:color="000000" w:fill="FFFFFF"/>
            <w:vAlign w:val="bottom"/>
          </w:tcPr>
          <w:p w14:paraId="10BB1C99" w14:textId="77777777" w:rsidR="003670E8" w:rsidRPr="00C36B93" w:rsidRDefault="003670E8" w:rsidP="00EA194A">
            <w:pPr>
              <w:spacing w:line="240" w:lineRule="auto"/>
              <w:jc w:val="right"/>
              <w:rPr>
                <w:rFonts w:ascii="Calibri" w:eastAsia="Times New Roman" w:hAnsi="Calibri" w:cs="Calibri"/>
                <w:sz w:val="22"/>
                <w:szCs w:val="22"/>
                <w:lang w:val="en-US"/>
              </w:rPr>
            </w:pPr>
          </w:p>
        </w:tc>
      </w:tr>
      <w:tr w:rsidR="003670E8" w:rsidRPr="00C36B93" w14:paraId="6958DAAD" w14:textId="77777777" w:rsidTr="00EA194A">
        <w:trPr>
          <w:trHeight w:val="300"/>
        </w:trPr>
        <w:tc>
          <w:tcPr>
            <w:tcW w:w="1985" w:type="dxa"/>
            <w:tcBorders>
              <w:top w:val="single" w:sz="4" w:space="0" w:color="auto"/>
              <w:left w:val="nil"/>
              <w:bottom w:val="single" w:sz="12" w:space="0" w:color="auto"/>
              <w:right w:val="nil"/>
            </w:tcBorders>
            <w:shd w:val="clear" w:color="000000" w:fill="FFFFFF"/>
            <w:noWrap/>
            <w:vAlign w:val="center"/>
            <w:hideMark/>
          </w:tcPr>
          <w:p w14:paraId="6ACF11E1" w14:textId="77777777" w:rsidR="003670E8" w:rsidRPr="00C36B93" w:rsidRDefault="003670E8" w:rsidP="00EA194A">
            <w:pPr>
              <w:suppressAutoHyphens w:val="0"/>
              <w:spacing w:line="240" w:lineRule="auto"/>
              <w:jc w:val="right"/>
              <w:rPr>
                <w:rFonts w:eastAsia="Times New Roman"/>
                <w:lang w:val="en-US"/>
              </w:rPr>
            </w:pPr>
            <w:r w:rsidRPr="00C36B93">
              <w:rPr>
                <w:rFonts w:eastAsia="Times New Roman"/>
                <w:lang w:val="en-US"/>
              </w:rPr>
              <w:t> </w:t>
            </w:r>
          </w:p>
        </w:tc>
        <w:tc>
          <w:tcPr>
            <w:tcW w:w="1162" w:type="dxa"/>
            <w:tcBorders>
              <w:top w:val="single" w:sz="4" w:space="0" w:color="auto"/>
              <w:left w:val="nil"/>
              <w:bottom w:val="single" w:sz="12" w:space="0" w:color="auto"/>
              <w:right w:val="nil"/>
            </w:tcBorders>
            <w:shd w:val="clear" w:color="000000" w:fill="FFFFFF"/>
            <w:noWrap/>
            <w:vAlign w:val="center"/>
            <w:hideMark/>
          </w:tcPr>
          <w:p w14:paraId="24EDCF5D" w14:textId="77777777" w:rsidR="003670E8" w:rsidRPr="00C36B93" w:rsidRDefault="003670E8" w:rsidP="00EA194A">
            <w:pPr>
              <w:suppressAutoHyphens w:val="0"/>
              <w:spacing w:line="240" w:lineRule="auto"/>
              <w:jc w:val="right"/>
              <w:rPr>
                <w:rFonts w:eastAsia="Times New Roman"/>
                <w:lang w:val="en-US"/>
              </w:rPr>
            </w:pPr>
            <w:r w:rsidRPr="00C36B93">
              <w:rPr>
                <w:rFonts w:eastAsia="Times New Roman"/>
                <w:lang w:val="en-US"/>
              </w:rPr>
              <w:t> </w:t>
            </w:r>
          </w:p>
        </w:tc>
        <w:tc>
          <w:tcPr>
            <w:tcW w:w="1389" w:type="dxa"/>
            <w:tcBorders>
              <w:top w:val="single" w:sz="4" w:space="0" w:color="auto"/>
              <w:left w:val="nil"/>
              <w:bottom w:val="single" w:sz="12" w:space="0" w:color="auto"/>
              <w:right w:val="nil"/>
            </w:tcBorders>
            <w:shd w:val="clear" w:color="000000" w:fill="FFFFFF"/>
            <w:noWrap/>
            <w:vAlign w:val="center"/>
            <w:hideMark/>
          </w:tcPr>
          <w:p w14:paraId="5238E88B" w14:textId="77777777" w:rsidR="003670E8" w:rsidRPr="00C36B93" w:rsidRDefault="003670E8" w:rsidP="00EA194A">
            <w:pPr>
              <w:suppressAutoHyphens w:val="0"/>
              <w:spacing w:line="240" w:lineRule="auto"/>
              <w:jc w:val="right"/>
              <w:rPr>
                <w:rFonts w:eastAsia="Times New Roman"/>
                <w:lang w:val="en-US"/>
              </w:rPr>
            </w:pPr>
            <w:r w:rsidRPr="00C36B93">
              <w:rPr>
                <w:rFonts w:eastAsia="Times New Roman"/>
                <w:lang w:val="en-US"/>
              </w:rPr>
              <w:t> </w:t>
            </w:r>
          </w:p>
        </w:tc>
        <w:tc>
          <w:tcPr>
            <w:tcW w:w="284" w:type="dxa"/>
            <w:tcBorders>
              <w:left w:val="nil"/>
              <w:bottom w:val="single" w:sz="12" w:space="0" w:color="auto"/>
              <w:right w:val="nil"/>
            </w:tcBorders>
            <w:shd w:val="clear" w:color="000000" w:fill="FFFFFF"/>
            <w:noWrap/>
            <w:vAlign w:val="center"/>
            <w:hideMark/>
          </w:tcPr>
          <w:p w14:paraId="6C3DFA74" w14:textId="77777777" w:rsidR="003670E8" w:rsidRPr="00C36B93" w:rsidRDefault="003670E8" w:rsidP="00EA194A">
            <w:pPr>
              <w:suppressAutoHyphens w:val="0"/>
              <w:spacing w:line="240" w:lineRule="auto"/>
              <w:jc w:val="right"/>
              <w:rPr>
                <w:rFonts w:eastAsia="Times New Roman"/>
                <w:lang w:val="en-US"/>
              </w:rPr>
            </w:pPr>
          </w:p>
        </w:tc>
        <w:tc>
          <w:tcPr>
            <w:tcW w:w="1134" w:type="dxa"/>
            <w:tcBorders>
              <w:top w:val="single" w:sz="6" w:space="0" w:color="auto"/>
              <w:left w:val="nil"/>
              <w:bottom w:val="single" w:sz="12" w:space="0" w:color="auto"/>
              <w:right w:val="nil"/>
            </w:tcBorders>
            <w:shd w:val="clear" w:color="000000" w:fill="FFFFFF"/>
            <w:vAlign w:val="center"/>
          </w:tcPr>
          <w:p w14:paraId="20BE2BCE" w14:textId="77777777" w:rsidR="003670E8" w:rsidRPr="00C36B93" w:rsidRDefault="003670E8" w:rsidP="00EA194A">
            <w:pPr>
              <w:suppressAutoHyphens w:val="0"/>
              <w:spacing w:line="240" w:lineRule="auto"/>
              <w:jc w:val="right"/>
              <w:rPr>
                <w:rFonts w:eastAsia="Times New Roman"/>
                <w:lang w:val="en-US"/>
              </w:rPr>
            </w:pPr>
          </w:p>
        </w:tc>
        <w:tc>
          <w:tcPr>
            <w:tcW w:w="1843" w:type="dxa"/>
            <w:tcBorders>
              <w:top w:val="single" w:sz="4" w:space="0" w:color="auto"/>
              <w:left w:val="nil"/>
              <w:bottom w:val="single" w:sz="12" w:space="0" w:color="auto"/>
              <w:right w:val="nil"/>
            </w:tcBorders>
            <w:shd w:val="clear" w:color="000000" w:fill="FFFFFF"/>
            <w:noWrap/>
            <w:vAlign w:val="center"/>
            <w:hideMark/>
          </w:tcPr>
          <w:p w14:paraId="3AA33476" w14:textId="77777777" w:rsidR="003670E8" w:rsidRPr="00C36B93" w:rsidRDefault="003670E8" w:rsidP="00EA194A">
            <w:pPr>
              <w:suppressAutoHyphens w:val="0"/>
              <w:spacing w:line="240" w:lineRule="auto"/>
              <w:jc w:val="right"/>
              <w:rPr>
                <w:rFonts w:eastAsia="Times New Roman"/>
                <w:lang w:val="en-US"/>
              </w:rPr>
            </w:pPr>
            <w:r w:rsidRPr="00C36B93">
              <w:rPr>
                <w:rFonts w:eastAsia="Times New Roman"/>
                <w:lang w:val="en-US"/>
              </w:rPr>
              <w:t> </w:t>
            </w:r>
          </w:p>
        </w:tc>
        <w:tc>
          <w:tcPr>
            <w:tcW w:w="2268" w:type="dxa"/>
            <w:tcBorders>
              <w:left w:val="nil"/>
              <w:bottom w:val="single" w:sz="12" w:space="0" w:color="auto"/>
              <w:right w:val="nil"/>
            </w:tcBorders>
            <w:shd w:val="clear" w:color="000000" w:fill="FFFFFF"/>
            <w:noWrap/>
            <w:vAlign w:val="center"/>
            <w:hideMark/>
          </w:tcPr>
          <w:p w14:paraId="2220564E" w14:textId="77777777" w:rsidR="003670E8" w:rsidRPr="00C36B93" w:rsidRDefault="003670E8" w:rsidP="00EA194A">
            <w:pPr>
              <w:suppressAutoHyphens w:val="0"/>
              <w:spacing w:line="240" w:lineRule="auto"/>
              <w:jc w:val="right"/>
              <w:rPr>
                <w:rFonts w:eastAsia="Times New Roman"/>
                <w:lang w:val="en-US"/>
              </w:rPr>
            </w:pPr>
          </w:p>
        </w:tc>
        <w:tc>
          <w:tcPr>
            <w:tcW w:w="2693" w:type="dxa"/>
            <w:tcBorders>
              <w:left w:val="nil"/>
              <w:bottom w:val="single" w:sz="12" w:space="0" w:color="auto"/>
              <w:right w:val="nil"/>
            </w:tcBorders>
            <w:shd w:val="clear" w:color="000000" w:fill="FFFFFF"/>
            <w:vAlign w:val="center"/>
          </w:tcPr>
          <w:p w14:paraId="4D9BB418" w14:textId="77777777" w:rsidR="003670E8" w:rsidRPr="00C36B93" w:rsidRDefault="003670E8" w:rsidP="00EA194A">
            <w:pPr>
              <w:suppressAutoHyphens w:val="0"/>
              <w:spacing w:line="240" w:lineRule="auto"/>
              <w:jc w:val="right"/>
              <w:rPr>
                <w:rFonts w:eastAsia="Times New Roman"/>
                <w:lang w:val="en-US"/>
              </w:rPr>
            </w:pPr>
          </w:p>
        </w:tc>
      </w:tr>
    </w:tbl>
    <w:p w14:paraId="10CA1683" w14:textId="77777777" w:rsidR="003670E8" w:rsidRDefault="003670E8" w:rsidP="003670E8">
      <w:pPr>
        <w:suppressAutoHyphens w:val="0"/>
        <w:spacing w:line="240" w:lineRule="auto"/>
        <w:rPr>
          <w:b/>
          <w:i/>
          <w:sz w:val="28"/>
        </w:rPr>
      </w:pPr>
    </w:p>
    <w:p w14:paraId="33CE5624" w14:textId="77777777" w:rsidR="003670E8" w:rsidRPr="00677E16" w:rsidRDefault="003670E8" w:rsidP="003670E8">
      <w:pPr>
        <w:suppressAutoHyphens w:val="0"/>
        <w:spacing w:line="240" w:lineRule="auto"/>
      </w:pPr>
      <w:r w:rsidRPr="00677E16">
        <w:rPr>
          <w:b/>
          <w:i/>
          <w:sz w:val="28"/>
        </w:rPr>
        <w:t>]</w:t>
      </w:r>
    </w:p>
    <w:p w14:paraId="0DCB5F8C" w14:textId="77777777" w:rsidR="003670E8" w:rsidRPr="00677E16" w:rsidRDefault="003670E8" w:rsidP="003670E8">
      <w:pPr>
        <w:suppressAutoHyphens w:val="0"/>
        <w:spacing w:line="240" w:lineRule="auto"/>
        <w:sectPr w:rsidR="003670E8" w:rsidRPr="00677E16">
          <w:footerReference w:type="first" r:id="rId25"/>
          <w:endnotePr>
            <w:numFmt w:val="lowerLetter"/>
            <w:numRestart w:val="eachSect"/>
          </w:endnotePr>
          <w:type w:val="continuous"/>
          <w:pgSz w:w="16838" w:h="11906" w:orient="landscape" w:code="9"/>
          <w:pgMar w:top="1276" w:right="1134" w:bottom="1134" w:left="1418" w:header="850" w:footer="567" w:gutter="0"/>
          <w:cols w:space="708"/>
          <w:docGrid w:linePitch="360"/>
        </w:sectPr>
      </w:pPr>
    </w:p>
    <w:p w14:paraId="4E1D47BD" w14:textId="77777777" w:rsidR="003670E8" w:rsidRPr="00677E16" w:rsidRDefault="003670E8" w:rsidP="003670E8">
      <w:pPr>
        <w:pStyle w:val="HChG"/>
        <w:spacing w:before="0"/>
      </w:pPr>
      <w:r w:rsidRPr="00677E16">
        <w:lastRenderedPageBreak/>
        <w:t>[Annex II</w:t>
      </w:r>
    </w:p>
    <w:p w14:paraId="5455FB3F" w14:textId="77777777" w:rsidR="003670E8" w:rsidRPr="00677E16" w:rsidRDefault="003670E8" w:rsidP="003670E8">
      <w:pPr>
        <w:pStyle w:val="AnnoHCHG"/>
        <w:numPr>
          <w:ilvl w:val="0"/>
          <w:numId w:val="0"/>
        </w:numPr>
        <w:ind w:left="567"/>
      </w:pPr>
      <w:r w:rsidRPr="00677E16">
        <w:t>Tables for submitting regular information as per decision 2/CMA.3, annex, chapter IV.C (Regular information), paragraph 23(j), as part of annex IV to the biennial transparency report</w:t>
      </w:r>
    </w:p>
    <w:p w14:paraId="019474B6" w14:textId="77777777" w:rsidR="003670E8" w:rsidRPr="00677E16" w:rsidRDefault="003670E8" w:rsidP="003670E8">
      <w:pPr>
        <w:pStyle w:val="FC2"/>
        <w:spacing w:before="240"/>
        <w:rPr>
          <w:b/>
          <w:bCs/>
        </w:rPr>
      </w:pPr>
      <w:r w:rsidRPr="00677E16">
        <w:t>Table 1</w:t>
      </w:r>
      <w:r w:rsidRPr="00677E16">
        <w:br/>
      </w:r>
      <w:r w:rsidRPr="00677E16">
        <w:rPr>
          <w:b/>
          <w:bCs/>
        </w:rPr>
        <w:t>Paragraph 23 (j) in relation to paragraph 23 (c) “Annual quantity of ITMOs first transferred”</w:t>
      </w:r>
    </w:p>
    <w:tbl>
      <w:tblPr>
        <w:tblW w:w="7539" w:type="dxa"/>
        <w:tblInd w:w="1134" w:type="dxa"/>
        <w:tblLook w:val="04A0" w:firstRow="1" w:lastRow="0" w:firstColumn="1" w:lastColumn="0" w:noHBand="0" w:noVBand="1"/>
      </w:tblPr>
      <w:tblGrid>
        <w:gridCol w:w="1065"/>
        <w:gridCol w:w="909"/>
        <w:gridCol w:w="695"/>
        <w:gridCol w:w="888"/>
        <w:gridCol w:w="860"/>
        <w:gridCol w:w="961"/>
        <w:gridCol w:w="1939"/>
        <w:gridCol w:w="222"/>
      </w:tblGrid>
      <w:tr w:rsidR="003670E8" w:rsidRPr="00677E16" w14:paraId="489EBB3D" w14:textId="77777777" w:rsidTr="00EA194A">
        <w:trPr>
          <w:gridAfter w:val="1"/>
          <w:wAfter w:w="222" w:type="dxa"/>
          <w:trHeight w:val="276"/>
        </w:trPr>
        <w:tc>
          <w:tcPr>
            <w:tcW w:w="7317" w:type="dxa"/>
            <w:gridSpan w:val="7"/>
            <w:tcBorders>
              <w:top w:val="nil"/>
              <w:left w:val="nil"/>
              <w:bottom w:val="single" w:sz="8" w:space="0" w:color="auto"/>
              <w:right w:val="nil"/>
            </w:tcBorders>
            <w:shd w:val="clear" w:color="000000" w:fill="FFFFFF"/>
            <w:noWrap/>
            <w:vAlign w:val="bottom"/>
            <w:hideMark/>
          </w:tcPr>
          <w:p w14:paraId="374E0EE8" w14:textId="77777777" w:rsidR="003670E8" w:rsidRPr="00677E16" w:rsidRDefault="003670E8" w:rsidP="00EA194A">
            <w:pPr>
              <w:pStyle w:val="FC2"/>
              <w:spacing w:before="240"/>
              <w:rPr>
                <w:rFonts w:eastAsia="Times New Roman"/>
                <w:b/>
                <w:bCs/>
                <w:color w:val="000000"/>
              </w:rPr>
            </w:pPr>
          </w:p>
        </w:tc>
      </w:tr>
      <w:tr w:rsidR="003670E8" w:rsidRPr="00677E16" w14:paraId="4872D3F3" w14:textId="77777777" w:rsidTr="00EA194A">
        <w:trPr>
          <w:gridAfter w:val="1"/>
          <w:wAfter w:w="222" w:type="dxa"/>
          <w:trHeight w:val="450"/>
        </w:trPr>
        <w:tc>
          <w:tcPr>
            <w:tcW w:w="1065" w:type="dxa"/>
            <w:vMerge w:val="restart"/>
            <w:tcBorders>
              <w:top w:val="single" w:sz="8" w:space="0" w:color="auto"/>
              <w:left w:val="nil"/>
              <w:bottom w:val="single" w:sz="6" w:space="0" w:color="auto"/>
              <w:right w:val="nil"/>
            </w:tcBorders>
            <w:shd w:val="clear" w:color="000000" w:fill="FFFFFF"/>
            <w:vAlign w:val="center"/>
            <w:hideMark/>
          </w:tcPr>
          <w:p w14:paraId="0C81FA1D" w14:textId="77777777" w:rsidR="003670E8" w:rsidRPr="00677E16" w:rsidRDefault="003670E8" w:rsidP="00EA194A">
            <w:pPr>
              <w:spacing w:line="240" w:lineRule="auto"/>
              <w:jc w:val="center"/>
              <w:rPr>
                <w:rFonts w:eastAsia="Times New Roman"/>
                <w:color w:val="000000"/>
                <w:sz w:val="16"/>
                <w:szCs w:val="16"/>
              </w:rPr>
            </w:pPr>
            <w:r w:rsidRPr="00677E16">
              <w:rPr>
                <w:rFonts w:eastAsia="Times New Roman"/>
                <w:color w:val="000000"/>
                <w:sz w:val="16"/>
                <w:szCs w:val="16"/>
              </w:rPr>
              <w:t>Reported year</w:t>
            </w:r>
          </w:p>
        </w:tc>
        <w:tc>
          <w:tcPr>
            <w:tcW w:w="909" w:type="dxa"/>
            <w:vMerge w:val="restart"/>
            <w:tcBorders>
              <w:top w:val="single" w:sz="8" w:space="0" w:color="auto"/>
              <w:left w:val="nil"/>
              <w:bottom w:val="single" w:sz="6" w:space="0" w:color="auto"/>
              <w:right w:val="nil"/>
            </w:tcBorders>
            <w:shd w:val="clear" w:color="000000" w:fill="FFFFFF"/>
            <w:vAlign w:val="center"/>
            <w:hideMark/>
          </w:tcPr>
          <w:p w14:paraId="7164F40A" w14:textId="77777777" w:rsidR="003670E8" w:rsidRPr="00677E16" w:rsidRDefault="003670E8" w:rsidP="00EA194A">
            <w:pPr>
              <w:spacing w:line="240" w:lineRule="auto"/>
              <w:jc w:val="center"/>
              <w:rPr>
                <w:rFonts w:eastAsia="Times New Roman"/>
                <w:color w:val="000000"/>
                <w:sz w:val="16"/>
                <w:szCs w:val="16"/>
              </w:rPr>
            </w:pPr>
            <w:r w:rsidRPr="00677E16">
              <w:rPr>
                <w:rFonts w:eastAsia="Times New Roman"/>
                <w:color w:val="000000"/>
                <w:sz w:val="16"/>
                <w:szCs w:val="16"/>
              </w:rPr>
              <w:t>Sector(s)</w:t>
            </w:r>
          </w:p>
        </w:tc>
        <w:tc>
          <w:tcPr>
            <w:tcW w:w="695" w:type="dxa"/>
            <w:vMerge w:val="restart"/>
            <w:tcBorders>
              <w:top w:val="single" w:sz="8" w:space="0" w:color="auto"/>
              <w:left w:val="nil"/>
              <w:bottom w:val="single" w:sz="6" w:space="0" w:color="auto"/>
              <w:right w:val="nil"/>
            </w:tcBorders>
            <w:shd w:val="clear" w:color="000000" w:fill="FFFFFF"/>
            <w:vAlign w:val="center"/>
            <w:hideMark/>
          </w:tcPr>
          <w:p w14:paraId="48F304BD" w14:textId="77777777" w:rsidR="003670E8" w:rsidRPr="00677E16" w:rsidRDefault="003670E8" w:rsidP="00EA194A">
            <w:pPr>
              <w:spacing w:line="240" w:lineRule="auto"/>
              <w:jc w:val="center"/>
              <w:rPr>
                <w:rFonts w:eastAsia="Times New Roman"/>
                <w:sz w:val="16"/>
                <w:szCs w:val="16"/>
              </w:rPr>
            </w:pPr>
            <w:r w:rsidRPr="00677E16">
              <w:rPr>
                <w:rFonts w:eastAsia="Times New Roman"/>
                <w:sz w:val="16"/>
                <w:szCs w:val="16"/>
              </w:rPr>
              <w:t>Using Party</w:t>
            </w:r>
          </w:p>
        </w:tc>
        <w:tc>
          <w:tcPr>
            <w:tcW w:w="888" w:type="dxa"/>
            <w:vMerge w:val="restart"/>
            <w:tcBorders>
              <w:top w:val="single" w:sz="8" w:space="0" w:color="auto"/>
              <w:left w:val="nil"/>
              <w:bottom w:val="single" w:sz="6" w:space="0" w:color="auto"/>
              <w:right w:val="nil"/>
            </w:tcBorders>
            <w:shd w:val="clear" w:color="000000" w:fill="FFFFFF"/>
            <w:vAlign w:val="center"/>
            <w:hideMark/>
          </w:tcPr>
          <w:p w14:paraId="2E09B016" w14:textId="77777777" w:rsidR="003670E8" w:rsidRPr="00677E16" w:rsidRDefault="003670E8" w:rsidP="00EA194A">
            <w:pPr>
              <w:spacing w:line="240" w:lineRule="auto"/>
              <w:jc w:val="center"/>
              <w:rPr>
                <w:rFonts w:eastAsia="Times New Roman"/>
                <w:sz w:val="16"/>
                <w:szCs w:val="16"/>
              </w:rPr>
            </w:pPr>
            <w:r w:rsidRPr="00677E16">
              <w:rPr>
                <w:rFonts w:eastAsia="Times New Roman"/>
                <w:sz w:val="16"/>
                <w:szCs w:val="16"/>
              </w:rPr>
              <w:t>Vintage</w:t>
            </w:r>
          </w:p>
        </w:tc>
        <w:tc>
          <w:tcPr>
            <w:tcW w:w="860" w:type="dxa"/>
            <w:vMerge w:val="restart"/>
            <w:tcBorders>
              <w:top w:val="single" w:sz="8" w:space="0" w:color="auto"/>
              <w:left w:val="nil"/>
              <w:bottom w:val="single" w:sz="6" w:space="0" w:color="auto"/>
              <w:right w:val="nil"/>
            </w:tcBorders>
            <w:shd w:val="clear" w:color="000000" w:fill="FFFFFF"/>
            <w:vAlign w:val="center"/>
            <w:hideMark/>
          </w:tcPr>
          <w:p w14:paraId="44B50546" w14:textId="77777777" w:rsidR="003670E8" w:rsidRPr="00677E16" w:rsidRDefault="003670E8" w:rsidP="00EA194A">
            <w:pPr>
              <w:spacing w:line="240" w:lineRule="auto"/>
              <w:jc w:val="center"/>
              <w:rPr>
                <w:rFonts w:eastAsia="Times New Roman"/>
                <w:sz w:val="16"/>
                <w:szCs w:val="16"/>
              </w:rPr>
            </w:pPr>
            <w:r w:rsidRPr="00677E16">
              <w:rPr>
                <w:rFonts w:eastAsia="Times New Roman"/>
                <w:sz w:val="16"/>
                <w:szCs w:val="16"/>
              </w:rPr>
              <w:t>Metric</w:t>
            </w:r>
          </w:p>
        </w:tc>
        <w:tc>
          <w:tcPr>
            <w:tcW w:w="961" w:type="dxa"/>
            <w:vMerge w:val="restart"/>
            <w:tcBorders>
              <w:top w:val="single" w:sz="8" w:space="0" w:color="auto"/>
              <w:left w:val="nil"/>
              <w:bottom w:val="single" w:sz="6" w:space="0" w:color="auto"/>
              <w:right w:val="nil"/>
            </w:tcBorders>
            <w:shd w:val="clear" w:color="000000" w:fill="FFFFFF"/>
            <w:vAlign w:val="center"/>
            <w:hideMark/>
          </w:tcPr>
          <w:p w14:paraId="6F981AA1" w14:textId="77777777" w:rsidR="003670E8" w:rsidRPr="00677E16" w:rsidRDefault="003670E8" w:rsidP="00EA194A">
            <w:pPr>
              <w:spacing w:line="240" w:lineRule="auto"/>
              <w:jc w:val="center"/>
              <w:rPr>
                <w:rFonts w:eastAsia="Times New Roman"/>
                <w:sz w:val="16"/>
                <w:szCs w:val="16"/>
              </w:rPr>
            </w:pPr>
            <w:r w:rsidRPr="00677E16">
              <w:rPr>
                <w:rFonts w:eastAsia="Times New Roman"/>
                <w:sz w:val="16"/>
                <w:szCs w:val="16"/>
              </w:rPr>
              <w:t>Unit</w:t>
            </w:r>
          </w:p>
        </w:tc>
        <w:tc>
          <w:tcPr>
            <w:tcW w:w="1939" w:type="dxa"/>
            <w:vMerge w:val="restart"/>
            <w:tcBorders>
              <w:top w:val="single" w:sz="8" w:space="0" w:color="auto"/>
              <w:left w:val="nil"/>
              <w:bottom w:val="single" w:sz="6" w:space="0" w:color="auto"/>
              <w:right w:val="nil"/>
            </w:tcBorders>
            <w:shd w:val="clear" w:color="000000" w:fill="FFFFFF"/>
            <w:vAlign w:val="center"/>
            <w:hideMark/>
          </w:tcPr>
          <w:p w14:paraId="39428847" w14:textId="77777777" w:rsidR="003670E8" w:rsidRPr="00677E16" w:rsidRDefault="003670E8" w:rsidP="00EA194A">
            <w:pPr>
              <w:spacing w:line="240" w:lineRule="auto"/>
              <w:jc w:val="center"/>
              <w:rPr>
                <w:rFonts w:eastAsia="Times New Roman"/>
                <w:sz w:val="16"/>
                <w:szCs w:val="16"/>
              </w:rPr>
            </w:pPr>
            <w:r w:rsidRPr="00677E16">
              <w:rPr>
                <w:rFonts w:eastAsia="Times New Roman"/>
                <w:sz w:val="16"/>
                <w:szCs w:val="16"/>
              </w:rPr>
              <w:t>Annual quantity of ITMOs first transferred</w:t>
            </w:r>
          </w:p>
        </w:tc>
      </w:tr>
      <w:tr w:rsidR="003670E8" w:rsidRPr="00677E16" w14:paraId="5C7AE4BC" w14:textId="77777777" w:rsidTr="00EA194A">
        <w:trPr>
          <w:trHeight w:val="528"/>
        </w:trPr>
        <w:tc>
          <w:tcPr>
            <w:tcW w:w="1065" w:type="dxa"/>
            <w:vMerge/>
            <w:tcBorders>
              <w:top w:val="single" w:sz="6" w:space="0" w:color="auto"/>
              <w:left w:val="nil"/>
              <w:bottom w:val="single" w:sz="6" w:space="0" w:color="auto"/>
              <w:right w:val="nil"/>
            </w:tcBorders>
            <w:vAlign w:val="center"/>
            <w:hideMark/>
          </w:tcPr>
          <w:p w14:paraId="7839E80B" w14:textId="77777777" w:rsidR="003670E8" w:rsidRPr="00677E16" w:rsidRDefault="003670E8" w:rsidP="00EA194A">
            <w:pPr>
              <w:spacing w:line="240" w:lineRule="auto"/>
              <w:rPr>
                <w:rFonts w:eastAsia="Times New Roman"/>
                <w:color w:val="000000"/>
                <w:sz w:val="16"/>
                <w:szCs w:val="16"/>
              </w:rPr>
            </w:pPr>
          </w:p>
        </w:tc>
        <w:tc>
          <w:tcPr>
            <w:tcW w:w="909" w:type="dxa"/>
            <w:vMerge/>
            <w:tcBorders>
              <w:top w:val="single" w:sz="6" w:space="0" w:color="auto"/>
              <w:left w:val="nil"/>
              <w:bottom w:val="single" w:sz="6" w:space="0" w:color="auto"/>
              <w:right w:val="nil"/>
            </w:tcBorders>
            <w:vAlign w:val="center"/>
            <w:hideMark/>
          </w:tcPr>
          <w:p w14:paraId="6087D4DF" w14:textId="77777777" w:rsidR="003670E8" w:rsidRPr="00677E16" w:rsidRDefault="003670E8" w:rsidP="00EA194A">
            <w:pPr>
              <w:spacing w:line="240" w:lineRule="auto"/>
              <w:rPr>
                <w:rFonts w:eastAsia="Times New Roman"/>
                <w:color w:val="000000"/>
                <w:sz w:val="16"/>
                <w:szCs w:val="16"/>
              </w:rPr>
            </w:pPr>
          </w:p>
        </w:tc>
        <w:tc>
          <w:tcPr>
            <w:tcW w:w="695" w:type="dxa"/>
            <w:vMerge/>
            <w:tcBorders>
              <w:top w:val="single" w:sz="6" w:space="0" w:color="auto"/>
              <w:left w:val="nil"/>
              <w:bottom w:val="single" w:sz="6" w:space="0" w:color="auto"/>
              <w:right w:val="nil"/>
            </w:tcBorders>
            <w:vAlign w:val="center"/>
            <w:hideMark/>
          </w:tcPr>
          <w:p w14:paraId="55FE57FC" w14:textId="77777777" w:rsidR="003670E8" w:rsidRPr="00677E16" w:rsidRDefault="003670E8" w:rsidP="00EA194A">
            <w:pPr>
              <w:spacing w:line="240" w:lineRule="auto"/>
              <w:rPr>
                <w:rFonts w:eastAsia="Times New Roman"/>
                <w:sz w:val="16"/>
                <w:szCs w:val="16"/>
              </w:rPr>
            </w:pPr>
          </w:p>
        </w:tc>
        <w:tc>
          <w:tcPr>
            <w:tcW w:w="888" w:type="dxa"/>
            <w:vMerge/>
            <w:tcBorders>
              <w:top w:val="single" w:sz="6" w:space="0" w:color="auto"/>
              <w:left w:val="nil"/>
              <w:bottom w:val="single" w:sz="6" w:space="0" w:color="auto"/>
              <w:right w:val="nil"/>
            </w:tcBorders>
            <w:vAlign w:val="center"/>
            <w:hideMark/>
          </w:tcPr>
          <w:p w14:paraId="19824ABF" w14:textId="77777777" w:rsidR="003670E8" w:rsidRPr="00677E16" w:rsidRDefault="003670E8" w:rsidP="00EA194A">
            <w:pPr>
              <w:spacing w:line="240" w:lineRule="auto"/>
              <w:rPr>
                <w:rFonts w:eastAsia="Times New Roman"/>
                <w:sz w:val="16"/>
                <w:szCs w:val="16"/>
              </w:rPr>
            </w:pPr>
          </w:p>
        </w:tc>
        <w:tc>
          <w:tcPr>
            <w:tcW w:w="860" w:type="dxa"/>
            <w:vMerge/>
            <w:tcBorders>
              <w:top w:val="single" w:sz="6" w:space="0" w:color="auto"/>
              <w:left w:val="nil"/>
              <w:bottom w:val="single" w:sz="6" w:space="0" w:color="auto"/>
              <w:right w:val="nil"/>
            </w:tcBorders>
            <w:vAlign w:val="center"/>
            <w:hideMark/>
          </w:tcPr>
          <w:p w14:paraId="367A3FF4" w14:textId="77777777" w:rsidR="003670E8" w:rsidRPr="00677E16" w:rsidRDefault="003670E8" w:rsidP="00EA194A">
            <w:pPr>
              <w:spacing w:line="240" w:lineRule="auto"/>
              <w:rPr>
                <w:rFonts w:eastAsia="Times New Roman"/>
                <w:sz w:val="16"/>
                <w:szCs w:val="16"/>
              </w:rPr>
            </w:pPr>
          </w:p>
        </w:tc>
        <w:tc>
          <w:tcPr>
            <w:tcW w:w="961" w:type="dxa"/>
            <w:vMerge/>
            <w:tcBorders>
              <w:top w:val="single" w:sz="6" w:space="0" w:color="auto"/>
              <w:left w:val="nil"/>
              <w:bottom w:val="single" w:sz="6" w:space="0" w:color="auto"/>
              <w:right w:val="nil"/>
            </w:tcBorders>
            <w:vAlign w:val="center"/>
            <w:hideMark/>
          </w:tcPr>
          <w:p w14:paraId="0AF440D2" w14:textId="77777777" w:rsidR="003670E8" w:rsidRPr="00677E16" w:rsidRDefault="003670E8" w:rsidP="00EA194A">
            <w:pPr>
              <w:spacing w:line="240" w:lineRule="auto"/>
              <w:rPr>
                <w:rFonts w:eastAsia="Times New Roman"/>
                <w:sz w:val="16"/>
                <w:szCs w:val="16"/>
              </w:rPr>
            </w:pPr>
          </w:p>
        </w:tc>
        <w:tc>
          <w:tcPr>
            <w:tcW w:w="1939" w:type="dxa"/>
            <w:vMerge/>
            <w:tcBorders>
              <w:top w:val="single" w:sz="6" w:space="0" w:color="auto"/>
              <w:left w:val="nil"/>
              <w:bottom w:val="single" w:sz="6" w:space="0" w:color="auto"/>
              <w:right w:val="nil"/>
            </w:tcBorders>
            <w:vAlign w:val="center"/>
            <w:hideMark/>
          </w:tcPr>
          <w:p w14:paraId="57676F36" w14:textId="77777777" w:rsidR="003670E8" w:rsidRPr="00677E16" w:rsidRDefault="003670E8" w:rsidP="00EA194A">
            <w:pPr>
              <w:spacing w:line="240" w:lineRule="auto"/>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62249ED" w14:textId="77777777" w:rsidR="003670E8" w:rsidRPr="00677E16" w:rsidRDefault="003670E8" w:rsidP="00EA194A">
            <w:pPr>
              <w:spacing w:line="240" w:lineRule="auto"/>
              <w:jc w:val="center"/>
              <w:rPr>
                <w:rFonts w:eastAsia="Times New Roman"/>
                <w:sz w:val="16"/>
                <w:szCs w:val="16"/>
              </w:rPr>
            </w:pPr>
          </w:p>
        </w:tc>
      </w:tr>
      <w:tr w:rsidR="003670E8" w:rsidRPr="00677E16" w14:paraId="08DD8F6E" w14:textId="77777777" w:rsidTr="00EA194A">
        <w:trPr>
          <w:trHeight w:val="288"/>
        </w:trPr>
        <w:tc>
          <w:tcPr>
            <w:tcW w:w="1065" w:type="dxa"/>
            <w:tcBorders>
              <w:top w:val="single" w:sz="6" w:space="0" w:color="auto"/>
              <w:left w:val="nil"/>
              <w:right w:val="nil"/>
            </w:tcBorders>
            <w:shd w:val="clear" w:color="000000" w:fill="FFFFFF"/>
            <w:vAlign w:val="center"/>
            <w:hideMark/>
          </w:tcPr>
          <w:p w14:paraId="71A5DFC1"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09" w:type="dxa"/>
            <w:tcBorders>
              <w:top w:val="single" w:sz="6" w:space="0" w:color="auto"/>
              <w:left w:val="nil"/>
              <w:right w:val="nil"/>
            </w:tcBorders>
            <w:shd w:val="clear" w:color="000000" w:fill="FFFFFF"/>
            <w:vAlign w:val="center"/>
            <w:hideMark/>
          </w:tcPr>
          <w:p w14:paraId="0385D8B1"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695" w:type="dxa"/>
            <w:tcBorders>
              <w:top w:val="single" w:sz="6" w:space="0" w:color="auto"/>
              <w:left w:val="nil"/>
              <w:right w:val="nil"/>
            </w:tcBorders>
            <w:shd w:val="clear" w:color="000000" w:fill="FFFFFF"/>
            <w:vAlign w:val="center"/>
            <w:hideMark/>
          </w:tcPr>
          <w:p w14:paraId="40D6AF3B"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88" w:type="dxa"/>
            <w:tcBorders>
              <w:top w:val="single" w:sz="6" w:space="0" w:color="auto"/>
              <w:left w:val="nil"/>
              <w:right w:val="nil"/>
            </w:tcBorders>
            <w:shd w:val="clear" w:color="000000" w:fill="FFFFFF"/>
            <w:vAlign w:val="center"/>
            <w:hideMark/>
          </w:tcPr>
          <w:p w14:paraId="070D355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60" w:type="dxa"/>
            <w:tcBorders>
              <w:top w:val="single" w:sz="6" w:space="0" w:color="auto"/>
              <w:left w:val="nil"/>
              <w:right w:val="nil"/>
            </w:tcBorders>
            <w:shd w:val="clear" w:color="000000" w:fill="FFFFFF"/>
            <w:vAlign w:val="center"/>
            <w:hideMark/>
          </w:tcPr>
          <w:p w14:paraId="20C4FCD7"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GHG</w:t>
            </w:r>
          </w:p>
        </w:tc>
        <w:tc>
          <w:tcPr>
            <w:tcW w:w="961" w:type="dxa"/>
            <w:tcBorders>
              <w:top w:val="single" w:sz="6" w:space="0" w:color="auto"/>
              <w:left w:val="nil"/>
              <w:right w:val="nil"/>
            </w:tcBorders>
            <w:shd w:val="clear" w:color="000000" w:fill="FFFFFF"/>
            <w:vAlign w:val="center"/>
          </w:tcPr>
          <w:p w14:paraId="40248598" w14:textId="77777777" w:rsidR="003670E8" w:rsidRPr="00677E16" w:rsidRDefault="003670E8" w:rsidP="00EA194A">
            <w:pPr>
              <w:spacing w:line="240" w:lineRule="auto"/>
              <w:jc w:val="center"/>
              <w:rPr>
                <w:rFonts w:eastAsia="Times New Roman"/>
                <w:color w:val="000000"/>
              </w:rPr>
            </w:pPr>
          </w:p>
        </w:tc>
        <w:tc>
          <w:tcPr>
            <w:tcW w:w="1939" w:type="dxa"/>
            <w:tcBorders>
              <w:top w:val="single" w:sz="6" w:space="0" w:color="auto"/>
              <w:left w:val="nil"/>
              <w:right w:val="nil"/>
            </w:tcBorders>
            <w:shd w:val="clear" w:color="000000" w:fill="FFFFFF"/>
            <w:vAlign w:val="center"/>
            <w:hideMark/>
          </w:tcPr>
          <w:p w14:paraId="5425E89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22" w:type="dxa"/>
            <w:vAlign w:val="center"/>
            <w:hideMark/>
          </w:tcPr>
          <w:p w14:paraId="4D59CB6A" w14:textId="77777777" w:rsidR="003670E8" w:rsidRPr="00677E16" w:rsidRDefault="003670E8" w:rsidP="00EA194A">
            <w:pPr>
              <w:spacing w:line="240" w:lineRule="auto"/>
              <w:rPr>
                <w:rFonts w:eastAsia="Times New Roman"/>
              </w:rPr>
            </w:pPr>
          </w:p>
        </w:tc>
      </w:tr>
      <w:tr w:rsidR="003670E8" w:rsidRPr="00677E16" w14:paraId="1C73E070" w14:textId="77777777" w:rsidTr="00EA194A">
        <w:trPr>
          <w:trHeight w:val="288"/>
        </w:trPr>
        <w:tc>
          <w:tcPr>
            <w:tcW w:w="1065" w:type="dxa"/>
            <w:tcBorders>
              <w:top w:val="nil"/>
              <w:left w:val="nil"/>
              <w:bottom w:val="single" w:sz="12" w:space="0" w:color="auto"/>
              <w:right w:val="nil"/>
            </w:tcBorders>
            <w:shd w:val="clear" w:color="000000" w:fill="FFFFFF"/>
            <w:vAlign w:val="center"/>
            <w:hideMark/>
          </w:tcPr>
          <w:p w14:paraId="36D43458"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09" w:type="dxa"/>
            <w:tcBorders>
              <w:top w:val="nil"/>
              <w:left w:val="nil"/>
              <w:bottom w:val="single" w:sz="12" w:space="0" w:color="auto"/>
              <w:right w:val="nil"/>
            </w:tcBorders>
            <w:shd w:val="clear" w:color="000000" w:fill="FFFFFF"/>
            <w:vAlign w:val="center"/>
            <w:hideMark/>
          </w:tcPr>
          <w:p w14:paraId="05E8F574"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695" w:type="dxa"/>
            <w:tcBorders>
              <w:top w:val="nil"/>
              <w:left w:val="nil"/>
              <w:bottom w:val="single" w:sz="12" w:space="0" w:color="auto"/>
              <w:right w:val="nil"/>
            </w:tcBorders>
            <w:shd w:val="clear" w:color="000000" w:fill="FFFFFF"/>
            <w:vAlign w:val="center"/>
            <w:hideMark/>
          </w:tcPr>
          <w:p w14:paraId="551D22A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88" w:type="dxa"/>
            <w:tcBorders>
              <w:top w:val="nil"/>
              <w:left w:val="nil"/>
              <w:bottom w:val="single" w:sz="12" w:space="0" w:color="auto"/>
              <w:right w:val="nil"/>
            </w:tcBorders>
            <w:shd w:val="clear" w:color="000000" w:fill="FFFFFF"/>
            <w:vAlign w:val="center"/>
            <w:hideMark/>
          </w:tcPr>
          <w:p w14:paraId="59C8483F"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60" w:type="dxa"/>
            <w:tcBorders>
              <w:top w:val="nil"/>
              <w:left w:val="nil"/>
              <w:bottom w:val="single" w:sz="12" w:space="0" w:color="auto"/>
              <w:right w:val="nil"/>
            </w:tcBorders>
            <w:shd w:val="clear" w:color="000000" w:fill="FFFFFF"/>
            <w:vAlign w:val="center"/>
            <w:hideMark/>
          </w:tcPr>
          <w:p w14:paraId="73888D5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non-GHG</w:t>
            </w:r>
          </w:p>
        </w:tc>
        <w:tc>
          <w:tcPr>
            <w:tcW w:w="961" w:type="dxa"/>
            <w:tcBorders>
              <w:top w:val="nil"/>
              <w:left w:val="nil"/>
              <w:bottom w:val="single" w:sz="12" w:space="0" w:color="auto"/>
              <w:right w:val="nil"/>
            </w:tcBorders>
            <w:shd w:val="clear" w:color="000000" w:fill="FFFFFF"/>
            <w:vAlign w:val="center"/>
          </w:tcPr>
          <w:p w14:paraId="58A28D55" w14:textId="77777777" w:rsidR="003670E8" w:rsidRPr="00677E16" w:rsidRDefault="003670E8" w:rsidP="00EA194A">
            <w:pPr>
              <w:spacing w:line="240" w:lineRule="auto"/>
              <w:jc w:val="center"/>
              <w:rPr>
                <w:rFonts w:eastAsia="Times New Roman"/>
                <w:color w:val="000000"/>
              </w:rPr>
            </w:pPr>
          </w:p>
        </w:tc>
        <w:tc>
          <w:tcPr>
            <w:tcW w:w="1939" w:type="dxa"/>
            <w:tcBorders>
              <w:top w:val="nil"/>
              <w:left w:val="nil"/>
              <w:bottom w:val="single" w:sz="12" w:space="0" w:color="auto"/>
              <w:right w:val="nil"/>
            </w:tcBorders>
            <w:shd w:val="clear" w:color="000000" w:fill="FFFFFF"/>
            <w:vAlign w:val="center"/>
            <w:hideMark/>
          </w:tcPr>
          <w:p w14:paraId="6F14CA2C"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22" w:type="dxa"/>
            <w:vAlign w:val="center"/>
            <w:hideMark/>
          </w:tcPr>
          <w:p w14:paraId="0B9CE117" w14:textId="77777777" w:rsidR="003670E8" w:rsidRPr="00677E16" w:rsidRDefault="003670E8" w:rsidP="00EA194A">
            <w:pPr>
              <w:spacing w:line="240" w:lineRule="auto"/>
              <w:rPr>
                <w:rFonts w:eastAsia="Times New Roman"/>
              </w:rPr>
            </w:pPr>
          </w:p>
        </w:tc>
      </w:tr>
    </w:tbl>
    <w:p w14:paraId="2475DB31" w14:textId="77777777" w:rsidR="003670E8" w:rsidRPr="00677E16" w:rsidRDefault="003670E8" w:rsidP="003670E8">
      <w:pPr>
        <w:pStyle w:val="FC2"/>
        <w:spacing w:before="240"/>
        <w:rPr>
          <w:b/>
          <w:bCs/>
        </w:rPr>
      </w:pPr>
      <w:r w:rsidRPr="00677E16">
        <w:t>Table 2</w:t>
      </w:r>
      <w:r w:rsidRPr="00677E16">
        <w:br/>
      </w:r>
      <w:r w:rsidRPr="00677E16">
        <w:rPr>
          <w:b/>
          <w:bCs/>
        </w:rPr>
        <w:t>Paragraph 23 (j) in relation to paragraph 23 (d) “Annual quantity of mitigation outcomes authorized for use for other international mitigation purposes and entities authorized to use such mitigation outcomes, as appropriate”</w:t>
      </w:r>
    </w:p>
    <w:tbl>
      <w:tblPr>
        <w:tblW w:w="8505" w:type="dxa"/>
        <w:tblInd w:w="1134" w:type="dxa"/>
        <w:tblLook w:val="04A0" w:firstRow="1" w:lastRow="0" w:firstColumn="1" w:lastColumn="0" w:noHBand="0" w:noVBand="1"/>
      </w:tblPr>
      <w:tblGrid>
        <w:gridCol w:w="915"/>
        <w:gridCol w:w="912"/>
        <w:gridCol w:w="860"/>
        <w:gridCol w:w="1143"/>
        <w:gridCol w:w="888"/>
        <w:gridCol w:w="870"/>
        <w:gridCol w:w="827"/>
        <w:gridCol w:w="1868"/>
        <w:gridCol w:w="222"/>
      </w:tblGrid>
      <w:tr w:rsidR="003670E8" w:rsidRPr="00677E16" w14:paraId="6D5FB123" w14:textId="77777777" w:rsidTr="00EA194A">
        <w:trPr>
          <w:trHeight w:val="1230"/>
        </w:trPr>
        <w:tc>
          <w:tcPr>
            <w:tcW w:w="949" w:type="dxa"/>
            <w:tcBorders>
              <w:top w:val="single" w:sz="8" w:space="0" w:color="auto"/>
              <w:left w:val="nil"/>
              <w:bottom w:val="single" w:sz="6" w:space="0" w:color="auto"/>
              <w:right w:val="nil"/>
            </w:tcBorders>
            <w:shd w:val="clear" w:color="000000" w:fill="FFFFFF"/>
            <w:vAlign w:val="center"/>
            <w:hideMark/>
          </w:tcPr>
          <w:p w14:paraId="5866AA9C"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Reported year</w:t>
            </w:r>
          </w:p>
        </w:tc>
        <w:tc>
          <w:tcPr>
            <w:tcW w:w="948" w:type="dxa"/>
            <w:tcBorders>
              <w:top w:val="single" w:sz="8" w:space="0" w:color="auto"/>
              <w:left w:val="nil"/>
              <w:bottom w:val="single" w:sz="6" w:space="0" w:color="auto"/>
              <w:right w:val="nil"/>
            </w:tcBorders>
            <w:shd w:val="clear" w:color="000000" w:fill="FFFFFF"/>
            <w:vAlign w:val="center"/>
            <w:hideMark/>
          </w:tcPr>
          <w:p w14:paraId="75AC0B45"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Sector(s)</w:t>
            </w:r>
          </w:p>
        </w:tc>
        <w:tc>
          <w:tcPr>
            <w:tcW w:w="934" w:type="dxa"/>
            <w:tcBorders>
              <w:top w:val="single" w:sz="8" w:space="0" w:color="auto"/>
              <w:left w:val="nil"/>
              <w:bottom w:val="single" w:sz="6" w:space="0" w:color="auto"/>
              <w:right w:val="nil"/>
            </w:tcBorders>
            <w:shd w:val="clear" w:color="000000" w:fill="FFFFFF"/>
            <w:vAlign w:val="center"/>
            <w:hideMark/>
          </w:tcPr>
          <w:p w14:paraId="643945C8"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OIMP</w:t>
            </w:r>
          </w:p>
        </w:tc>
        <w:tc>
          <w:tcPr>
            <w:tcW w:w="1171" w:type="dxa"/>
            <w:tcBorders>
              <w:top w:val="single" w:sz="8" w:space="0" w:color="auto"/>
              <w:left w:val="nil"/>
              <w:bottom w:val="single" w:sz="6" w:space="0" w:color="auto"/>
              <w:right w:val="nil"/>
            </w:tcBorders>
            <w:shd w:val="clear" w:color="000000" w:fill="FFFFFF"/>
            <w:vAlign w:val="center"/>
            <w:hideMark/>
          </w:tcPr>
          <w:p w14:paraId="04370345"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Authorized participating Parties or authorized entities</w:t>
            </w:r>
          </w:p>
        </w:tc>
        <w:tc>
          <w:tcPr>
            <w:tcW w:w="941" w:type="dxa"/>
            <w:tcBorders>
              <w:top w:val="single" w:sz="8" w:space="0" w:color="auto"/>
              <w:left w:val="nil"/>
              <w:bottom w:val="single" w:sz="6" w:space="0" w:color="auto"/>
              <w:right w:val="nil"/>
            </w:tcBorders>
            <w:shd w:val="clear" w:color="000000" w:fill="FFFFFF"/>
            <w:vAlign w:val="center"/>
            <w:hideMark/>
          </w:tcPr>
          <w:p w14:paraId="4D8519F9"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Vintage</w:t>
            </w:r>
          </w:p>
        </w:tc>
        <w:tc>
          <w:tcPr>
            <w:tcW w:w="936" w:type="dxa"/>
            <w:tcBorders>
              <w:top w:val="single" w:sz="8" w:space="0" w:color="auto"/>
              <w:left w:val="nil"/>
              <w:bottom w:val="single" w:sz="6" w:space="0" w:color="auto"/>
              <w:right w:val="nil"/>
            </w:tcBorders>
            <w:shd w:val="clear" w:color="000000" w:fill="FFFFFF"/>
            <w:vAlign w:val="center"/>
            <w:hideMark/>
          </w:tcPr>
          <w:p w14:paraId="0642503C"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Metric</w:t>
            </w:r>
          </w:p>
        </w:tc>
        <w:tc>
          <w:tcPr>
            <w:tcW w:w="925" w:type="dxa"/>
            <w:tcBorders>
              <w:top w:val="single" w:sz="8" w:space="0" w:color="auto"/>
              <w:left w:val="nil"/>
              <w:bottom w:val="single" w:sz="6" w:space="0" w:color="auto"/>
              <w:right w:val="nil"/>
            </w:tcBorders>
            <w:shd w:val="clear" w:color="000000" w:fill="FFFFFF"/>
            <w:vAlign w:val="center"/>
            <w:hideMark/>
          </w:tcPr>
          <w:p w14:paraId="390CBB0E"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Unit</w:t>
            </w:r>
          </w:p>
        </w:tc>
        <w:tc>
          <w:tcPr>
            <w:tcW w:w="2114" w:type="dxa"/>
            <w:tcBorders>
              <w:top w:val="single" w:sz="8" w:space="0" w:color="auto"/>
              <w:left w:val="nil"/>
              <w:bottom w:val="single" w:sz="6" w:space="0" w:color="auto"/>
              <w:right w:val="nil"/>
            </w:tcBorders>
            <w:shd w:val="clear" w:color="000000" w:fill="FFFFFF"/>
            <w:vAlign w:val="center"/>
            <w:hideMark/>
          </w:tcPr>
          <w:p w14:paraId="3870D6D6"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Annual quantity of mitigation outcomes authorized for use for other international mitigation purposes</w:t>
            </w:r>
          </w:p>
        </w:tc>
        <w:tc>
          <w:tcPr>
            <w:tcW w:w="222" w:type="dxa"/>
            <w:vAlign w:val="center"/>
            <w:hideMark/>
          </w:tcPr>
          <w:p w14:paraId="5BEEA5E9" w14:textId="77777777" w:rsidR="003670E8" w:rsidRPr="00677E16" w:rsidRDefault="003670E8" w:rsidP="00EA194A">
            <w:pPr>
              <w:spacing w:line="240" w:lineRule="auto"/>
              <w:rPr>
                <w:rFonts w:eastAsia="Times New Roman"/>
              </w:rPr>
            </w:pPr>
          </w:p>
        </w:tc>
      </w:tr>
      <w:tr w:rsidR="003670E8" w:rsidRPr="00677E16" w14:paraId="162A2437" w14:textId="77777777" w:rsidTr="00EA194A">
        <w:trPr>
          <w:trHeight w:val="279"/>
        </w:trPr>
        <w:tc>
          <w:tcPr>
            <w:tcW w:w="949" w:type="dxa"/>
            <w:tcBorders>
              <w:top w:val="single" w:sz="6" w:space="0" w:color="auto"/>
              <w:left w:val="nil"/>
              <w:right w:val="nil"/>
            </w:tcBorders>
            <w:shd w:val="clear" w:color="000000" w:fill="FFFFFF"/>
            <w:vAlign w:val="center"/>
            <w:hideMark/>
          </w:tcPr>
          <w:p w14:paraId="0B1B6F39"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48" w:type="dxa"/>
            <w:tcBorders>
              <w:top w:val="single" w:sz="6" w:space="0" w:color="auto"/>
              <w:left w:val="nil"/>
              <w:right w:val="nil"/>
            </w:tcBorders>
            <w:shd w:val="clear" w:color="000000" w:fill="FFFFFF"/>
            <w:vAlign w:val="center"/>
            <w:hideMark/>
          </w:tcPr>
          <w:p w14:paraId="3686999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34" w:type="dxa"/>
            <w:tcBorders>
              <w:top w:val="single" w:sz="6" w:space="0" w:color="auto"/>
              <w:left w:val="nil"/>
              <w:right w:val="nil"/>
            </w:tcBorders>
            <w:shd w:val="clear" w:color="000000" w:fill="FFFFFF"/>
            <w:vAlign w:val="center"/>
            <w:hideMark/>
          </w:tcPr>
          <w:p w14:paraId="64BE7B42"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171" w:type="dxa"/>
            <w:tcBorders>
              <w:top w:val="single" w:sz="6" w:space="0" w:color="auto"/>
              <w:left w:val="nil"/>
              <w:right w:val="nil"/>
            </w:tcBorders>
            <w:shd w:val="clear" w:color="000000" w:fill="FFFFFF"/>
            <w:vAlign w:val="center"/>
            <w:hideMark/>
          </w:tcPr>
          <w:p w14:paraId="7A8B9187"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41" w:type="dxa"/>
            <w:tcBorders>
              <w:top w:val="single" w:sz="6" w:space="0" w:color="auto"/>
              <w:left w:val="nil"/>
              <w:right w:val="nil"/>
            </w:tcBorders>
            <w:shd w:val="clear" w:color="000000" w:fill="FFFFFF"/>
            <w:vAlign w:val="center"/>
            <w:hideMark/>
          </w:tcPr>
          <w:p w14:paraId="575AE03A"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36" w:type="dxa"/>
            <w:tcBorders>
              <w:top w:val="single" w:sz="6" w:space="0" w:color="auto"/>
              <w:left w:val="nil"/>
              <w:right w:val="nil"/>
            </w:tcBorders>
            <w:shd w:val="clear" w:color="000000" w:fill="FFFFFF"/>
            <w:vAlign w:val="center"/>
            <w:hideMark/>
          </w:tcPr>
          <w:p w14:paraId="5458F865"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GHG</w:t>
            </w:r>
          </w:p>
        </w:tc>
        <w:tc>
          <w:tcPr>
            <w:tcW w:w="925" w:type="dxa"/>
            <w:tcBorders>
              <w:top w:val="single" w:sz="6" w:space="0" w:color="auto"/>
              <w:left w:val="nil"/>
              <w:right w:val="nil"/>
            </w:tcBorders>
            <w:shd w:val="clear" w:color="000000" w:fill="FFFFFF"/>
            <w:vAlign w:val="center"/>
            <w:hideMark/>
          </w:tcPr>
          <w:p w14:paraId="743E2709"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114" w:type="dxa"/>
            <w:tcBorders>
              <w:top w:val="single" w:sz="6" w:space="0" w:color="auto"/>
              <w:left w:val="nil"/>
              <w:right w:val="nil"/>
            </w:tcBorders>
            <w:shd w:val="clear" w:color="000000" w:fill="FFFFFF"/>
            <w:vAlign w:val="center"/>
            <w:hideMark/>
          </w:tcPr>
          <w:p w14:paraId="0F6C772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22" w:type="dxa"/>
            <w:vAlign w:val="center"/>
            <w:hideMark/>
          </w:tcPr>
          <w:p w14:paraId="4F233EB9" w14:textId="77777777" w:rsidR="003670E8" w:rsidRPr="00677E16" w:rsidRDefault="003670E8" w:rsidP="00EA194A">
            <w:pPr>
              <w:spacing w:line="240" w:lineRule="auto"/>
              <w:rPr>
                <w:rFonts w:eastAsia="Times New Roman"/>
              </w:rPr>
            </w:pPr>
          </w:p>
        </w:tc>
      </w:tr>
      <w:tr w:rsidR="003670E8" w:rsidRPr="00677E16" w14:paraId="67367F42" w14:textId="77777777" w:rsidTr="00EA194A">
        <w:trPr>
          <w:trHeight w:val="288"/>
        </w:trPr>
        <w:tc>
          <w:tcPr>
            <w:tcW w:w="949" w:type="dxa"/>
            <w:tcBorders>
              <w:top w:val="nil"/>
              <w:left w:val="nil"/>
              <w:bottom w:val="single" w:sz="12" w:space="0" w:color="auto"/>
              <w:right w:val="nil"/>
            </w:tcBorders>
            <w:shd w:val="clear" w:color="000000" w:fill="FFFFFF"/>
            <w:vAlign w:val="center"/>
            <w:hideMark/>
          </w:tcPr>
          <w:p w14:paraId="69BBFFC2"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48" w:type="dxa"/>
            <w:tcBorders>
              <w:top w:val="nil"/>
              <w:left w:val="nil"/>
              <w:bottom w:val="single" w:sz="12" w:space="0" w:color="auto"/>
              <w:right w:val="nil"/>
            </w:tcBorders>
            <w:shd w:val="clear" w:color="000000" w:fill="FFFFFF"/>
            <w:vAlign w:val="center"/>
            <w:hideMark/>
          </w:tcPr>
          <w:p w14:paraId="6C4FB501"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34" w:type="dxa"/>
            <w:tcBorders>
              <w:top w:val="nil"/>
              <w:left w:val="nil"/>
              <w:bottom w:val="single" w:sz="12" w:space="0" w:color="auto"/>
              <w:right w:val="nil"/>
            </w:tcBorders>
            <w:shd w:val="clear" w:color="000000" w:fill="FFFFFF"/>
            <w:vAlign w:val="center"/>
            <w:hideMark/>
          </w:tcPr>
          <w:p w14:paraId="48DFC70C"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171" w:type="dxa"/>
            <w:tcBorders>
              <w:top w:val="nil"/>
              <w:left w:val="nil"/>
              <w:bottom w:val="single" w:sz="12" w:space="0" w:color="auto"/>
              <w:right w:val="nil"/>
            </w:tcBorders>
            <w:shd w:val="clear" w:color="000000" w:fill="FFFFFF"/>
            <w:vAlign w:val="center"/>
            <w:hideMark/>
          </w:tcPr>
          <w:p w14:paraId="4BE3EF8D"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41" w:type="dxa"/>
            <w:tcBorders>
              <w:top w:val="nil"/>
              <w:left w:val="nil"/>
              <w:bottom w:val="single" w:sz="12" w:space="0" w:color="auto"/>
              <w:right w:val="nil"/>
            </w:tcBorders>
            <w:shd w:val="clear" w:color="000000" w:fill="FFFFFF"/>
            <w:vAlign w:val="center"/>
            <w:hideMark/>
          </w:tcPr>
          <w:p w14:paraId="0269C60C"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36" w:type="dxa"/>
            <w:tcBorders>
              <w:top w:val="nil"/>
              <w:left w:val="nil"/>
              <w:bottom w:val="single" w:sz="12" w:space="0" w:color="auto"/>
              <w:right w:val="nil"/>
            </w:tcBorders>
            <w:shd w:val="clear" w:color="000000" w:fill="FFFFFF"/>
            <w:vAlign w:val="center"/>
            <w:hideMark/>
          </w:tcPr>
          <w:p w14:paraId="2EDF7B5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non-GHG</w:t>
            </w:r>
          </w:p>
        </w:tc>
        <w:tc>
          <w:tcPr>
            <w:tcW w:w="925" w:type="dxa"/>
            <w:tcBorders>
              <w:top w:val="nil"/>
              <w:left w:val="nil"/>
              <w:bottom w:val="single" w:sz="12" w:space="0" w:color="auto"/>
              <w:right w:val="nil"/>
            </w:tcBorders>
            <w:shd w:val="clear" w:color="000000" w:fill="FFFFFF"/>
            <w:vAlign w:val="center"/>
            <w:hideMark/>
          </w:tcPr>
          <w:p w14:paraId="4E8AE52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114" w:type="dxa"/>
            <w:tcBorders>
              <w:top w:val="nil"/>
              <w:left w:val="nil"/>
              <w:bottom w:val="single" w:sz="12" w:space="0" w:color="auto"/>
              <w:right w:val="nil"/>
            </w:tcBorders>
            <w:shd w:val="clear" w:color="000000" w:fill="FFFFFF"/>
            <w:vAlign w:val="center"/>
            <w:hideMark/>
          </w:tcPr>
          <w:p w14:paraId="41855338"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222" w:type="dxa"/>
            <w:vAlign w:val="center"/>
            <w:hideMark/>
          </w:tcPr>
          <w:p w14:paraId="32D66D93" w14:textId="77777777" w:rsidR="003670E8" w:rsidRPr="00677E16" w:rsidRDefault="003670E8" w:rsidP="00EA194A">
            <w:pPr>
              <w:spacing w:line="240" w:lineRule="auto"/>
              <w:rPr>
                <w:rFonts w:eastAsia="Times New Roman"/>
              </w:rPr>
            </w:pPr>
          </w:p>
        </w:tc>
      </w:tr>
    </w:tbl>
    <w:p w14:paraId="30BD0588" w14:textId="77777777" w:rsidR="003670E8" w:rsidRPr="00677E16" w:rsidRDefault="003670E8" w:rsidP="003670E8">
      <w:pPr>
        <w:pStyle w:val="FC2"/>
        <w:spacing w:before="240"/>
        <w:rPr>
          <w:b/>
          <w:bCs/>
        </w:rPr>
      </w:pPr>
      <w:r w:rsidRPr="00677E16">
        <w:rPr>
          <w:rFonts w:eastAsia="Times New Roman"/>
          <w:color w:val="000000"/>
        </w:rPr>
        <w:t>Table 3</w:t>
      </w:r>
      <w:r w:rsidRPr="00677E16">
        <w:rPr>
          <w:rFonts w:eastAsia="Times New Roman"/>
          <w:color w:val="000000"/>
        </w:rPr>
        <w:br/>
      </w:r>
      <w:r w:rsidRPr="00677E16">
        <w:rPr>
          <w:b/>
          <w:bCs/>
        </w:rPr>
        <w:t>Paragraph</w:t>
      </w:r>
      <w:r w:rsidRPr="00677E16">
        <w:rPr>
          <w:rFonts w:eastAsia="Times New Roman"/>
          <w:b/>
          <w:bCs/>
          <w:color w:val="000000"/>
        </w:rPr>
        <w:t xml:space="preserve"> 23 (j) in relation to paragraph 23 (e) “Annual quantity of ITMOs used towards achievement of NDC”</w:t>
      </w:r>
    </w:p>
    <w:tbl>
      <w:tblPr>
        <w:tblW w:w="7371" w:type="dxa"/>
        <w:tblInd w:w="1134" w:type="dxa"/>
        <w:tblLook w:val="04A0" w:firstRow="1" w:lastRow="0" w:firstColumn="1" w:lastColumn="0" w:noHBand="0" w:noVBand="1"/>
      </w:tblPr>
      <w:tblGrid>
        <w:gridCol w:w="913"/>
        <w:gridCol w:w="910"/>
        <w:gridCol w:w="1296"/>
        <w:gridCol w:w="886"/>
        <w:gridCol w:w="867"/>
        <w:gridCol w:w="822"/>
        <w:gridCol w:w="1677"/>
      </w:tblGrid>
      <w:tr w:rsidR="003670E8" w:rsidRPr="00677E16" w14:paraId="193F078B" w14:textId="77777777" w:rsidTr="00EA194A">
        <w:trPr>
          <w:trHeight w:val="720"/>
        </w:trPr>
        <w:tc>
          <w:tcPr>
            <w:tcW w:w="913" w:type="dxa"/>
            <w:tcBorders>
              <w:top w:val="single" w:sz="8" w:space="0" w:color="auto"/>
              <w:left w:val="nil"/>
              <w:bottom w:val="single" w:sz="6" w:space="0" w:color="auto"/>
              <w:right w:val="nil"/>
            </w:tcBorders>
            <w:shd w:val="clear" w:color="000000" w:fill="FFFFFF"/>
            <w:vAlign w:val="center"/>
            <w:hideMark/>
          </w:tcPr>
          <w:p w14:paraId="5E8A043A"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Reported year</w:t>
            </w:r>
          </w:p>
        </w:tc>
        <w:tc>
          <w:tcPr>
            <w:tcW w:w="910" w:type="dxa"/>
            <w:tcBorders>
              <w:top w:val="single" w:sz="8" w:space="0" w:color="auto"/>
              <w:left w:val="nil"/>
              <w:bottom w:val="single" w:sz="6" w:space="0" w:color="auto"/>
              <w:right w:val="nil"/>
            </w:tcBorders>
            <w:shd w:val="clear" w:color="000000" w:fill="FFFFFF"/>
            <w:vAlign w:val="center"/>
            <w:hideMark/>
          </w:tcPr>
          <w:p w14:paraId="6FD10C65"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Sector(s)</w:t>
            </w:r>
          </w:p>
        </w:tc>
        <w:tc>
          <w:tcPr>
            <w:tcW w:w="1296" w:type="dxa"/>
            <w:tcBorders>
              <w:top w:val="single" w:sz="8" w:space="0" w:color="auto"/>
              <w:left w:val="nil"/>
              <w:bottom w:val="single" w:sz="6" w:space="0" w:color="auto"/>
              <w:right w:val="nil"/>
            </w:tcBorders>
            <w:shd w:val="clear" w:color="000000" w:fill="FFFFFF"/>
            <w:vAlign w:val="center"/>
            <w:hideMark/>
          </w:tcPr>
          <w:p w14:paraId="41D56B0A"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First transferring participating Party</w:t>
            </w:r>
          </w:p>
        </w:tc>
        <w:tc>
          <w:tcPr>
            <w:tcW w:w="886" w:type="dxa"/>
            <w:tcBorders>
              <w:top w:val="single" w:sz="8" w:space="0" w:color="auto"/>
              <w:left w:val="nil"/>
              <w:bottom w:val="single" w:sz="6" w:space="0" w:color="auto"/>
              <w:right w:val="nil"/>
            </w:tcBorders>
            <w:shd w:val="clear" w:color="000000" w:fill="FFFFFF"/>
            <w:vAlign w:val="center"/>
            <w:hideMark/>
          </w:tcPr>
          <w:p w14:paraId="33782B49"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Vintage</w:t>
            </w:r>
          </w:p>
        </w:tc>
        <w:tc>
          <w:tcPr>
            <w:tcW w:w="867" w:type="dxa"/>
            <w:tcBorders>
              <w:top w:val="single" w:sz="8" w:space="0" w:color="auto"/>
              <w:left w:val="nil"/>
              <w:bottom w:val="single" w:sz="6" w:space="0" w:color="auto"/>
              <w:right w:val="nil"/>
            </w:tcBorders>
            <w:shd w:val="clear" w:color="000000" w:fill="FFFFFF"/>
            <w:vAlign w:val="center"/>
            <w:hideMark/>
          </w:tcPr>
          <w:p w14:paraId="24216264"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Metric</w:t>
            </w:r>
          </w:p>
        </w:tc>
        <w:tc>
          <w:tcPr>
            <w:tcW w:w="822" w:type="dxa"/>
            <w:tcBorders>
              <w:top w:val="single" w:sz="8" w:space="0" w:color="auto"/>
              <w:left w:val="nil"/>
              <w:bottom w:val="single" w:sz="6" w:space="0" w:color="auto"/>
              <w:right w:val="nil"/>
            </w:tcBorders>
            <w:shd w:val="clear" w:color="000000" w:fill="FFFFFF"/>
            <w:vAlign w:val="center"/>
            <w:hideMark/>
          </w:tcPr>
          <w:p w14:paraId="2FC86C1F"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Unit</w:t>
            </w:r>
          </w:p>
        </w:tc>
        <w:tc>
          <w:tcPr>
            <w:tcW w:w="1677" w:type="dxa"/>
            <w:tcBorders>
              <w:top w:val="single" w:sz="8" w:space="0" w:color="auto"/>
              <w:left w:val="nil"/>
              <w:bottom w:val="single" w:sz="6" w:space="0" w:color="auto"/>
              <w:right w:val="nil"/>
            </w:tcBorders>
            <w:shd w:val="clear" w:color="000000" w:fill="FFFFFF"/>
            <w:vAlign w:val="center"/>
            <w:hideMark/>
          </w:tcPr>
          <w:p w14:paraId="36E8BA47" w14:textId="77777777" w:rsidR="003670E8" w:rsidRPr="00677E16" w:rsidRDefault="003670E8" w:rsidP="00EA194A">
            <w:pPr>
              <w:spacing w:line="240" w:lineRule="auto"/>
              <w:jc w:val="center"/>
              <w:rPr>
                <w:rFonts w:eastAsia="Times New Roman"/>
                <w:i/>
                <w:iCs/>
                <w:color w:val="000000"/>
                <w:sz w:val="16"/>
                <w:szCs w:val="16"/>
              </w:rPr>
            </w:pPr>
            <w:r w:rsidRPr="00677E16">
              <w:rPr>
                <w:rFonts w:eastAsia="Times New Roman"/>
                <w:i/>
                <w:iCs/>
                <w:color w:val="000000"/>
                <w:sz w:val="16"/>
                <w:szCs w:val="16"/>
              </w:rPr>
              <w:t>Annual quantity of ITMOs used towards achievement of NDC</w:t>
            </w:r>
          </w:p>
        </w:tc>
      </w:tr>
      <w:tr w:rsidR="003670E8" w:rsidRPr="00677E16" w14:paraId="4A055724" w14:textId="77777777" w:rsidTr="00EA194A">
        <w:trPr>
          <w:trHeight w:val="315"/>
        </w:trPr>
        <w:tc>
          <w:tcPr>
            <w:tcW w:w="913" w:type="dxa"/>
            <w:tcBorders>
              <w:top w:val="single" w:sz="6" w:space="0" w:color="auto"/>
              <w:left w:val="nil"/>
              <w:right w:val="nil"/>
            </w:tcBorders>
            <w:shd w:val="clear" w:color="000000" w:fill="FFFFFF"/>
            <w:vAlign w:val="center"/>
            <w:hideMark/>
          </w:tcPr>
          <w:p w14:paraId="2211197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10" w:type="dxa"/>
            <w:tcBorders>
              <w:top w:val="single" w:sz="6" w:space="0" w:color="auto"/>
              <w:left w:val="nil"/>
              <w:right w:val="nil"/>
            </w:tcBorders>
            <w:shd w:val="clear" w:color="000000" w:fill="FFFFFF"/>
            <w:vAlign w:val="center"/>
            <w:hideMark/>
          </w:tcPr>
          <w:p w14:paraId="050BC0E2"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296" w:type="dxa"/>
            <w:tcBorders>
              <w:top w:val="single" w:sz="6" w:space="0" w:color="auto"/>
              <w:left w:val="nil"/>
              <w:right w:val="nil"/>
            </w:tcBorders>
            <w:shd w:val="clear" w:color="000000" w:fill="FFFFFF"/>
            <w:vAlign w:val="center"/>
            <w:hideMark/>
          </w:tcPr>
          <w:p w14:paraId="2EF343D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86" w:type="dxa"/>
            <w:tcBorders>
              <w:top w:val="single" w:sz="6" w:space="0" w:color="auto"/>
              <w:left w:val="nil"/>
              <w:right w:val="nil"/>
            </w:tcBorders>
            <w:shd w:val="clear" w:color="000000" w:fill="FFFFFF"/>
            <w:vAlign w:val="center"/>
            <w:hideMark/>
          </w:tcPr>
          <w:p w14:paraId="457F641B"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67" w:type="dxa"/>
            <w:tcBorders>
              <w:top w:val="single" w:sz="6" w:space="0" w:color="auto"/>
              <w:left w:val="nil"/>
              <w:right w:val="nil"/>
            </w:tcBorders>
            <w:shd w:val="clear" w:color="000000" w:fill="FFFFFF"/>
            <w:vAlign w:val="center"/>
            <w:hideMark/>
          </w:tcPr>
          <w:p w14:paraId="43302C16"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GHG</w:t>
            </w:r>
          </w:p>
        </w:tc>
        <w:tc>
          <w:tcPr>
            <w:tcW w:w="822" w:type="dxa"/>
            <w:tcBorders>
              <w:top w:val="single" w:sz="6" w:space="0" w:color="auto"/>
              <w:left w:val="nil"/>
              <w:right w:val="nil"/>
            </w:tcBorders>
            <w:shd w:val="clear" w:color="000000" w:fill="FFFFFF"/>
            <w:vAlign w:val="center"/>
            <w:hideMark/>
          </w:tcPr>
          <w:p w14:paraId="2A181E63"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677" w:type="dxa"/>
            <w:tcBorders>
              <w:top w:val="single" w:sz="6" w:space="0" w:color="auto"/>
              <w:left w:val="nil"/>
              <w:right w:val="nil"/>
            </w:tcBorders>
            <w:shd w:val="clear" w:color="000000" w:fill="FFFFFF"/>
            <w:vAlign w:val="center"/>
            <w:hideMark/>
          </w:tcPr>
          <w:p w14:paraId="7A527FFF"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r>
      <w:tr w:rsidR="003670E8" w:rsidRPr="00677E16" w14:paraId="21F408D8" w14:textId="77777777" w:rsidTr="00EA194A">
        <w:trPr>
          <w:trHeight w:val="288"/>
        </w:trPr>
        <w:tc>
          <w:tcPr>
            <w:tcW w:w="913" w:type="dxa"/>
            <w:tcBorders>
              <w:left w:val="nil"/>
              <w:bottom w:val="single" w:sz="12" w:space="0" w:color="auto"/>
              <w:right w:val="nil"/>
            </w:tcBorders>
            <w:shd w:val="clear" w:color="000000" w:fill="FFFFFF"/>
            <w:vAlign w:val="center"/>
            <w:hideMark/>
          </w:tcPr>
          <w:p w14:paraId="49ECE382"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910" w:type="dxa"/>
            <w:tcBorders>
              <w:left w:val="nil"/>
              <w:bottom w:val="single" w:sz="12" w:space="0" w:color="auto"/>
              <w:right w:val="nil"/>
            </w:tcBorders>
            <w:shd w:val="clear" w:color="000000" w:fill="FFFFFF"/>
            <w:vAlign w:val="center"/>
            <w:hideMark/>
          </w:tcPr>
          <w:p w14:paraId="1FE0CD7E"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296" w:type="dxa"/>
            <w:tcBorders>
              <w:left w:val="nil"/>
              <w:bottom w:val="single" w:sz="12" w:space="0" w:color="auto"/>
              <w:right w:val="nil"/>
            </w:tcBorders>
            <w:shd w:val="clear" w:color="000000" w:fill="FFFFFF"/>
            <w:vAlign w:val="center"/>
            <w:hideMark/>
          </w:tcPr>
          <w:p w14:paraId="0E381765"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86" w:type="dxa"/>
            <w:tcBorders>
              <w:left w:val="nil"/>
              <w:bottom w:val="single" w:sz="12" w:space="0" w:color="auto"/>
              <w:right w:val="nil"/>
            </w:tcBorders>
            <w:shd w:val="clear" w:color="000000" w:fill="FFFFFF"/>
            <w:vAlign w:val="center"/>
            <w:hideMark/>
          </w:tcPr>
          <w:p w14:paraId="18E62F26"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867" w:type="dxa"/>
            <w:tcBorders>
              <w:left w:val="nil"/>
              <w:bottom w:val="single" w:sz="12" w:space="0" w:color="auto"/>
              <w:right w:val="nil"/>
            </w:tcBorders>
            <w:shd w:val="clear" w:color="000000" w:fill="FFFFFF"/>
            <w:vAlign w:val="center"/>
            <w:hideMark/>
          </w:tcPr>
          <w:p w14:paraId="51AB73C9"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non-GHG</w:t>
            </w:r>
          </w:p>
        </w:tc>
        <w:tc>
          <w:tcPr>
            <w:tcW w:w="822" w:type="dxa"/>
            <w:tcBorders>
              <w:left w:val="nil"/>
              <w:bottom w:val="single" w:sz="12" w:space="0" w:color="auto"/>
              <w:right w:val="nil"/>
            </w:tcBorders>
            <w:shd w:val="clear" w:color="000000" w:fill="FFFFFF"/>
            <w:vAlign w:val="center"/>
            <w:hideMark/>
          </w:tcPr>
          <w:p w14:paraId="3985BB97"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c>
          <w:tcPr>
            <w:tcW w:w="1677" w:type="dxa"/>
            <w:tcBorders>
              <w:left w:val="nil"/>
              <w:bottom w:val="single" w:sz="12" w:space="0" w:color="auto"/>
              <w:right w:val="nil"/>
            </w:tcBorders>
            <w:shd w:val="clear" w:color="000000" w:fill="FFFFFF"/>
            <w:vAlign w:val="center"/>
            <w:hideMark/>
          </w:tcPr>
          <w:p w14:paraId="5A7A53F7" w14:textId="77777777" w:rsidR="003670E8" w:rsidRPr="00677E16" w:rsidRDefault="003670E8" w:rsidP="00EA194A">
            <w:pPr>
              <w:spacing w:line="240" w:lineRule="auto"/>
              <w:jc w:val="center"/>
              <w:rPr>
                <w:rFonts w:eastAsia="Times New Roman"/>
                <w:color w:val="000000"/>
              </w:rPr>
            </w:pPr>
            <w:r w:rsidRPr="00677E16">
              <w:rPr>
                <w:rFonts w:eastAsia="Times New Roman"/>
                <w:color w:val="000000"/>
              </w:rPr>
              <w:t> </w:t>
            </w:r>
          </w:p>
        </w:tc>
      </w:tr>
    </w:tbl>
    <w:p w14:paraId="2A03FF57" w14:textId="77777777" w:rsidR="003670E8" w:rsidRPr="007A23C2" w:rsidRDefault="003670E8" w:rsidP="003670E8">
      <w:pPr>
        <w:rPr>
          <w:b/>
          <w:sz w:val="28"/>
        </w:rPr>
      </w:pPr>
      <w:r w:rsidRPr="00677E16">
        <w:rPr>
          <w:b/>
          <w:sz w:val="28"/>
        </w:rPr>
        <w:t>]</w:t>
      </w:r>
    </w:p>
    <w:p w14:paraId="7BF7365E" w14:textId="68D37D07" w:rsidR="00C22574" w:rsidRPr="0011230C" w:rsidRDefault="00B70144" w:rsidP="00174357">
      <w:pPr>
        <w:spacing w:before="240"/>
        <w:ind w:left="1134" w:right="1134"/>
        <w:jc w:val="center"/>
      </w:pPr>
      <w:r>
        <w:rPr>
          <w:u w:val="single"/>
        </w:rPr>
        <w:tab/>
      </w:r>
      <w:r>
        <w:rPr>
          <w:u w:val="single"/>
        </w:rPr>
        <w:tab/>
      </w:r>
      <w:r>
        <w:rPr>
          <w:u w:val="single"/>
        </w:rPr>
        <w:tab/>
      </w:r>
      <w:r>
        <w:rPr>
          <w:u w:val="single"/>
        </w:rPr>
        <w:tab/>
      </w:r>
      <w:bookmarkEnd w:id="0"/>
      <w:bookmarkEnd w:id="1"/>
    </w:p>
    <w:sectPr w:rsidR="00C22574" w:rsidRPr="0011230C" w:rsidSect="00FD1F79">
      <w:footerReference w:type="even" r:id="rId26"/>
      <w:footerReference w:type="default" r:id="rId27"/>
      <w:headerReference w:type="first" r:id="rId28"/>
      <w:type w:val="continuous"/>
      <w:pgSz w:w="11906" w:h="16838" w:code="9"/>
      <w:pgMar w:top="1418"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0281" w14:textId="77777777" w:rsidR="00996CAC" w:rsidRPr="00F51BB6" w:rsidRDefault="00996CAC" w:rsidP="00F51BB6">
      <w:pPr>
        <w:spacing w:line="14" w:lineRule="exact"/>
        <w:rPr>
          <w:color w:val="FFFFFF" w:themeColor="background1"/>
        </w:rPr>
      </w:pPr>
      <w:r w:rsidRPr="00F51BB6">
        <w:rPr>
          <w:color w:val="FFFFFF" w:themeColor="background1"/>
        </w:rPr>
        <w:separator/>
      </w:r>
    </w:p>
    <w:p w14:paraId="5360E10F" w14:textId="77777777" w:rsidR="00996CAC" w:rsidRDefault="00996CAC"/>
  </w:endnote>
  <w:endnote w:type="continuationSeparator" w:id="0">
    <w:p w14:paraId="0AF5F55C" w14:textId="77777777" w:rsidR="00996CAC" w:rsidRPr="00F51BB6" w:rsidRDefault="00996CAC">
      <w:pPr>
        <w:rPr>
          <w:color w:val="FFFFFF" w:themeColor="background1"/>
        </w:rPr>
      </w:pPr>
      <w:r w:rsidRPr="00F51BB6">
        <w:rPr>
          <w:color w:val="FFFFFF" w:themeColor="background1"/>
        </w:rPr>
        <w:continuationSeparator/>
      </w:r>
    </w:p>
    <w:p w14:paraId="18D27270" w14:textId="77777777" w:rsidR="00996CAC" w:rsidRPr="00F51BB6" w:rsidRDefault="00996CAC">
      <w:pPr>
        <w:rPr>
          <w:color w:val="FFFFFF" w:themeColor="background1"/>
        </w:rPr>
      </w:pPr>
    </w:p>
    <w:p w14:paraId="5C7CE603" w14:textId="77777777" w:rsidR="00996CAC" w:rsidRDefault="00996CAC"/>
  </w:endnote>
  <w:endnote w:type="continuationNotice" w:id="1">
    <w:p w14:paraId="589B7211" w14:textId="77777777" w:rsidR="00996CAC" w:rsidRDefault="00996CAC">
      <w:pPr>
        <w:spacing w:line="240" w:lineRule="auto"/>
      </w:pPr>
    </w:p>
  </w:endnote>
  <w:endnote w:id="2">
    <w:p w14:paraId="0BA644D9" w14:textId="77777777" w:rsidR="003670E8" w:rsidRPr="006A5D46" w:rsidRDefault="003670E8" w:rsidP="003670E8">
      <w:pPr>
        <w:pStyle w:val="FootnoteTable"/>
        <w:spacing w:before="0" w:line="240" w:lineRule="auto"/>
        <w:ind w:left="1417" w:hanging="113"/>
        <w:contextualSpacing w:val="0"/>
        <w:rPr>
          <w:i/>
        </w:rPr>
      </w:pPr>
      <w:r w:rsidRPr="00E14879">
        <w:rPr>
          <w:rStyle w:val="EndnoteReference"/>
        </w:rPr>
        <w:endnoteRef/>
      </w:r>
      <w:r w:rsidRPr="00E14879">
        <w:rPr>
          <w:i/>
        </w:rPr>
        <w:t xml:space="preserve"> </w:t>
      </w:r>
      <w:r>
        <w:rPr>
          <w:i/>
        </w:rPr>
        <w:t xml:space="preserve"> Reporting Party as per common nomenclatures.</w:t>
      </w:r>
    </w:p>
  </w:endnote>
  <w:endnote w:id="3">
    <w:p w14:paraId="04ABF860" w14:textId="77777777" w:rsidR="003670E8" w:rsidRPr="006A5D46" w:rsidRDefault="003670E8" w:rsidP="003670E8">
      <w:pPr>
        <w:pStyle w:val="FootnoteTable"/>
        <w:spacing w:before="0" w:line="240" w:lineRule="auto"/>
        <w:ind w:left="1417" w:hanging="113"/>
        <w:contextualSpacing w:val="0"/>
        <w:rPr>
          <w:i/>
        </w:rPr>
      </w:pPr>
      <w:r w:rsidRPr="00A9759F">
        <w:rPr>
          <w:rStyle w:val="EndnoteReference"/>
        </w:rPr>
        <w:endnoteRef/>
      </w:r>
      <w:r w:rsidRPr="00A9759F">
        <w:rPr>
          <w:i/>
        </w:rPr>
        <w:t xml:space="preserve"> </w:t>
      </w:r>
      <w:r>
        <w:rPr>
          <w:i/>
        </w:rPr>
        <w:t xml:space="preserve"> </w:t>
      </w:r>
      <w:r w:rsidRPr="002126CA">
        <w:rPr>
          <w:i/>
        </w:rPr>
        <w:t>The annual period from 1 January to 31 December during which actions occurred.</w:t>
      </w:r>
    </w:p>
  </w:endnote>
  <w:endnote w:id="4">
    <w:p w14:paraId="54642F8C" w14:textId="77777777" w:rsidR="003670E8" w:rsidRPr="006A5D46" w:rsidRDefault="003670E8" w:rsidP="003670E8">
      <w:pPr>
        <w:pStyle w:val="FootnoteTable"/>
        <w:spacing w:before="0" w:line="240" w:lineRule="auto"/>
        <w:ind w:left="1417" w:hanging="113"/>
        <w:contextualSpacing w:val="0"/>
        <w:rPr>
          <w:i/>
        </w:rPr>
      </w:pPr>
      <w:r>
        <w:rPr>
          <w:i/>
        </w:rPr>
        <w:t>[</w:t>
      </w:r>
      <w:r w:rsidRPr="00A9759F">
        <w:rPr>
          <w:rStyle w:val="EndnoteReference"/>
        </w:rPr>
        <w:endnoteRef/>
      </w:r>
      <w:r w:rsidRPr="00C41361">
        <w:rPr>
          <w:i/>
        </w:rPr>
        <w:t>“Reviewed” if the information in the submission was considered in an Article 6 TER report as per decision 6/CMA.4, annex II, para. 2(c). In all other cases, “Not reviewed” is used. This field is automatically completed by the CARP.][“Review pending” where the report of the review of the biennial transparency report that includes information provided in the submission, pursuant to decision 6/CMA.4, annex II, para. 2(c), has not yet been published. “Review finalized without inconsistencies” where the report of the review has been published and no inconsistencies have been identified in the review report. “Review finalized with inconsistencies” where the report of the review has been published and inconsistencies have been identified in the review report. “Review finalized with significant and persistent inconsistencies” where the report of the review has been published and significant and persistent inconsistencies have been identified in the review report, pursuant to paragraph 14, Annex, decision 6/CMA.5.]</w:t>
      </w:r>
      <w:r w:rsidRPr="00C41361" w:rsidDel="00C41361">
        <w:rPr>
          <w:i/>
        </w:rPr>
        <w:t xml:space="preserve"> </w:t>
      </w:r>
    </w:p>
  </w:endnote>
  <w:endnote w:id="5">
    <w:p w14:paraId="2281024D" w14:textId="77777777" w:rsidR="003670E8" w:rsidRPr="006A5D46" w:rsidRDefault="003670E8" w:rsidP="003670E8">
      <w:pPr>
        <w:pStyle w:val="FootnoteTable"/>
        <w:spacing w:before="0" w:line="240" w:lineRule="auto"/>
        <w:ind w:left="1417" w:hanging="113"/>
        <w:contextualSpacing w:val="0"/>
        <w:rPr>
          <w:i/>
        </w:rPr>
      </w:pPr>
      <w:r w:rsidRPr="00DE4EF8">
        <w:rPr>
          <w:i/>
        </w:rPr>
        <w:t>[</w:t>
      </w:r>
      <w:r w:rsidRPr="00AF47AE">
        <w:rPr>
          <w:i/>
          <w:vertAlign w:val="superscript"/>
        </w:rPr>
        <w:t>d</w:t>
      </w:r>
      <w:r w:rsidRPr="00DE4EF8">
        <w:rPr>
          <w:i/>
        </w:rPr>
        <w:t>‘Consistent’ if the consistency check on the AEF submission detected no inconsistencies. ‘Not consistent’ if the consistency check of the AEF submission detected any inconsistencies. This field will be automatically filled by the CARP.][“Consistency checks pending” where the consistency checks have not yet been completed by the secretariat. “Inconsistencies identified” where the consistency checks have been completed and one or several inconsistencies have been identified. “No inconsistencies identified” where the consistency checks have been completed and no inconsistencies have been identified.]</w:t>
      </w:r>
    </w:p>
  </w:endnote>
  <w:endnote w:id="6">
    <w:p w14:paraId="4A4201CA" w14:textId="77777777" w:rsidR="003670E8" w:rsidRPr="006A5D46" w:rsidRDefault="003670E8" w:rsidP="003670E8">
      <w:pPr>
        <w:pStyle w:val="FootnoteTable"/>
        <w:spacing w:before="0" w:line="240" w:lineRule="auto"/>
        <w:ind w:left="1417" w:hanging="113"/>
        <w:contextualSpacing w:val="0"/>
        <w:rPr>
          <w:i/>
        </w:rPr>
      </w:pPr>
      <w:r>
        <w:rPr>
          <w:i/>
        </w:rPr>
        <w:t>[</w:t>
      </w:r>
      <w:r w:rsidRPr="00083BD8">
        <w:rPr>
          <w:rStyle w:val="EndnoteReference"/>
        </w:rPr>
        <w:endnoteRef/>
      </w:r>
      <w:r w:rsidRPr="00083BD8">
        <w:rPr>
          <w:i/>
        </w:rPr>
        <w:t xml:space="preserve"> </w:t>
      </w:r>
      <w:r>
        <w:rPr>
          <w:i/>
        </w:rPr>
        <w:t xml:space="preserve"> </w:t>
      </w:r>
      <w:r w:rsidRPr="00CA46BF">
        <w:rPr>
          <w:i/>
        </w:rPr>
        <w:t xml:space="preserve">Hyperlink to the Article 6 TER report in which the information in the </w:t>
      </w:r>
      <w:r>
        <w:rPr>
          <w:i/>
        </w:rPr>
        <w:t>AEF</w:t>
      </w:r>
      <w:r w:rsidRPr="00CA46BF">
        <w:rPr>
          <w:i/>
        </w:rPr>
        <w:t xml:space="preserve"> submission has been considered as per decision 6/CMA,4, annex II, para. 2(d). This field is automatically completed by the CARP.</w:t>
      </w:r>
      <w:r>
        <w:rPr>
          <w:i/>
        </w:rPr>
        <w:t>]</w:t>
      </w:r>
    </w:p>
  </w:endnote>
  <w:endnote w:id="7">
    <w:p w14:paraId="614B769A" w14:textId="77777777" w:rsidR="003670E8" w:rsidRDefault="003670E8" w:rsidP="003670E8">
      <w:pPr>
        <w:pStyle w:val="EndnoteText"/>
        <w:tabs>
          <w:tab w:val="clear" w:pos="1021"/>
        </w:tabs>
        <w:spacing w:line="200" w:lineRule="exact"/>
        <w:ind w:left="283" w:firstLine="142"/>
        <w:rPr>
          <w:i/>
        </w:rPr>
      </w:pPr>
      <w:r w:rsidRPr="003E5FC6">
        <w:rPr>
          <w:rStyle w:val="EndnoteReference"/>
          <w:i/>
        </w:rPr>
        <w:endnoteRef/>
      </w:r>
      <w:r w:rsidRPr="003E5FC6">
        <w:t xml:space="preserve"> </w:t>
      </w:r>
      <w:r>
        <w:t xml:space="preserve"> </w:t>
      </w:r>
      <w:r w:rsidRPr="00864244">
        <w:t>Date on which the action was executed in the Party ITMO registry.</w:t>
      </w:r>
    </w:p>
    <w:p w14:paraId="2711D215" w14:textId="77777777" w:rsidR="003670E8" w:rsidRDefault="003670E8" w:rsidP="003670E8">
      <w:pPr>
        <w:pStyle w:val="EndnoteText"/>
        <w:tabs>
          <w:tab w:val="clear" w:pos="1021"/>
        </w:tabs>
        <w:spacing w:line="200" w:lineRule="exact"/>
        <w:ind w:left="283" w:firstLine="142"/>
        <w:rPr>
          <w:i/>
        </w:rPr>
      </w:pPr>
      <w:r w:rsidRPr="00456998">
        <w:rPr>
          <w:vertAlign w:val="superscript"/>
        </w:rPr>
        <w:t xml:space="preserve">b  </w:t>
      </w:r>
      <w:r w:rsidRPr="00456998">
        <w:t>Action type as per decision 2/CMA.3, annex, para. 20(a).</w:t>
      </w:r>
    </w:p>
    <w:p w14:paraId="71B524D3" w14:textId="77777777" w:rsidR="003670E8" w:rsidRDefault="003670E8" w:rsidP="003670E8">
      <w:pPr>
        <w:pStyle w:val="EndnoteText"/>
        <w:tabs>
          <w:tab w:val="clear" w:pos="1021"/>
        </w:tabs>
        <w:spacing w:line="200" w:lineRule="exact"/>
        <w:ind w:left="283" w:firstLine="142"/>
        <w:rPr>
          <w:i/>
        </w:rPr>
      </w:pPr>
      <w:r w:rsidRPr="00456998">
        <w:rPr>
          <w:vertAlign w:val="superscript"/>
        </w:rPr>
        <w:t xml:space="preserve">c  </w:t>
      </w:r>
      <w:r w:rsidRPr="00456998">
        <w:t>Unique identifier of the cooperative approach as per common nomenclatures</w:t>
      </w:r>
      <w:r>
        <w:t>.</w:t>
      </w:r>
    </w:p>
    <w:p w14:paraId="4D52B181" w14:textId="77777777" w:rsidR="003670E8" w:rsidRDefault="003670E8" w:rsidP="003670E8">
      <w:pPr>
        <w:pStyle w:val="EndnoteText"/>
        <w:tabs>
          <w:tab w:val="clear" w:pos="1021"/>
        </w:tabs>
        <w:spacing w:line="200" w:lineRule="exact"/>
        <w:ind w:left="283" w:firstLine="142"/>
        <w:rPr>
          <w:i/>
        </w:rPr>
      </w:pPr>
      <w:r w:rsidRPr="00F90C4A">
        <w:rPr>
          <w:vertAlign w:val="superscript"/>
        </w:rPr>
        <w:t xml:space="preserve">d  </w:t>
      </w:r>
      <w:r w:rsidRPr="001C590F">
        <w:t>Unique identifier of the</w:t>
      </w:r>
      <w:r>
        <w:t xml:space="preserve"> Party</w:t>
      </w:r>
      <w:r w:rsidRPr="001C590F">
        <w:t xml:space="preserve"> ITMO registry in which the reported action has been tracked as per common nomenclatures</w:t>
      </w:r>
      <w:r>
        <w:t>.</w:t>
      </w:r>
    </w:p>
    <w:p w14:paraId="78708FA1" w14:textId="77777777" w:rsidR="003670E8" w:rsidRDefault="003670E8" w:rsidP="003670E8">
      <w:pPr>
        <w:pStyle w:val="EndnoteText"/>
        <w:tabs>
          <w:tab w:val="clear" w:pos="1021"/>
        </w:tabs>
        <w:spacing w:line="200" w:lineRule="exact"/>
        <w:ind w:left="283" w:firstLine="142"/>
        <w:rPr>
          <w:i/>
        </w:rPr>
      </w:pPr>
      <w:r w:rsidRPr="00F90C4A">
        <w:rPr>
          <w:vertAlign w:val="superscript"/>
        </w:rPr>
        <w:t xml:space="preserve">e  </w:t>
      </w:r>
      <w:r w:rsidRPr="00F90C4A">
        <w:t>Unique identifier as assigned by the relevant Party.</w:t>
      </w:r>
    </w:p>
    <w:p w14:paraId="114317AA" w14:textId="77777777" w:rsidR="003670E8" w:rsidRDefault="003670E8" w:rsidP="003670E8">
      <w:pPr>
        <w:pStyle w:val="EndnoteText"/>
        <w:tabs>
          <w:tab w:val="clear" w:pos="1021"/>
        </w:tabs>
        <w:spacing w:line="200" w:lineRule="exact"/>
        <w:ind w:left="283" w:firstLine="142"/>
        <w:rPr>
          <w:i/>
        </w:rPr>
      </w:pPr>
      <w:r w:rsidRPr="00F90C4A">
        <w:rPr>
          <w:vertAlign w:val="superscript"/>
        </w:rPr>
        <w:t xml:space="preserve">f  </w:t>
      </w:r>
      <w:r w:rsidRPr="00F90C4A">
        <w:t>Unique identifier of the ITMO as per decision 6/CMA.4, annex I, para. 5.</w:t>
      </w:r>
    </w:p>
    <w:p w14:paraId="55EF981E" w14:textId="77777777" w:rsidR="003670E8" w:rsidRDefault="003670E8" w:rsidP="003670E8">
      <w:pPr>
        <w:pStyle w:val="EndnoteText"/>
        <w:tabs>
          <w:tab w:val="clear" w:pos="1021"/>
        </w:tabs>
        <w:spacing w:line="200" w:lineRule="exact"/>
        <w:ind w:left="283" w:firstLine="142"/>
        <w:rPr>
          <w:i/>
        </w:rPr>
      </w:pPr>
      <w:r w:rsidRPr="00847022">
        <w:rPr>
          <w:vertAlign w:val="superscript"/>
        </w:rPr>
        <w:t xml:space="preserve">g  </w:t>
      </w:r>
      <w:r w:rsidRPr="00847022">
        <w:t>Unique identifier of the underlying unit from an underlying cooperative approach registry. This field should be reported as ‘Not applicable’ (NA) if the cooperative approach does not use an underlying cooperative approach registry.</w:t>
      </w:r>
    </w:p>
    <w:p w14:paraId="63AB9C0D" w14:textId="77777777" w:rsidR="003670E8" w:rsidRDefault="003670E8" w:rsidP="003670E8">
      <w:pPr>
        <w:pStyle w:val="EndnoteText"/>
        <w:tabs>
          <w:tab w:val="clear" w:pos="1021"/>
        </w:tabs>
        <w:spacing w:line="200" w:lineRule="exact"/>
        <w:ind w:left="283" w:firstLine="142"/>
        <w:rPr>
          <w:i/>
        </w:rPr>
      </w:pPr>
      <w:r w:rsidRPr="00847022">
        <w:rPr>
          <w:vertAlign w:val="superscript"/>
        </w:rPr>
        <w:t xml:space="preserve">h  </w:t>
      </w:r>
      <w:r w:rsidRPr="00847022">
        <w:t>Unique identifier of the underlying cooperative approach registry as per common nomenclatures. This field should be reported as ‘Not applicable’ (NA) if the cooperative approach does not use an underlying cooperative approach registry.</w:t>
      </w:r>
    </w:p>
    <w:p w14:paraId="498E80CE" w14:textId="77777777" w:rsidR="003670E8" w:rsidRDefault="003670E8" w:rsidP="003670E8">
      <w:pPr>
        <w:pStyle w:val="EndnoteText"/>
        <w:tabs>
          <w:tab w:val="clear" w:pos="1021"/>
        </w:tabs>
        <w:spacing w:line="200" w:lineRule="exact"/>
        <w:ind w:left="283" w:firstLine="142"/>
        <w:rPr>
          <w:i/>
        </w:rPr>
      </w:pPr>
      <w:r>
        <w:t>[</w:t>
      </w:r>
      <w:r w:rsidRPr="004009D8">
        <w:rPr>
          <w:vertAlign w:val="superscript"/>
        </w:rPr>
        <w:t xml:space="preserve">i  </w:t>
      </w:r>
      <w:r w:rsidRPr="007D29A7">
        <w:t>Type of Global warming potential (GWP) values applied (e.g., ‘100-year values from 5</w:t>
      </w:r>
      <w:r w:rsidRPr="00FC4EBA">
        <w:rPr>
          <w:vertAlign w:val="superscript"/>
        </w:rPr>
        <w:t>th</w:t>
      </w:r>
      <w:r w:rsidRPr="007D29A7">
        <w:t xml:space="preserve"> assessment report by the IPCC’).</w:t>
      </w:r>
      <w:r>
        <w:t>]</w:t>
      </w:r>
    </w:p>
    <w:p w14:paraId="7AF02FC1" w14:textId="77777777" w:rsidR="003670E8" w:rsidRDefault="003670E8" w:rsidP="003670E8">
      <w:pPr>
        <w:pStyle w:val="EndnoteText"/>
        <w:tabs>
          <w:tab w:val="clear" w:pos="1021"/>
        </w:tabs>
        <w:spacing w:line="200" w:lineRule="exact"/>
        <w:ind w:left="283" w:firstLine="142"/>
      </w:pPr>
      <w:r w:rsidRPr="00DC26FE">
        <w:t>[</w:t>
      </w:r>
      <w:r w:rsidRPr="004009D8">
        <w:rPr>
          <w:vertAlign w:val="superscript"/>
        </w:rPr>
        <w:t xml:space="preserve">j  </w:t>
      </w:r>
      <w:r w:rsidRPr="002B5819">
        <w:t>Type of non-GHG metric applied (e.g., ‘kilowatt hours of renewable electricity generation’). This field should be reported as ‘Not applicable’ (NA) if the ITMOs are in a GHG metric.</w:t>
      </w:r>
      <w:r>
        <w:t>]</w:t>
      </w:r>
    </w:p>
    <w:p w14:paraId="6B6505E8" w14:textId="77777777" w:rsidR="003670E8" w:rsidRDefault="003670E8" w:rsidP="003670E8">
      <w:pPr>
        <w:pStyle w:val="EndnoteText"/>
        <w:tabs>
          <w:tab w:val="clear" w:pos="1021"/>
        </w:tabs>
        <w:spacing w:line="200" w:lineRule="exact"/>
        <w:ind w:left="283" w:firstLine="142"/>
        <w:rPr>
          <w:i/>
        </w:rPr>
      </w:pPr>
      <w:r>
        <w:t>[</w:t>
      </w:r>
      <w:r w:rsidRPr="00C623C2">
        <w:rPr>
          <w:vertAlign w:val="superscript"/>
        </w:rPr>
        <w:t xml:space="preserve">k  </w:t>
      </w:r>
      <w:r w:rsidRPr="009137A7">
        <w:t xml:space="preserve">Quantity of ITMOs that are subject to the </w:t>
      </w:r>
      <w:r>
        <w:t>[</w:t>
      </w:r>
      <w:r w:rsidRPr="009137A7">
        <w:t>transaction</w:t>
      </w:r>
      <w:r>
        <w:t>][action]</w:t>
      </w:r>
      <w:r w:rsidRPr="009137A7">
        <w:t xml:space="preserve"> expressed in tons of CO</w:t>
      </w:r>
      <w:r w:rsidRPr="00AA1BB8">
        <w:rPr>
          <w:vertAlign w:val="subscript"/>
        </w:rPr>
        <w:t>2</w:t>
      </w:r>
      <w:r w:rsidRPr="009137A7">
        <w:t xml:space="preserve"> equivalent.</w:t>
      </w:r>
      <w:r>
        <w:t>]</w:t>
      </w:r>
    </w:p>
    <w:p w14:paraId="1DA08CCB" w14:textId="77777777" w:rsidR="003670E8" w:rsidRDefault="003670E8" w:rsidP="003670E8">
      <w:pPr>
        <w:pStyle w:val="EndnoteText"/>
        <w:tabs>
          <w:tab w:val="clear" w:pos="1021"/>
        </w:tabs>
        <w:spacing w:line="200" w:lineRule="exact"/>
        <w:ind w:left="283" w:firstLine="142"/>
        <w:rPr>
          <w:i/>
        </w:rPr>
      </w:pPr>
      <w:r w:rsidRPr="00C623C2">
        <w:rPr>
          <w:vertAlign w:val="superscript"/>
        </w:rPr>
        <w:t xml:space="preserve">l  </w:t>
      </w:r>
      <w:r w:rsidRPr="009137A7">
        <w:t xml:space="preserve">Quantity of ITMOs in the respective non-GHG metric that are subject to the </w:t>
      </w:r>
      <w:r>
        <w:t>[</w:t>
      </w:r>
      <w:r w:rsidRPr="009137A7">
        <w:t>transaction</w:t>
      </w:r>
      <w:r>
        <w:t>][action]</w:t>
      </w:r>
      <w:r w:rsidRPr="009137A7">
        <w:t>. This field should be reported as ‘Not applicable’ (NA) if the ITMOs are in a GHG metric.</w:t>
      </w:r>
    </w:p>
    <w:p w14:paraId="334616CC" w14:textId="77777777" w:rsidR="003670E8" w:rsidRDefault="003670E8" w:rsidP="003670E8">
      <w:pPr>
        <w:pStyle w:val="EndnoteText"/>
        <w:tabs>
          <w:tab w:val="clear" w:pos="1021"/>
        </w:tabs>
        <w:spacing w:line="200" w:lineRule="exact"/>
        <w:ind w:left="283" w:firstLine="142"/>
        <w:rPr>
          <w:i/>
        </w:rPr>
      </w:pPr>
      <w:r w:rsidRPr="00C623C2">
        <w:rPr>
          <w:vertAlign w:val="superscript"/>
        </w:rPr>
        <w:t xml:space="preserve">m  </w:t>
      </w:r>
      <w:r w:rsidRPr="00E06280">
        <w:t>Unique identifier of the participating Party in which the mitigation outcome was generated as per common nomenclatures. This field is a specification whether or not the mitigation outcomes are subject to a reversal risk.</w:t>
      </w:r>
    </w:p>
    <w:p w14:paraId="22E55BCA" w14:textId="77777777" w:rsidR="003670E8" w:rsidRDefault="003670E8" w:rsidP="003670E8">
      <w:pPr>
        <w:pStyle w:val="EndnoteText"/>
        <w:tabs>
          <w:tab w:val="clear" w:pos="1021"/>
        </w:tabs>
        <w:spacing w:line="200" w:lineRule="exact"/>
        <w:ind w:left="283" w:firstLine="142"/>
      </w:pPr>
      <w:r>
        <w:t>[</w:t>
      </w:r>
      <w:r w:rsidRPr="00C623C2">
        <w:rPr>
          <w:vertAlign w:val="superscript"/>
        </w:rPr>
        <w:t xml:space="preserve">n  </w:t>
      </w:r>
      <w:r w:rsidRPr="00C623C2">
        <w:t>This field is a specification whether or not the mitigation outcomes are subject to a reversal risk.</w:t>
      </w:r>
      <w:r>
        <w:t>]</w:t>
      </w:r>
    </w:p>
    <w:p w14:paraId="53FF1964" w14:textId="77777777" w:rsidR="003670E8" w:rsidRDefault="003670E8" w:rsidP="003670E8">
      <w:pPr>
        <w:pStyle w:val="EndnoteText"/>
        <w:tabs>
          <w:tab w:val="clear" w:pos="1021"/>
        </w:tabs>
        <w:spacing w:line="200" w:lineRule="exact"/>
        <w:ind w:left="283" w:firstLine="142"/>
        <w:rPr>
          <w:i/>
        </w:rPr>
      </w:pPr>
      <w:r w:rsidRPr="006E7E45">
        <w:t>[</w:t>
      </w:r>
      <w:r w:rsidRPr="006E7E45">
        <w:rPr>
          <w:vertAlign w:val="superscript"/>
        </w:rPr>
        <w:t xml:space="preserve">o  </w:t>
      </w:r>
      <w:r w:rsidRPr="00423BC9">
        <w:t>Reversal risk category as per common nomenclatures, if applicable.</w:t>
      </w:r>
      <w:r>
        <w:t>]</w:t>
      </w:r>
    </w:p>
    <w:p w14:paraId="7C7DF654" w14:textId="77777777" w:rsidR="003670E8" w:rsidRDefault="003670E8" w:rsidP="003670E8">
      <w:pPr>
        <w:pStyle w:val="EndnoteText"/>
        <w:tabs>
          <w:tab w:val="clear" w:pos="1021"/>
        </w:tabs>
        <w:spacing w:line="200" w:lineRule="exact"/>
        <w:ind w:left="283" w:firstLine="142"/>
        <w:rPr>
          <w:i/>
        </w:rPr>
      </w:pPr>
      <w:r>
        <w:rPr>
          <w:vertAlign w:val="superscript"/>
        </w:rPr>
        <w:t>p</w:t>
      </w:r>
      <w:r w:rsidRPr="00C623C2">
        <w:rPr>
          <w:vertAlign w:val="superscript"/>
        </w:rPr>
        <w:t xml:space="preserve">  </w:t>
      </w:r>
      <w:r w:rsidRPr="00C623C2">
        <w:t>Calendar year in which the mitigation outcome occurred.</w:t>
      </w:r>
    </w:p>
    <w:p w14:paraId="075FEF07" w14:textId="77777777" w:rsidR="003670E8" w:rsidRDefault="003670E8" w:rsidP="003670E8">
      <w:pPr>
        <w:pStyle w:val="EndnoteText"/>
        <w:tabs>
          <w:tab w:val="clear" w:pos="1021"/>
        </w:tabs>
        <w:spacing w:line="200" w:lineRule="exact"/>
        <w:ind w:left="283" w:firstLine="142"/>
        <w:rPr>
          <w:i/>
        </w:rPr>
      </w:pPr>
      <w:r>
        <w:rPr>
          <w:vertAlign w:val="superscript"/>
        </w:rPr>
        <w:t>q</w:t>
      </w:r>
      <w:r w:rsidRPr="00C561B5">
        <w:rPr>
          <w:vertAlign w:val="superscript"/>
        </w:rPr>
        <w:t xml:space="preserve">  </w:t>
      </w:r>
      <w:r w:rsidRPr="00504006">
        <w:t>Unique identifier of the transferring participating Party or, where the transfer occurs from an account of the Adaptation Fund in the international registry to a Party, a unique identifier for the Adaptation Fund, as per common nomenclatures. This field is only applicable to the action type acquisition. In other cases, this field should be reported as ‘Not applicable’ (NA).</w:t>
      </w:r>
    </w:p>
    <w:p w14:paraId="0661926C" w14:textId="77777777" w:rsidR="003670E8" w:rsidRDefault="003670E8" w:rsidP="003670E8">
      <w:pPr>
        <w:pStyle w:val="EndnoteText"/>
        <w:tabs>
          <w:tab w:val="clear" w:pos="1021"/>
        </w:tabs>
        <w:spacing w:line="200" w:lineRule="exact"/>
        <w:ind w:left="283" w:firstLine="142"/>
        <w:rPr>
          <w:i/>
        </w:rPr>
      </w:pPr>
      <w:r>
        <w:rPr>
          <w:vertAlign w:val="superscript"/>
        </w:rPr>
        <w:t>r</w:t>
      </w:r>
      <w:r>
        <w:t xml:space="preserve">  </w:t>
      </w:r>
      <w:r w:rsidRPr="000104D6">
        <w:t>Unique identifier of the acquiring participating Party, or where the acquisition occurs from an account of the Adaptation Fund in the international registry, a unique identifier for the Adaptation Fund, as per common nomenclatures. This field is only applicable to the following action types and sub-types: the action type ‘transfer’; the action subtypes ‘Transfer to another Party’, ‘Mandatory transfer to the Adaptation Fund’ and ‘Voluntary transfer to the Adaptation Fund’ within the action type ‘First transfer’. In other cases, this field should be reported as ‘Not applicable’ (NA).</w:t>
      </w:r>
    </w:p>
    <w:p w14:paraId="683AF985" w14:textId="77777777" w:rsidR="003670E8" w:rsidRDefault="003670E8" w:rsidP="003670E8">
      <w:pPr>
        <w:pStyle w:val="EndnoteText"/>
        <w:tabs>
          <w:tab w:val="clear" w:pos="1021"/>
        </w:tabs>
        <w:spacing w:line="200" w:lineRule="exact"/>
        <w:ind w:left="283" w:firstLine="142"/>
        <w:rPr>
          <w:i/>
        </w:rPr>
      </w:pPr>
      <w:r>
        <w:rPr>
          <w:vertAlign w:val="superscript"/>
        </w:rPr>
        <w:t>s</w:t>
      </w:r>
      <w:r w:rsidRPr="006E7E45">
        <w:rPr>
          <w:vertAlign w:val="superscript"/>
        </w:rPr>
        <w:t xml:space="preserve">  </w:t>
      </w:r>
      <w:r w:rsidRPr="00C13A98">
        <w:t xml:space="preserve">This field is </w:t>
      </w:r>
      <w:r w:rsidRPr="0040639F">
        <w:t>optional</w:t>
      </w:r>
      <w:r w:rsidRPr="00C13A98">
        <w:t xml:space="preserve">. It may be completed to specify the purpose for which the ITMO has been used or cancelled towards OIMP. This field is only applicable to the following action types and sub-types: the action subtypes </w:t>
      </w:r>
      <w:r w:rsidRPr="0040639F">
        <w:t>[‘</w:t>
      </w:r>
      <w:r w:rsidRPr="00C13A98">
        <w:t>Use towards other purposes’ and ‘Use towards IMP’</w:t>
      </w:r>
      <w:r w:rsidRPr="0040639F">
        <w:t>][‘Use towards OIMP]</w:t>
      </w:r>
      <w:r w:rsidRPr="00C13A98">
        <w:t xml:space="preserve"> within the action type ‘use’; the action type ‘cancellation’; the action subtypes </w:t>
      </w:r>
      <w:r w:rsidRPr="0040639F">
        <w:t>[‘</w:t>
      </w:r>
      <w:r w:rsidRPr="00C13A98">
        <w:t xml:space="preserve">First transfer for OIMP / use towards IMP’, ‘First transfer for OIMP / use towards other purposes’, and ‘First transfer for OIMP / cancellation </w:t>
      </w:r>
      <w:r>
        <w:t>[</w:t>
      </w:r>
      <w:r w:rsidRPr="00C13A98">
        <w:t>towards</w:t>
      </w:r>
      <w:r>
        <w:t>][for]</w:t>
      </w:r>
      <w:r w:rsidRPr="00C13A98">
        <w:t xml:space="preserve"> other purposes’</w:t>
      </w:r>
      <w:r w:rsidRPr="0040639F">
        <w:t>]][‘First transfer for OIMP / Use or cancellation’, ‘Mandatory cancellation of Article 6.4 emission reductions to deliver OMGE’ and ‘Voluntary cancellation to deliver OMGE’] and</w:t>
      </w:r>
      <w:r w:rsidRPr="00C13A98">
        <w:t xml:space="preserve"> within the action type ‘First transfer’. </w:t>
      </w:r>
      <w:r w:rsidRPr="0040639F">
        <w:t>In other cases, this field should be reported as ‘Not applicable’ (NA)</w:t>
      </w:r>
      <w:r w:rsidRPr="00C13A98">
        <w:t>.</w:t>
      </w:r>
    </w:p>
    <w:p w14:paraId="39835DAD" w14:textId="77777777" w:rsidR="003670E8" w:rsidRDefault="003670E8" w:rsidP="003670E8">
      <w:pPr>
        <w:pStyle w:val="EndnoteText"/>
        <w:tabs>
          <w:tab w:val="clear" w:pos="1021"/>
        </w:tabs>
        <w:spacing w:line="200" w:lineRule="exact"/>
        <w:ind w:left="283" w:firstLine="142"/>
        <w:rPr>
          <w:i/>
        </w:rPr>
      </w:pPr>
      <w:r w:rsidRPr="00140157">
        <w:t>[</w:t>
      </w:r>
      <w:r>
        <w:rPr>
          <w:vertAlign w:val="superscript"/>
        </w:rPr>
        <w:t xml:space="preserve">t </w:t>
      </w:r>
      <w:r w:rsidRPr="006E7E45">
        <w:rPr>
          <w:vertAlign w:val="superscript"/>
        </w:rPr>
        <w:t xml:space="preserve"> </w:t>
      </w:r>
      <w:r w:rsidRPr="00023361">
        <w:t>Unique identifier of the using or cancelling participating Party as per common nomenclatures. [This field is only applicable where authorized entities pursue the use or cancellation of ITMOs.] This field is [also] only applicable to the following action types and sub-types: the action subtype ‘Use towards OIMP’ within the action type ‘use;’[‘Cancellation towards OIMP’][‘Cancellation towards other purposes’] within the action type ‘cancellation’; the action subtypes ‘First transfer for OIMP / use towards other purposes’, ‘First transfer for OIMP / cancellation towards other purposes’ and ‘Voluntary cancellation to deliver OMGE’ within the action type ‘First transfer’. In other cases, this field should be reported as ‘Not applicable’ (NA)</w:t>
      </w:r>
      <w:r w:rsidRPr="00A3654E">
        <w:t>.</w:t>
      </w:r>
      <w:r>
        <w:t>]</w:t>
      </w:r>
    </w:p>
    <w:p w14:paraId="7FAD8112" w14:textId="77777777" w:rsidR="003670E8" w:rsidRDefault="003670E8" w:rsidP="003670E8">
      <w:pPr>
        <w:pStyle w:val="EndnoteText"/>
        <w:tabs>
          <w:tab w:val="clear" w:pos="1021"/>
        </w:tabs>
        <w:spacing w:line="200" w:lineRule="exact"/>
        <w:ind w:left="283" w:firstLine="142"/>
        <w:rPr>
          <w:i/>
        </w:rPr>
      </w:pPr>
      <w:r>
        <w:rPr>
          <w:vertAlign w:val="superscript"/>
        </w:rPr>
        <w:t>u</w:t>
      </w:r>
      <w:r w:rsidRPr="006E7E45">
        <w:rPr>
          <w:vertAlign w:val="superscript"/>
        </w:rPr>
        <w:t xml:space="preserve">  </w:t>
      </w:r>
      <w:r w:rsidRPr="009936F9">
        <w:t>Unique identifier of the using or cancelling authorized entity as per common nomenclatures. This field is only applicable where authorized entities pursue the use or cancellation of ITMOs. The field is also only applicable to the following action types and sub-types: the action subtypes ‘Use towards other purposes’ and ‘Use towards IMP’ within the action type ‘use’; the action type ‘cancellation’</w:t>
      </w:r>
      <w:r>
        <w:t>[</w:t>
      </w:r>
      <w:r w:rsidRPr="009936F9">
        <w:t>; the action subtypes ‘First transfer for OIMP / use towards IMP’, ‘First transfer for OIMP / use towards other purposes’, ‘First transfer for OIMP / cancellation towards other purposes’ and ‘Voluntary cancellation to deliver OMGE’ within the action type ‘First transfer’</w:t>
      </w:r>
      <w:r>
        <w:t>]</w:t>
      </w:r>
      <w:r w:rsidRPr="009936F9">
        <w:t xml:space="preserve">. </w:t>
      </w:r>
      <w:r w:rsidRPr="00700997">
        <w:t>In other cases, this field should be reported as ‘Not applicable’ (NA)</w:t>
      </w:r>
      <w:r w:rsidRPr="009936F9">
        <w:t>.</w:t>
      </w:r>
    </w:p>
    <w:p w14:paraId="3E3D9DD4" w14:textId="77777777" w:rsidR="003670E8" w:rsidRDefault="003670E8" w:rsidP="003670E8">
      <w:pPr>
        <w:pStyle w:val="EndnoteText"/>
        <w:tabs>
          <w:tab w:val="clear" w:pos="1021"/>
        </w:tabs>
        <w:spacing w:line="200" w:lineRule="exact"/>
        <w:ind w:left="283" w:firstLine="142"/>
        <w:rPr>
          <w:i/>
        </w:rPr>
      </w:pPr>
      <w:r w:rsidRPr="00C561B5">
        <w:rPr>
          <w:vertAlign w:val="superscript"/>
        </w:rPr>
        <w:t>v</w:t>
      </w:r>
      <w:r w:rsidRPr="006E7E45">
        <w:rPr>
          <w:vertAlign w:val="superscript"/>
        </w:rPr>
        <w:t xml:space="preserve">  </w:t>
      </w:r>
      <w:r w:rsidRPr="00FF75DA">
        <w:t>The calendar year which the ITMOs are used</w:t>
      </w:r>
      <w:r>
        <w:t xml:space="preserve"> towards an NDC</w:t>
      </w:r>
      <w:r w:rsidRPr="00FF75DA">
        <w:t>. This field is only applicable to the sub-action type ‘Use towards NDC’ within the action type ‘Use’.</w:t>
      </w:r>
    </w:p>
    <w:p w14:paraId="5CDCA575" w14:textId="77777777" w:rsidR="003670E8" w:rsidRDefault="003670E8" w:rsidP="003670E8">
      <w:pPr>
        <w:pStyle w:val="EndnoteText"/>
        <w:tabs>
          <w:tab w:val="clear" w:pos="1021"/>
        </w:tabs>
        <w:spacing w:line="200" w:lineRule="exact"/>
        <w:ind w:left="283" w:firstLine="142"/>
        <w:rPr>
          <w:i/>
        </w:rPr>
      </w:pPr>
      <w:r>
        <w:t>[</w:t>
      </w:r>
      <w:r w:rsidRPr="00C561B5">
        <w:rPr>
          <w:vertAlign w:val="superscript"/>
        </w:rPr>
        <w:t>w</w:t>
      </w:r>
      <w:r w:rsidRPr="006E7E45">
        <w:rPr>
          <w:vertAlign w:val="superscript"/>
        </w:rPr>
        <w:t xml:space="preserve">  </w:t>
      </w:r>
      <w:r w:rsidRPr="00705883">
        <w:t>This field indicates whether the  action constitutes the contribution of share of proceeds.  The field is also only applicable to the action subtype  Mandatory transfer to the Adaptation Fund ’ within the action type ‘First transfer’. In other cases, this field should be reported as ‘Not applicable’ (NA).</w:t>
      </w:r>
      <w:r>
        <w:t>]</w:t>
      </w:r>
    </w:p>
    <w:p w14:paraId="17C4525F" w14:textId="77777777" w:rsidR="003670E8" w:rsidRDefault="003670E8" w:rsidP="003670E8">
      <w:pPr>
        <w:pStyle w:val="EndnoteText"/>
        <w:tabs>
          <w:tab w:val="clear" w:pos="1021"/>
        </w:tabs>
        <w:spacing w:line="200" w:lineRule="exact"/>
        <w:ind w:left="283" w:firstLine="142"/>
        <w:rPr>
          <w:i/>
        </w:rPr>
      </w:pPr>
      <w:r w:rsidRPr="000858D7">
        <w:t>[</w:t>
      </w:r>
      <w:r w:rsidRPr="00C561B5">
        <w:rPr>
          <w:vertAlign w:val="superscript"/>
        </w:rPr>
        <w:t xml:space="preserve">x  </w:t>
      </w:r>
      <w:r w:rsidRPr="00C561B5">
        <w:t>This field indicates whether the action constitutes the contribution to the overall mitigation global emissions. The field is also only applicable to the action subtype ‘Voluntary cancellation to deliver OMGE’ and ‘Mandatory cancellation to deliver OMGE’  within the action type ‘First transfer’, and ‘Voluntary cancellation to deliver OMGE’ within action ‘cancellation.</w:t>
      </w:r>
      <w:r>
        <w:t>]</w:t>
      </w:r>
    </w:p>
    <w:p w14:paraId="6198CA52" w14:textId="77777777" w:rsidR="003670E8" w:rsidRPr="003836DC" w:rsidRDefault="003670E8" w:rsidP="003670E8">
      <w:pPr>
        <w:pStyle w:val="EndnoteText"/>
        <w:tabs>
          <w:tab w:val="clear" w:pos="1021"/>
        </w:tabs>
        <w:spacing w:line="200" w:lineRule="exact"/>
        <w:ind w:left="283" w:firstLine="142"/>
      </w:pPr>
      <w:r w:rsidRPr="008F58AD">
        <w:t>[</w:t>
      </w:r>
      <w:r w:rsidRPr="000E2CB6">
        <w:rPr>
          <w:vertAlign w:val="superscript"/>
        </w:rPr>
        <w:t>y</w:t>
      </w:r>
      <w:r>
        <w:rPr>
          <w:vertAlign w:val="superscript"/>
        </w:rPr>
        <w:t xml:space="preserve">  </w:t>
      </w:r>
      <w:r w:rsidRPr="003836DC">
        <w:t>The volume of units directed, and where available, the value directed for SOP.</w:t>
      </w:r>
      <w:r>
        <w:t>]</w:t>
      </w:r>
    </w:p>
    <w:p w14:paraId="3D969464" w14:textId="77777777" w:rsidR="003670E8" w:rsidRPr="00864244" w:rsidRDefault="003670E8" w:rsidP="003670E8">
      <w:pPr>
        <w:pStyle w:val="EndnoteText"/>
        <w:tabs>
          <w:tab w:val="clear" w:pos="1021"/>
        </w:tabs>
        <w:spacing w:line="200" w:lineRule="exact"/>
        <w:ind w:left="283" w:firstLine="142"/>
        <w:rPr>
          <w:i/>
        </w:rPr>
      </w:pPr>
      <w:r w:rsidRPr="000E2CB6">
        <w:t>[</w:t>
      </w:r>
      <w:r>
        <w:rPr>
          <w:vertAlign w:val="superscript"/>
        </w:rPr>
        <w:t>z</w:t>
      </w:r>
      <w:r w:rsidRPr="00C561B5">
        <w:rPr>
          <w:vertAlign w:val="superscript"/>
        </w:rPr>
        <w:t xml:space="preserve">  </w:t>
      </w:r>
      <w:r w:rsidRPr="00C561B5">
        <w:t>Shows the result of the consistency check on the reported action as per decision 2/CMA.3, annex, para. 33(a). ). This field this field is automatically completed by the CARP.</w:t>
      </w:r>
      <w:r>
        <w:t>]</w:t>
      </w:r>
    </w:p>
  </w:endnote>
  <w:endnote w:id="8">
    <w:p w14:paraId="54C789AF" w14:textId="77777777" w:rsidR="003670E8" w:rsidRDefault="003670E8" w:rsidP="003670E8">
      <w:pPr>
        <w:pStyle w:val="EndnoteText"/>
        <w:tabs>
          <w:tab w:val="clear" w:pos="1021"/>
        </w:tabs>
        <w:spacing w:line="200" w:lineRule="exact"/>
        <w:ind w:left="993" w:firstLine="142"/>
        <w:rPr>
          <w:i/>
        </w:rPr>
      </w:pPr>
      <w:r w:rsidRPr="00C75CCA">
        <w:rPr>
          <w:rStyle w:val="EndnoteReference"/>
          <w:i/>
        </w:rPr>
        <w:endnoteRef/>
      </w:r>
      <w:r w:rsidRPr="00C75CCA">
        <w:t xml:space="preserve"> </w:t>
      </w:r>
      <w:r>
        <w:t xml:space="preserve"> </w:t>
      </w:r>
      <w:r w:rsidRPr="00BE21F6">
        <w:t>Unique identifier of the cooperative approach as per common nomenclatures.</w:t>
      </w:r>
    </w:p>
    <w:p w14:paraId="05F9D1C0" w14:textId="77777777" w:rsidR="003670E8" w:rsidRDefault="003670E8" w:rsidP="003670E8">
      <w:pPr>
        <w:pStyle w:val="EndnoteText"/>
        <w:tabs>
          <w:tab w:val="clear" w:pos="1021"/>
        </w:tabs>
        <w:spacing w:line="200" w:lineRule="exact"/>
        <w:ind w:left="993" w:firstLine="142"/>
        <w:rPr>
          <w:i/>
        </w:rPr>
      </w:pPr>
      <w:r w:rsidRPr="00083E57">
        <w:rPr>
          <w:vertAlign w:val="superscript"/>
        </w:rPr>
        <w:t>b</w:t>
      </w:r>
      <w:r w:rsidRPr="006E7E45">
        <w:rPr>
          <w:vertAlign w:val="superscript"/>
        </w:rPr>
        <w:t xml:space="preserve">  </w:t>
      </w:r>
      <w:r w:rsidRPr="00BE21F6">
        <w:t xml:space="preserve">Unique identifier of the </w:t>
      </w:r>
      <w:r>
        <w:t xml:space="preserve">Party </w:t>
      </w:r>
      <w:r w:rsidRPr="00BE21F6">
        <w:t>ITMO registry in which the reported action has been tracked as per common nomenclatures.</w:t>
      </w:r>
    </w:p>
    <w:p w14:paraId="5BF057B0" w14:textId="77777777" w:rsidR="003670E8" w:rsidRDefault="003670E8" w:rsidP="003670E8">
      <w:pPr>
        <w:pStyle w:val="EndnoteText"/>
        <w:tabs>
          <w:tab w:val="clear" w:pos="1021"/>
        </w:tabs>
        <w:spacing w:line="200" w:lineRule="exact"/>
        <w:ind w:left="993" w:firstLine="142"/>
        <w:rPr>
          <w:i/>
        </w:rPr>
      </w:pPr>
      <w:r w:rsidRPr="00083E57">
        <w:rPr>
          <w:vertAlign w:val="superscript"/>
        </w:rPr>
        <w:t>c</w:t>
      </w:r>
      <w:r w:rsidRPr="006E7E45">
        <w:rPr>
          <w:vertAlign w:val="superscript"/>
        </w:rPr>
        <w:t xml:space="preserve">  </w:t>
      </w:r>
      <w:r w:rsidRPr="00BE21F6">
        <w:t>Unique identifier as assigned by the relevant Party.</w:t>
      </w:r>
    </w:p>
    <w:p w14:paraId="2E60E9D5" w14:textId="77777777" w:rsidR="003670E8" w:rsidRDefault="003670E8" w:rsidP="003670E8">
      <w:pPr>
        <w:pStyle w:val="EndnoteText"/>
        <w:tabs>
          <w:tab w:val="clear" w:pos="1021"/>
        </w:tabs>
        <w:spacing w:line="200" w:lineRule="exact"/>
        <w:ind w:left="993" w:firstLine="142"/>
        <w:rPr>
          <w:i/>
        </w:rPr>
      </w:pPr>
      <w:r w:rsidRPr="00083E57">
        <w:rPr>
          <w:vertAlign w:val="superscript"/>
        </w:rPr>
        <w:t>d</w:t>
      </w:r>
      <w:r w:rsidRPr="006E7E45">
        <w:rPr>
          <w:vertAlign w:val="superscript"/>
        </w:rPr>
        <w:t xml:space="preserve">  </w:t>
      </w:r>
      <w:r w:rsidRPr="00265302">
        <w:t>Unique identifier of the ITMO as per decision 6/CMA.4, annex I, para. 5.</w:t>
      </w:r>
    </w:p>
    <w:p w14:paraId="56F763A0" w14:textId="77777777" w:rsidR="003670E8" w:rsidRDefault="003670E8" w:rsidP="003670E8">
      <w:pPr>
        <w:pStyle w:val="EndnoteText"/>
        <w:tabs>
          <w:tab w:val="clear" w:pos="1021"/>
        </w:tabs>
        <w:spacing w:line="200" w:lineRule="exact"/>
        <w:ind w:left="993" w:firstLine="142"/>
        <w:rPr>
          <w:i/>
        </w:rPr>
      </w:pPr>
      <w:r w:rsidRPr="00083E57">
        <w:rPr>
          <w:vertAlign w:val="superscript"/>
        </w:rPr>
        <w:t>e</w:t>
      </w:r>
      <w:r w:rsidRPr="006E7E45">
        <w:rPr>
          <w:vertAlign w:val="superscript"/>
        </w:rPr>
        <w:t xml:space="preserve">  </w:t>
      </w:r>
      <w:r w:rsidRPr="00265302">
        <w:t>Unique identifier of the underlying unit from an underlying cooperative approach registry. This field should be reported as ‘Not applicable’ (NA) if the cooperative approach does not use an underlying cooperative approach registry.</w:t>
      </w:r>
    </w:p>
    <w:p w14:paraId="6BB5C365" w14:textId="77777777" w:rsidR="003670E8" w:rsidRDefault="003670E8" w:rsidP="003670E8">
      <w:pPr>
        <w:pStyle w:val="EndnoteText"/>
        <w:tabs>
          <w:tab w:val="clear" w:pos="1021"/>
        </w:tabs>
        <w:spacing w:line="200" w:lineRule="exact"/>
        <w:ind w:left="993" w:firstLine="142"/>
        <w:rPr>
          <w:i/>
        </w:rPr>
      </w:pPr>
      <w:r w:rsidRPr="00083E57">
        <w:rPr>
          <w:vertAlign w:val="superscript"/>
        </w:rPr>
        <w:t>f</w:t>
      </w:r>
      <w:r w:rsidRPr="006E7E45">
        <w:rPr>
          <w:vertAlign w:val="superscript"/>
        </w:rPr>
        <w:t xml:space="preserve">  </w:t>
      </w:r>
      <w:r w:rsidRPr="00265302">
        <w:t>Unique identifier of the underlying cooperative approach registry as per common nomenclatures. This field should be reported as ‘Not applicable’ (NA) if the cooperative approach does not use an underlying cooperative approach registry.</w:t>
      </w:r>
    </w:p>
    <w:p w14:paraId="3715E477" w14:textId="77777777" w:rsidR="003670E8" w:rsidRDefault="003670E8" w:rsidP="003670E8">
      <w:pPr>
        <w:pStyle w:val="EndnoteText"/>
        <w:tabs>
          <w:tab w:val="clear" w:pos="1021"/>
        </w:tabs>
        <w:spacing w:line="200" w:lineRule="exact"/>
        <w:ind w:left="993" w:firstLine="142"/>
        <w:rPr>
          <w:i/>
        </w:rPr>
      </w:pPr>
      <w:r w:rsidRPr="003867CD">
        <w:t>[</w:t>
      </w:r>
      <w:r w:rsidRPr="00083E57">
        <w:rPr>
          <w:vertAlign w:val="superscript"/>
        </w:rPr>
        <w:t>g</w:t>
      </w:r>
      <w:r w:rsidRPr="006E7E45">
        <w:rPr>
          <w:vertAlign w:val="superscript"/>
        </w:rPr>
        <w:t xml:space="preserve">  </w:t>
      </w:r>
      <w:r w:rsidRPr="00265302">
        <w:t>Type of Global warming potential (GWP) values applied (e.g., ‘100-year values from 5th assessment report by the IPCC’).</w:t>
      </w:r>
      <w:r>
        <w:t>]</w:t>
      </w:r>
    </w:p>
    <w:p w14:paraId="5DEA7CED" w14:textId="77777777" w:rsidR="003670E8" w:rsidRDefault="003670E8" w:rsidP="003670E8">
      <w:pPr>
        <w:pStyle w:val="EndnoteText"/>
        <w:tabs>
          <w:tab w:val="clear" w:pos="1021"/>
        </w:tabs>
        <w:spacing w:line="200" w:lineRule="exact"/>
        <w:ind w:left="993" w:firstLine="142"/>
        <w:rPr>
          <w:i/>
        </w:rPr>
      </w:pPr>
      <w:r w:rsidRPr="00DC26FE">
        <w:t>[</w:t>
      </w:r>
      <w:r w:rsidRPr="00083E57">
        <w:rPr>
          <w:vertAlign w:val="superscript"/>
        </w:rPr>
        <w:t>h</w:t>
      </w:r>
      <w:r w:rsidRPr="006E7E45">
        <w:rPr>
          <w:vertAlign w:val="superscript"/>
        </w:rPr>
        <w:t xml:space="preserve">  </w:t>
      </w:r>
      <w:r w:rsidRPr="00626C7D">
        <w:t>Type of non-GHG metric applied (e.g., ‘kilowatt hours of renewable electricity generation’). This field should be reported as ‘Not applicable’ (NA) if the ITMOs are in a GHG metric.</w:t>
      </w:r>
      <w:r>
        <w:t>]</w:t>
      </w:r>
    </w:p>
    <w:p w14:paraId="07C765D2" w14:textId="77777777" w:rsidR="003670E8" w:rsidRDefault="003670E8" w:rsidP="003670E8">
      <w:pPr>
        <w:pStyle w:val="EndnoteText"/>
        <w:tabs>
          <w:tab w:val="clear" w:pos="1021"/>
        </w:tabs>
        <w:spacing w:line="200" w:lineRule="exact"/>
        <w:ind w:left="993" w:firstLine="142"/>
        <w:rPr>
          <w:i/>
        </w:rPr>
      </w:pPr>
      <w:r w:rsidRPr="003867CD">
        <w:t>[</w:t>
      </w:r>
      <w:r w:rsidRPr="00083E57">
        <w:rPr>
          <w:vertAlign w:val="superscript"/>
        </w:rPr>
        <w:t>i</w:t>
      </w:r>
      <w:r w:rsidRPr="006E7E45">
        <w:rPr>
          <w:vertAlign w:val="superscript"/>
        </w:rPr>
        <w:t xml:space="preserve">  </w:t>
      </w:r>
      <w:r w:rsidRPr="00626C7D">
        <w:t xml:space="preserve">Quantity of ITMOs that are subject to the </w:t>
      </w:r>
      <w:r>
        <w:t>[</w:t>
      </w:r>
      <w:r w:rsidRPr="00626C7D">
        <w:t>transaction</w:t>
      </w:r>
      <w:r>
        <w:t>[action]</w:t>
      </w:r>
      <w:r w:rsidRPr="00626C7D">
        <w:t xml:space="preserve"> expressed in tons of CO</w:t>
      </w:r>
      <w:r w:rsidRPr="00626C7D">
        <w:rPr>
          <w:vertAlign w:val="subscript"/>
        </w:rPr>
        <w:t>2</w:t>
      </w:r>
      <w:r w:rsidRPr="00626C7D">
        <w:t xml:space="preserve"> equivalent.</w:t>
      </w:r>
      <w:r>
        <w:t>]</w:t>
      </w:r>
    </w:p>
    <w:p w14:paraId="0799D4FA" w14:textId="77777777" w:rsidR="003670E8" w:rsidRDefault="003670E8" w:rsidP="003670E8">
      <w:pPr>
        <w:pStyle w:val="EndnoteText"/>
        <w:tabs>
          <w:tab w:val="clear" w:pos="1021"/>
        </w:tabs>
        <w:spacing w:line="200" w:lineRule="exact"/>
        <w:ind w:left="993" w:firstLine="142"/>
        <w:rPr>
          <w:i/>
        </w:rPr>
      </w:pPr>
      <w:r w:rsidRPr="00083E57">
        <w:rPr>
          <w:vertAlign w:val="superscript"/>
        </w:rPr>
        <w:t>j</w:t>
      </w:r>
      <w:r w:rsidRPr="006E7E45">
        <w:rPr>
          <w:vertAlign w:val="superscript"/>
        </w:rPr>
        <w:t xml:space="preserve">  </w:t>
      </w:r>
      <w:r w:rsidRPr="00601587">
        <w:t xml:space="preserve">Quantity of ITMOs in the respective non-GHG metric that are subject to the </w:t>
      </w:r>
      <w:r>
        <w:t>[</w:t>
      </w:r>
      <w:r w:rsidRPr="00601587">
        <w:t>transaction</w:t>
      </w:r>
      <w:r>
        <w:t>][action]</w:t>
      </w:r>
      <w:r w:rsidRPr="00601587">
        <w:t>. This field should be reported as ‘Not applicable’ (NA) if the ITMOs are in a GHG metric.</w:t>
      </w:r>
    </w:p>
    <w:p w14:paraId="338C2A53" w14:textId="77777777" w:rsidR="003670E8" w:rsidRDefault="003670E8" w:rsidP="003670E8">
      <w:pPr>
        <w:pStyle w:val="EndnoteText"/>
        <w:tabs>
          <w:tab w:val="clear" w:pos="1021"/>
        </w:tabs>
        <w:spacing w:line="200" w:lineRule="exact"/>
        <w:ind w:left="993" w:firstLine="142"/>
        <w:rPr>
          <w:i/>
        </w:rPr>
      </w:pPr>
      <w:r w:rsidRPr="007F0BF3">
        <w:rPr>
          <w:vertAlign w:val="superscript"/>
        </w:rPr>
        <w:t>k</w:t>
      </w:r>
      <w:r w:rsidRPr="006E7E45">
        <w:rPr>
          <w:vertAlign w:val="superscript"/>
        </w:rPr>
        <w:t xml:space="preserve">  </w:t>
      </w:r>
      <w:r w:rsidRPr="00601587">
        <w:t>Unique identifier of the participating Party in which the mitigation outcome was generated as per common nomenclatures.</w:t>
      </w:r>
    </w:p>
    <w:p w14:paraId="23409223" w14:textId="77777777" w:rsidR="003670E8" w:rsidRDefault="003670E8" w:rsidP="003670E8">
      <w:pPr>
        <w:pStyle w:val="EndnoteText"/>
        <w:tabs>
          <w:tab w:val="clear" w:pos="1021"/>
        </w:tabs>
        <w:spacing w:line="200" w:lineRule="exact"/>
        <w:ind w:left="993" w:firstLine="142"/>
      </w:pPr>
      <w:r w:rsidRPr="008B50E9">
        <w:t>[</w:t>
      </w:r>
      <w:r w:rsidRPr="007F0BF3">
        <w:rPr>
          <w:vertAlign w:val="superscript"/>
        </w:rPr>
        <w:t>l</w:t>
      </w:r>
      <w:r w:rsidRPr="006E7E45">
        <w:rPr>
          <w:vertAlign w:val="superscript"/>
        </w:rPr>
        <w:t xml:space="preserve">  </w:t>
      </w:r>
      <w:r w:rsidRPr="00601587">
        <w:t>This field is a specification whether or not the mitigation outcomes are subject to a reversal risk.</w:t>
      </w:r>
      <w:r>
        <w:t>]</w:t>
      </w:r>
    </w:p>
    <w:p w14:paraId="7F331656" w14:textId="77777777" w:rsidR="003670E8" w:rsidRPr="00F47A89" w:rsidRDefault="003670E8" w:rsidP="003670E8">
      <w:pPr>
        <w:pStyle w:val="EndnoteText"/>
        <w:tabs>
          <w:tab w:val="clear" w:pos="1021"/>
        </w:tabs>
        <w:spacing w:line="200" w:lineRule="exact"/>
        <w:ind w:left="993" w:firstLine="142"/>
        <w:rPr>
          <w:i/>
        </w:rPr>
      </w:pPr>
      <w:r w:rsidRPr="00F47A89">
        <w:t>[</w:t>
      </w:r>
      <w:r w:rsidRPr="00F47A89">
        <w:rPr>
          <w:vertAlign w:val="superscript"/>
        </w:rPr>
        <w:t>m</w:t>
      </w:r>
      <w:r>
        <w:rPr>
          <w:vertAlign w:val="superscript"/>
        </w:rPr>
        <w:t xml:space="preserve"> </w:t>
      </w:r>
      <w:r w:rsidRPr="00F47A89">
        <w:rPr>
          <w:vertAlign w:val="superscript"/>
        </w:rPr>
        <w:t xml:space="preserve"> </w:t>
      </w:r>
      <w:r w:rsidRPr="005F5229">
        <w:t>Reversal risk category as per common nomenclatures, if applicable.</w:t>
      </w:r>
      <w:r w:rsidRPr="00F47A89">
        <w:rPr>
          <w:vertAlign w:val="superscript"/>
        </w:rPr>
        <w:t xml:space="preserve"> </w:t>
      </w:r>
      <w:r>
        <w:t>]</w:t>
      </w:r>
    </w:p>
    <w:p w14:paraId="65ECE856" w14:textId="77777777" w:rsidR="003670E8" w:rsidRDefault="003670E8" w:rsidP="003670E8">
      <w:pPr>
        <w:pStyle w:val="EndnoteText"/>
        <w:tabs>
          <w:tab w:val="clear" w:pos="1021"/>
        </w:tabs>
        <w:spacing w:line="200" w:lineRule="exact"/>
        <w:ind w:left="993" w:firstLine="142"/>
        <w:rPr>
          <w:i/>
        </w:rPr>
      </w:pPr>
      <w:r>
        <w:rPr>
          <w:vertAlign w:val="superscript"/>
        </w:rPr>
        <w:t>n</w:t>
      </w:r>
      <w:r w:rsidRPr="006E7E45">
        <w:rPr>
          <w:vertAlign w:val="superscript"/>
        </w:rPr>
        <w:t xml:space="preserve">  </w:t>
      </w:r>
      <w:r w:rsidRPr="00601587">
        <w:t>Calendar year in which the mitigation outcome occurred.</w:t>
      </w:r>
    </w:p>
    <w:p w14:paraId="4C9A1843" w14:textId="77777777" w:rsidR="003670E8" w:rsidRPr="006A5D46" w:rsidRDefault="003670E8" w:rsidP="003670E8">
      <w:pPr>
        <w:pStyle w:val="EndnoteText"/>
        <w:tabs>
          <w:tab w:val="clear" w:pos="1021"/>
        </w:tabs>
        <w:spacing w:line="200" w:lineRule="exact"/>
        <w:ind w:left="993" w:firstLine="142"/>
        <w:rPr>
          <w:i/>
        </w:rPr>
      </w:pPr>
      <w:r w:rsidRPr="008B50E9">
        <w:t>[</w:t>
      </w:r>
      <w:r>
        <w:rPr>
          <w:vertAlign w:val="superscript"/>
        </w:rPr>
        <w:t>o</w:t>
      </w:r>
      <w:r w:rsidRPr="006E7E45">
        <w:rPr>
          <w:vertAlign w:val="superscript"/>
        </w:rPr>
        <w:t xml:space="preserve">  </w:t>
      </w:r>
      <w:r w:rsidRPr="002D6031">
        <w:t>This field indicates whether the mitigation outcome was first transferred through a previous action.</w:t>
      </w:r>
      <w:r>
        <w:t>]</w:t>
      </w:r>
    </w:p>
  </w:endnote>
  <w:endnote w:id="9">
    <w:p w14:paraId="4EA1A731" w14:textId="77777777" w:rsidR="003670E8" w:rsidRDefault="003670E8" w:rsidP="003670E8">
      <w:pPr>
        <w:pStyle w:val="EndnoteText"/>
        <w:tabs>
          <w:tab w:val="clear" w:pos="1021"/>
        </w:tabs>
        <w:spacing w:line="200" w:lineRule="exact"/>
        <w:ind w:left="283" w:firstLine="142"/>
      </w:pPr>
      <w:r w:rsidRPr="00972E19">
        <w:rPr>
          <w:vertAlign w:val="superscript"/>
        </w:rPr>
        <w:t>a</w:t>
      </w:r>
      <w:r w:rsidRPr="00D21932">
        <w:t xml:space="preserve"> </w:t>
      </w:r>
      <w:r>
        <w:t xml:space="preserve"> Date on which the authorization was issued.</w:t>
      </w:r>
    </w:p>
    <w:p w14:paraId="2A97EF60" w14:textId="77777777" w:rsidR="003670E8" w:rsidRDefault="003670E8" w:rsidP="003670E8">
      <w:pPr>
        <w:pStyle w:val="EndnoteText"/>
        <w:tabs>
          <w:tab w:val="clear" w:pos="1021"/>
        </w:tabs>
        <w:spacing w:line="200" w:lineRule="exact"/>
        <w:ind w:left="283" w:firstLine="142"/>
      </w:pPr>
      <w:r w:rsidRPr="00C929EE">
        <w:rPr>
          <w:vertAlign w:val="superscript"/>
        </w:rPr>
        <w:t>b</w:t>
      </w:r>
      <w:r w:rsidRPr="006E7E45">
        <w:rPr>
          <w:vertAlign w:val="superscript"/>
        </w:rPr>
        <w:t xml:space="preserve">  </w:t>
      </w:r>
      <w:r w:rsidRPr="00C929EE">
        <w:t>Identification number in the country of incorporation.</w:t>
      </w:r>
    </w:p>
    <w:p w14:paraId="21C6F0EC" w14:textId="77777777" w:rsidR="003670E8" w:rsidRPr="006E7E45" w:rsidRDefault="003670E8" w:rsidP="003670E8">
      <w:pPr>
        <w:pStyle w:val="EndnoteText"/>
        <w:tabs>
          <w:tab w:val="clear" w:pos="1021"/>
        </w:tabs>
        <w:spacing w:line="200" w:lineRule="exact"/>
        <w:ind w:left="283" w:firstLine="142"/>
      </w:pPr>
      <w:r w:rsidRPr="006E7E45">
        <w:rPr>
          <w:vertAlign w:val="superscript"/>
        </w:rPr>
        <w:t xml:space="preserve">c  </w:t>
      </w:r>
      <w:r w:rsidRPr="006E7E45">
        <w:t>Unique identifier of the cooperative approach as per common nomenclatures.</w:t>
      </w:r>
    </w:p>
    <w:p w14:paraId="6815464E" w14:textId="77777777" w:rsidR="003670E8" w:rsidRPr="006A5D46" w:rsidRDefault="003670E8" w:rsidP="003670E8">
      <w:pPr>
        <w:pStyle w:val="EndnoteText"/>
        <w:tabs>
          <w:tab w:val="clear" w:pos="1021"/>
        </w:tabs>
        <w:spacing w:line="200" w:lineRule="exact"/>
        <w:ind w:left="283" w:firstLine="142"/>
      </w:pPr>
      <w:r w:rsidRPr="006E7E45">
        <w:rPr>
          <w:vertAlign w:val="superscript"/>
        </w:rPr>
        <w:t xml:space="preserve">d  </w:t>
      </w:r>
      <w:r w:rsidRPr="006E7E45">
        <w:t>Unique identifier of the entity registry in which the entity may have an ITMO account and may transact ITMOs as per common nomenclatures</w:t>
      </w:r>
      <w:r>
        <w:t>.</w:t>
      </w:r>
    </w:p>
    <w:p w14:paraId="1336FD7F" w14:textId="77777777" w:rsidR="003670E8" w:rsidRPr="002B1BBF" w:rsidRDefault="003670E8" w:rsidP="003670E8">
      <w:pPr>
        <w:pStyle w:val="EndnoteText"/>
        <w:tabs>
          <w:tab w:val="clear" w:pos="1021"/>
        </w:tabs>
        <w:spacing w:line="200" w:lineRule="exact"/>
        <w:ind w:left="283" w:firstLine="142"/>
        <w:rPr>
          <w:color w:val="000000" w:themeColor="text1"/>
          <w:vertAlign w:val="superscript"/>
        </w:rPr>
      </w:pPr>
      <w:r>
        <w:rPr>
          <w:color w:val="000000" w:themeColor="text1"/>
          <w:vertAlign w:val="superscript"/>
        </w:rPr>
        <w:t xml:space="preserve">e  </w:t>
      </w:r>
      <w:r w:rsidRPr="002B1BBF">
        <w:rPr>
          <w:color w:val="000000" w:themeColor="text1"/>
        </w:rPr>
        <w:t xml:space="preserve">This field is </w:t>
      </w:r>
      <w:r w:rsidRPr="002B1BBF">
        <w:rPr>
          <w:b/>
          <w:color w:val="000000" w:themeColor="text1"/>
        </w:rPr>
        <w:t>optional</w:t>
      </w:r>
      <w:r w:rsidRPr="002B1BBF">
        <w:rPr>
          <w:color w:val="000000" w:themeColor="text1"/>
        </w:rPr>
        <w:t>. The condition</w:t>
      </w:r>
      <w:r>
        <w:rPr>
          <w:color w:val="000000" w:themeColor="text1"/>
        </w:rPr>
        <w:t>s</w:t>
      </w:r>
      <w:r w:rsidRPr="002B1BBF">
        <w:rPr>
          <w:color w:val="000000" w:themeColor="text1"/>
        </w:rPr>
        <w:t xml:space="preserve"> under which the authorization was provided, as applicable.</w:t>
      </w:r>
    </w:p>
    <w:p w14:paraId="3FA7BED6" w14:textId="77777777" w:rsidR="003670E8" w:rsidRPr="006A5D46" w:rsidRDefault="003670E8" w:rsidP="003670E8">
      <w:pPr>
        <w:pStyle w:val="EndnoteText"/>
        <w:tabs>
          <w:tab w:val="clear" w:pos="1021"/>
        </w:tabs>
        <w:spacing w:line="200" w:lineRule="exact"/>
        <w:ind w:left="283" w:firstLine="142"/>
      </w:pPr>
      <w:r>
        <w:rPr>
          <w:color w:val="000000" w:themeColor="text1"/>
          <w:vertAlign w:val="superscript"/>
        </w:rPr>
        <w:t>f</w:t>
      </w:r>
      <w:r w:rsidRPr="006E7E45">
        <w:rPr>
          <w:color w:val="000000" w:themeColor="text1"/>
          <w:vertAlign w:val="superscript"/>
        </w:rPr>
        <w:t xml:space="preserve">  </w:t>
      </w:r>
      <w:r w:rsidRPr="002B1BBF">
        <w:rPr>
          <w:color w:val="000000" w:themeColor="text1"/>
        </w:rPr>
        <w:t xml:space="preserve">This field is </w:t>
      </w:r>
      <w:r w:rsidRPr="002B1BBF">
        <w:rPr>
          <w:b/>
          <w:color w:val="000000" w:themeColor="text1"/>
        </w:rPr>
        <w:t>optional</w:t>
      </w:r>
      <w:r w:rsidRPr="002B1BBF">
        <w:rPr>
          <w:color w:val="000000" w:themeColor="text1"/>
        </w:rPr>
        <w:t>. Whether the authorization could be changed or revoked and under which conditions.</w:t>
      </w:r>
    </w:p>
  </w:endnote>
  <w:endnote w:id="10">
    <w:p w14:paraId="2150FF72" w14:textId="77777777" w:rsidR="003670E8" w:rsidRPr="006A5D46" w:rsidRDefault="003670E8" w:rsidP="003670E8">
      <w:r>
        <w:t>]</w:t>
      </w:r>
    </w:p>
  </w:endnote>
  <w:endnote w:id="11">
    <w:p w14:paraId="3B647AE0" w14:textId="77777777" w:rsidR="003670E8" w:rsidRPr="006A5D46" w:rsidRDefault="003670E8" w:rsidP="003670E8">
      <w:pPr>
        <w:pStyle w:val="EndnoteText"/>
        <w:tabs>
          <w:tab w:val="clear" w:pos="1021"/>
        </w:tabs>
        <w:spacing w:line="200" w:lineRule="exact"/>
        <w:ind w:left="283" w:firstLine="142"/>
      </w:pPr>
    </w:p>
  </w:endnote>
  <w:endnote w:id="12">
    <w:p w14:paraId="18CAC1A3" w14:textId="77777777" w:rsidR="003670E8" w:rsidRDefault="003670E8" w:rsidP="003670E8">
      <w:pPr>
        <w:pStyle w:val="EndnoteText"/>
        <w:tabs>
          <w:tab w:val="clear" w:pos="1021"/>
        </w:tabs>
        <w:spacing w:line="200" w:lineRule="exact"/>
        <w:ind w:left="283" w:firstLine="142"/>
      </w:pPr>
      <w:r w:rsidRPr="008C6B97">
        <w:rPr>
          <w:rStyle w:val="EndnoteReference"/>
          <w:i/>
        </w:rPr>
        <w:endnoteRef/>
      </w:r>
      <w:r w:rsidRPr="008C6B97">
        <w:t xml:space="preserve"> </w:t>
      </w:r>
      <w:r>
        <w:t xml:space="preserve"> </w:t>
      </w:r>
      <w:r w:rsidRPr="00E7785C">
        <w:t>Unique identifier of the cooperative approach as per common nomenclatures.</w:t>
      </w:r>
    </w:p>
    <w:p w14:paraId="35735106" w14:textId="77777777" w:rsidR="003670E8" w:rsidRDefault="003670E8" w:rsidP="003670E8">
      <w:pPr>
        <w:pStyle w:val="EndnoteText"/>
        <w:tabs>
          <w:tab w:val="clear" w:pos="1021"/>
        </w:tabs>
        <w:spacing w:line="200" w:lineRule="exact"/>
        <w:ind w:left="283" w:firstLine="142"/>
      </w:pPr>
      <w:r w:rsidRPr="005B5A18">
        <w:rPr>
          <w:vertAlign w:val="superscript"/>
        </w:rPr>
        <w:t xml:space="preserve">b  </w:t>
      </w:r>
      <w:r w:rsidRPr="00E046CF">
        <w:t xml:space="preserve">Total amount of ITMOs sent to the Adaptation Fund for the share of proceeds under the cooperative approach during the </w:t>
      </w:r>
      <w:r>
        <w:t>reported</w:t>
      </w:r>
      <w:r w:rsidRPr="00E046CF">
        <w:t xml:space="preserve"> year. </w:t>
      </w:r>
    </w:p>
    <w:p w14:paraId="23F81F9C" w14:textId="77777777" w:rsidR="003670E8" w:rsidRPr="008C6B97" w:rsidRDefault="003670E8" w:rsidP="003670E8">
      <w:pPr>
        <w:pStyle w:val="EndnoteText"/>
        <w:tabs>
          <w:tab w:val="clear" w:pos="1021"/>
        </w:tabs>
        <w:spacing w:line="200" w:lineRule="exact"/>
        <w:ind w:left="283" w:firstLine="142"/>
        <w:rPr>
          <w:lang w:val="en-US"/>
        </w:rPr>
      </w:pPr>
      <w:r w:rsidRPr="00E7785C">
        <w:rPr>
          <w:vertAlign w:val="superscript"/>
        </w:rPr>
        <w:t xml:space="preserve">c </w:t>
      </w:r>
      <w:r w:rsidRPr="006F71B1">
        <w:t xml:space="preserve"> Total amount of ITMOs cancelled towards OMGE </w:t>
      </w:r>
      <w:r>
        <w:t>under</w:t>
      </w:r>
      <w:r w:rsidRPr="006F71B1">
        <w:t xml:space="preserve"> the cooperative approach during the reported year.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D97F" w14:textId="77777777" w:rsidR="003670E8" w:rsidRDefault="003670E8">
    <w:pPr>
      <w:pStyle w:val="Footer"/>
      <w:tabs>
        <w:tab w:val="right" w:pos="9638"/>
      </w:tabs>
    </w:pPr>
    <w:r w:rsidRPr="004F2F8E">
      <w:rPr>
        <w:b/>
        <w:sz w:val="18"/>
      </w:rPr>
      <w:fldChar w:fldCharType="begin"/>
    </w:r>
    <w:r w:rsidRPr="004F2F8E">
      <w:rPr>
        <w:b/>
        <w:sz w:val="18"/>
      </w:rPr>
      <w:instrText xml:space="preserve"> PAGE  \* MERGEFORMAT </w:instrText>
    </w:r>
    <w:r w:rsidRPr="004F2F8E">
      <w:rPr>
        <w:b/>
        <w:sz w:val="18"/>
      </w:rPr>
      <w:fldChar w:fldCharType="separate"/>
    </w:r>
    <w:r w:rsidRPr="004F2F8E">
      <w:rPr>
        <w:b/>
        <w:noProof/>
        <w:sz w:val="18"/>
      </w:rPr>
      <w:t>3</w:t>
    </w:r>
    <w:r w:rsidRPr="004F2F8E">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2313" w14:textId="77777777" w:rsidR="003670E8" w:rsidRDefault="003670E8">
    <w:pPr>
      <w:pStyle w:val="Footer"/>
      <w:tabs>
        <w:tab w:val="right" w:pos="9638"/>
      </w:tabs>
      <w:jc w:val="right"/>
    </w:pPr>
    <w:r>
      <w:tab/>
    </w:r>
    <w:r w:rsidRPr="004700A9">
      <w:rPr>
        <w:b/>
        <w:sz w:val="18"/>
      </w:rPr>
      <w:fldChar w:fldCharType="begin"/>
    </w:r>
    <w:r w:rsidRPr="004700A9">
      <w:rPr>
        <w:b/>
        <w:sz w:val="18"/>
      </w:rPr>
      <w:instrText xml:space="preserve"> PAGE  \* MERGEFORMAT </w:instrText>
    </w:r>
    <w:r w:rsidRPr="004700A9">
      <w:rPr>
        <w:b/>
        <w:sz w:val="18"/>
      </w:rPr>
      <w:fldChar w:fldCharType="separate"/>
    </w:r>
    <w:r w:rsidRPr="004700A9">
      <w:rPr>
        <w:b/>
        <w:noProof/>
        <w:sz w:val="18"/>
      </w:rPr>
      <w:t>3</w:t>
    </w:r>
    <w:r w:rsidRPr="004700A9">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4A7" w14:textId="77777777" w:rsidR="003670E8" w:rsidRDefault="003670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A1F8" w14:textId="77777777" w:rsidR="003670E8" w:rsidRPr="00464BE9" w:rsidRDefault="003670E8">
    <w:pPr>
      <w:pStyle w:val="Footer"/>
      <w:tabs>
        <w:tab w:val="right" w:pos="9638"/>
      </w:tabs>
      <w:jc w:val="right"/>
      <w:rPr>
        <w:b/>
        <w:sz w:val="18"/>
      </w:rPr>
    </w:pPr>
    <w:r w:rsidRPr="00464BE9">
      <w:rPr>
        <w:b/>
        <w:sz w:val="18"/>
      </w:rPr>
      <w:fldChar w:fldCharType="begin"/>
    </w:r>
    <w:r w:rsidRPr="00464BE9">
      <w:rPr>
        <w:b/>
        <w:sz w:val="18"/>
      </w:rPr>
      <w:instrText xml:space="preserve"> PAGE  \* MERGEFORMAT </w:instrText>
    </w:r>
    <w:r w:rsidRPr="00464BE9">
      <w:rPr>
        <w:b/>
        <w:sz w:val="18"/>
      </w:rPr>
      <w:fldChar w:fldCharType="separate"/>
    </w:r>
    <w:r>
      <w:rPr>
        <w:b/>
        <w:sz w:val="18"/>
      </w:rPr>
      <w:t>9</w:t>
    </w:r>
    <w:r w:rsidRPr="00464BE9">
      <w:rPr>
        <w:b/>
        <w:sz w:val="18"/>
      </w:rPr>
      <w:fldChar w:fldCharType="end"/>
    </w:r>
  </w:p>
  <w:p w14:paraId="5BEA53E6" w14:textId="77777777" w:rsidR="003670E8" w:rsidRDefault="003670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B2D5" w14:textId="77777777" w:rsidR="003670E8" w:rsidRPr="00464BE9" w:rsidRDefault="003670E8">
    <w:pPr>
      <w:pStyle w:val="Footer"/>
      <w:tabs>
        <w:tab w:val="right" w:pos="9638"/>
      </w:tabs>
      <w:jc w:val="right"/>
      <w:rPr>
        <w:b/>
        <w:sz w:val="18"/>
      </w:rPr>
    </w:pPr>
    <w:r w:rsidRPr="00464BE9">
      <w:rPr>
        <w:b/>
        <w:sz w:val="18"/>
      </w:rPr>
      <w:fldChar w:fldCharType="begin"/>
    </w:r>
    <w:r w:rsidRPr="00464BE9">
      <w:rPr>
        <w:b/>
        <w:sz w:val="18"/>
      </w:rPr>
      <w:instrText xml:space="preserve"> PAGE  \* MERGEFORMAT </w:instrText>
    </w:r>
    <w:r w:rsidRPr="00464BE9">
      <w:rPr>
        <w:b/>
        <w:sz w:val="18"/>
      </w:rPr>
      <w:fldChar w:fldCharType="separate"/>
    </w:r>
    <w:r>
      <w:rPr>
        <w:b/>
        <w:sz w:val="18"/>
      </w:rPr>
      <w:t>9</w:t>
    </w:r>
    <w:r w:rsidRPr="00464BE9">
      <w:rPr>
        <w:b/>
        <w:sz w:val="18"/>
      </w:rPr>
      <w:fldChar w:fldCharType="end"/>
    </w:r>
  </w:p>
  <w:p w14:paraId="48AC6B19" w14:textId="77777777" w:rsidR="003670E8" w:rsidRDefault="003670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3F36" w14:textId="77777777" w:rsidR="004F2F8E" w:rsidRPr="004F2F8E" w:rsidRDefault="00A42858" w:rsidP="004F2F8E">
    <w:pPr>
      <w:pStyle w:val="Footer"/>
      <w:tabs>
        <w:tab w:val="right" w:pos="9638"/>
      </w:tabs>
    </w:pPr>
    <w:r w:rsidRPr="004F2F8E">
      <w:rPr>
        <w:b/>
        <w:sz w:val="18"/>
      </w:rPr>
      <w:fldChar w:fldCharType="begin"/>
    </w:r>
    <w:r w:rsidRPr="004F2F8E">
      <w:rPr>
        <w:b/>
        <w:sz w:val="18"/>
      </w:rPr>
      <w:instrText xml:space="preserve"> PAGE  \* MERGEFORMAT </w:instrText>
    </w:r>
    <w:r w:rsidRPr="004F2F8E">
      <w:rPr>
        <w:b/>
        <w:sz w:val="18"/>
      </w:rPr>
      <w:fldChar w:fldCharType="separate"/>
    </w:r>
    <w:r w:rsidRPr="004F2F8E">
      <w:rPr>
        <w:b/>
        <w:noProof/>
        <w:sz w:val="18"/>
      </w:rPr>
      <w:t>3</w:t>
    </w:r>
    <w:r w:rsidRPr="004F2F8E">
      <w:rPr>
        <w:b/>
        <w:sz w:val="18"/>
      </w:rPr>
      <w:fldChar w:fldCharType="end"/>
    </w:r>
    <w:r>
      <w:rPr>
        <w:sz w:val="18"/>
      </w:rPr>
      <w:tab/>
    </w:r>
  </w:p>
  <w:p w14:paraId="7FADD204" w14:textId="77777777" w:rsidR="002C333C" w:rsidRDefault="002C333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BC3A" w14:textId="77777777" w:rsidR="004700A9" w:rsidRPr="004700A9" w:rsidRDefault="004700A9" w:rsidP="004700A9">
    <w:pPr>
      <w:pStyle w:val="Footer"/>
      <w:tabs>
        <w:tab w:val="right" w:pos="9638"/>
      </w:tabs>
      <w:rPr>
        <w:b/>
        <w:sz w:val="18"/>
      </w:rPr>
    </w:pPr>
    <w:r>
      <w:tab/>
    </w:r>
    <w:r w:rsidRPr="004700A9">
      <w:rPr>
        <w:b/>
        <w:sz w:val="18"/>
      </w:rPr>
      <w:fldChar w:fldCharType="begin"/>
    </w:r>
    <w:r w:rsidRPr="004700A9">
      <w:rPr>
        <w:b/>
        <w:sz w:val="18"/>
      </w:rPr>
      <w:instrText xml:space="preserve"> PAGE  \* MERGEFORMAT </w:instrText>
    </w:r>
    <w:r w:rsidRPr="004700A9">
      <w:rPr>
        <w:b/>
        <w:sz w:val="18"/>
      </w:rPr>
      <w:fldChar w:fldCharType="separate"/>
    </w:r>
    <w:r w:rsidRPr="004700A9">
      <w:rPr>
        <w:b/>
        <w:noProof/>
        <w:sz w:val="18"/>
      </w:rPr>
      <w:t>3</w:t>
    </w:r>
    <w:r w:rsidRPr="004700A9">
      <w:rPr>
        <w:b/>
        <w:sz w:val="18"/>
      </w:rPr>
      <w:fldChar w:fldCharType="end"/>
    </w:r>
  </w:p>
  <w:p w14:paraId="46EFD03E" w14:textId="77777777" w:rsidR="002C333C" w:rsidRDefault="002C33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A638" w14:textId="77777777" w:rsidR="00996CAC" w:rsidRDefault="00996CAC">
      <w:r>
        <w:separator/>
      </w:r>
    </w:p>
    <w:p w14:paraId="69EC8F07" w14:textId="77777777" w:rsidR="00996CAC" w:rsidRDefault="00996CAC"/>
  </w:footnote>
  <w:footnote w:type="continuationSeparator" w:id="0">
    <w:p w14:paraId="049208A0" w14:textId="77777777" w:rsidR="00996CAC" w:rsidRDefault="00996CAC">
      <w:r>
        <w:continuationSeparator/>
      </w:r>
    </w:p>
    <w:p w14:paraId="71619838" w14:textId="77777777" w:rsidR="00996CAC" w:rsidRDefault="00996CAC"/>
    <w:p w14:paraId="4819A217" w14:textId="77777777" w:rsidR="00996CAC" w:rsidRDefault="00996CAC"/>
  </w:footnote>
  <w:footnote w:type="continuationNotice" w:id="1">
    <w:p w14:paraId="43554E93" w14:textId="77777777" w:rsidR="00996CAC" w:rsidRDefault="00996CAC">
      <w:pPr>
        <w:spacing w:line="240" w:lineRule="auto"/>
      </w:pPr>
    </w:p>
  </w:footnote>
  <w:footnote w:id="2">
    <w:p w14:paraId="0B72BC01" w14:textId="77777777" w:rsidR="003670E8" w:rsidRPr="000A405F" w:rsidRDefault="003670E8" w:rsidP="003670E8">
      <w:pPr>
        <w:pStyle w:val="FootnoteText"/>
        <w:widowControl w:val="0"/>
        <w:tabs>
          <w:tab w:val="clear" w:pos="1021"/>
          <w:tab w:val="right" w:pos="1020"/>
        </w:tabs>
        <w:rPr>
          <w:lang w:val="es-ES"/>
        </w:rPr>
      </w:pPr>
      <w:r>
        <w:tab/>
      </w:r>
      <w:r>
        <w:rPr>
          <w:rStyle w:val="FootnoteReference"/>
        </w:rPr>
        <w:footnoteRef/>
      </w:r>
      <w:r w:rsidRPr="000A405F">
        <w:rPr>
          <w:lang w:val="es-ES"/>
        </w:rPr>
        <w:tab/>
      </w:r>
      <w:r w:rsidRPr="000A405F">
        <w:rPr>
          <w:rStyle w:val="normaltextrun"/>
          <w:color w:val="000000"/>
          <w:szCs w:val="18"/>
          <w:shd w:val="clear" w:color="auto" w:fill="FFFFFF"/>
          <w:lang w:val="es-ES"/>
        </w:rPr>
        <w:t>Decision 2/CMA.3, paras. 14–15.</w:t>
      </w:r>
      <w:r w:rsidRPr="000A405F">
        <w:rPr>
          <w:lang w:val="es-ES"/>
        </w:rPr>
        <w:t xml:space="preserve"> </w:t>
      </w:r>
    </w:p>
  </w:footnote>
  <w:footnote w:id="3">
    <w:p w14:paraId="4BA32DC8" w14:textId="77777777" w:rsidR="003670E8" w:rsidRPr="006A5D46" w:rsidRDefault="003670E8" w:rsidP="003670E8">
      <w:pPr>
        <w:pStyle w:val="FootnoteText"/>
        <w:widowControl w:val="0"/>
        <w:tabs>
          <w:tab w:val="clear" w:pos="1021"/>
          <w:tab w:val="right" w:pos="1020"/>
        </w:tabs>
      </w:pPr>
      <w:r w:rsidRPr="000A405F">
        <w:rPr>
          <w:lang w:val="es-ES"/>
        </w:rPr>
        <w:tab/>
      </w:r>
      <w:r>
        <w:rPr>
          <w:rStyle w:val="FootnoteReference"/>
        </w:rPr>
        <w:footnoteRef/>
      </w:r>
      <w:r w:rsidRPr="000A405F">
        <w:rPr>
          <w:lang w:val="es-ES"/>
        </w:rPr>
        <w:tab/>
      </w:r>
      <w:r w:rsidRPr="00EB29DD">
        <w:rPr>
          <w:lang w:val="es-ES"/>
        </w:rPr>
        <w:t xml:space="preserve">Decision 6/CMA.4, annex I, para. </w:t>
      </w:r>
      <w:r w:rsidRPr="006A5D46">
        <w:t>39.</w:t>
      </w:r>
    </w:p>
  </w:footnote>
  <w:footnote w:id="4">
    <w:p w14:paraId="4E202D11" w14:textId="77777777" w:rsidR="003670E8" w:rsidRPr="00D20578" w:rsidRDefault="003670E8" w:rsidP="003670E8">
      <w:pPr>
        <w:pStyle w:val="FootnoteText"/>
        <w:widowControl w:val="0"/>
      </w:pPr>
      <w:r w:rsidRPr="00D20578">
        <w:tab/>
      </w:r>
      <w:r w:rsidRPr="00D20578">
        <w:rPr>
          <w:rStyle w:val="FootnoteReference"/>
        </w:rPr>
        <w:footnoteRef/>
      </w:r>
      <w:r w:rsidRPr="00D20578">
        <w:tab/>
        <w:t xml:space="preserve"> See decision 6/CMA.4, annex II, paras. 2(a) and 3.</w:t>
      </w:r>
    </w:p>
  </w:footnote>
  <w:footnote w:id="5">
    <w:p w14:paraId="436DD618" w14:textId="77777777" w:rsidR="003670E8" w:rsidRPr="00DC26FE" w:rsidRDefault="003670E8" w:rsidP="003670E8">
      <w:pPr>
        <w:pStyle w:val="FootnoteText"/>
        <w:widowControl w:val="0"/>
        <w:rPr>
          <w:lang w:val="en-US"/>
        </w:rPr>
      </w:pPr>
      <w:r w:rsidRPr="00D20578">
        <w:tab/>
      </w:r>
      <w:r w:rsidRPr="00D20578">
        <w:rPr>
          <w:rStyle w:val="FootnoteReference"/>
        </w:rPr>
        <w:footnoteRef/>
      </w:r>
      <w:r w:rsidRPr="00D20578">
        <w:tab/>
        <w:t xml:space="preserve"> See decision 6/CMA.4, annex II, paras. 2(b) and 3.</w:t>
      </w:r>
    </w:p>
  </w:footnote>
  <w:footnote w:id="6">
    <w:p w14:paraId="67BB264A" w14:textId="77777777" w:rsidR="003670E8" w:rsidRPr="00C45DDE" w:rsidRDefault="003670E8" w:rsidP="003670E8">
      <w:pPr>
        <w:pStyle w:val="FootnoteText"/>
        <w:rPr>
          <w:rFonts w:eastAsia="MS Mincho"/>
          <w:lang w:eastAsia="ja-JP"/>
        </w:rPr>
      </w:pPr>
      <w:r>
        <w:rPr>
          <w:rStyle w:val="FootnoteReference"/>
        </w:rPr>
        <w:footnoteRef/>
      </w:r>
      <w:r>
        <w:t xml:space="preserve"> See decision 6/CMA.4, annex II, paras. 2(a) and 3.</w:t>
      </w:r>
    </w:p>
  </w:footnote>
  <w:footnote w:id="7">
    <w:p w14:paraId="11B8E158" w14:textId="77777777" w:rsidR="003670E8" w:rsidRPr="00C45DDE" w:rsidRDefault="003670E8" w:rsidP="003670E8">
      <w:pPr>
        <w:pStyle w:val="FootnoteText"/>
        <w:rPr>
          <w:rFonts w:eastAsia="MS Mincho"/>
          <w:lang w:eastAsia="ja-JP"/>
        </w:rPr>
      </w:pPr>
      <w:r>
        <w:rPr>
          <w:rStyle w:val="FootnoteReference"/>
        </w:rPr>
        <w:footnoteRef/>
      </w:r>
      <w:r>
        <w:t xml:space="preserve"> See decision 6/CMA.4, annex II, paras. 2(b) and 3.</w:t>
      </w:r>
    </w:p>
  </w:footnote>
  <w:footnote w:id="8">
    <w:p w14:paraId="7CA99520" w14:textId="77777777" w:rsidR="003670E8" w:rsidRPr="00C45DDE" w:rsidRDefault="003670E8" w:rsidP="003670E8">
      <w:pPr>
        <w:pStyle w:val="FootnoteText"/>
        <w:rPr>
          <w:rFonts w:eastAsia="MS Mincho"/>
          <w:lang w:eastAsia="ja-JP"/>
        </w:rPr>
      </w:pPr>
      <w:r>
        <w:rPr>
          <w:rStyle w:val="FootnoteReference"/>
        </w:rPr>
        <w:footnoteRef/>
      </w:r>
      <w:r>
        <w:t xml:space="preserve"> See decision 6/CMA.4, annex II, paras. 2(c) and 3.</w:t>
      </w:r>
    </w:p>
  </w:footnote>
  <w:footnote w:id="9">
    <w:p w14:paraId="10CAFA9E" w14:textId="77777777" w:rsidR="003670E8" w:rsidRPr="00DC26FE" w:rsidRDefault="003670E8" w:rsidP="003670E8">
      <w:pPr>
        <w:pStyle w:val="FootnoteText"/>
        <w:rPr>
          <w:rFonts w:eastAsia="MS Mincho"/>
          <w:lang w:eastAsia="ja-JP"/>
        </w:rPr>
      </w:pPr>
      <w:r>
        <w:rPr>
          <w:rStyle w:val="FootnoteReference"/>
        </w:rPr>
        <w:footnoteRef/>
      </w:r>
      <w:r>
        <w:t xml:space="preserve"> See decision 6/CMA.4, annex II, para. 2(d).</w:t>
      </w:r>
    </w:p>
  </w:footnote>
  <w:footnote w:id="10">
    <w:p w14:paraId="55FD3AF7" w14:textId="77777777" w:rsidR="003670E8" w:rsidRPr="009E5363" w:rsidRDefault="003670E8" w:rsidP="003670E8">
      <w:pPr>
        <w:pStyle w:val="FootnoteText"/>
        <w:widowControl w:val="0"/>
        <w:tabs>
          <w:tab w:val="clear" w:pos="1021"/>
          <w:tab w:val="right" w:pos="1020"/>
        </w:tabs>
      </w:pPr>
      <w:r w:rsidRPr="009E5363">
        <w:tab/>
      </w:r>
      <w:r>
        <w:rPr>
          <w:rStyle w:val="FootnoteReference"/>
        </w:rPr>
        <w:footnoteRef/>
      </w:r>
      <w:r w:rsidRPr="009E5363">
        <w:tab/>
        <w:t xml:space="preserve">As per decision 2/CMA.3, paras. </w:t>
      </w:r>
      <w:r>
        <w:t>14–15.</w:t>
      </w:r>
    </w:p>
  </w:footnote>
  <w:footnote w:id="11">
    <w:p w14:paraId="6ECBFF14" w14:textId="77777777" w:rsidR="003670E8" w:rsidRPr="00EF02C8" w:rsidRDefault="003670E8" w:rsidP="003670E8">
      <w:pPr>
        <w:pStyle w:val="FootnoteText"/>
        <w:widowControl w:val="0"/>
        <w:tabs>
          <w:tab w:val="clear" w:pos="1021"/>
          <w:tab w:val="right" w:pos="1020"/>
        </w:tabs>
        <w:rPr>
          <w:lang w:val="fr-FR"/>
        </w:rPr>
      </w:pPr>
      <w:r>
        <w:tab/>
      </w:r>
      <w:r>
        <w:rPr>
          <w:rStyle w:val="FootnoteReference"/>
        </w:rPr>
        <w:footnoteRef/>
      </w:r>
      <w:r>
        <w:tab/>
        <w:t xml:space="preserve">Pursuant to </w:t>
      </w:r>
      <w:r w:rsidRPr="009E5363">
        <w:t>decision</w:t>
      </w:r>
      <w:r>
        <w:t>s</w:t>
      </w:r>
      <w:r w:rsidRPr="00BD07E1">
        <w:t xml:space="preserve"> </w:t>
      </w:r>
      <w:r>
        <w:t>3</w:t>
      </w:r>
      <w:r w:rsidRPr="00BD07E1">
        <w:t>/CMA.</w:t>
      </w:r>
      <w:r>
        <w:t>3,</w:t>
      </w:r>
      <w:r w:rsidRPr="001944C9">
        <w:t xml:space="preserve"> </w:t>
      </w:r>
      <w:r>
        <w:t>annex, para. 63, and 6</w:t>
      </w:r>
      <w:r w:rsidRPr="00BD07E1">
        <w:t>/CMA.</w:t>
      </w:r>
      <w:r>
        <w:t>4,</w:t>
      </w:r>
      <w:r w:rsidRPr="001944C9">
        <w:t xml:space="preserve"> </w:t>
      </w:r>
      <w:r>
        <w:t xml:space="preserve">annex I, para. </w:t>
      </w:r>
      <w:r w:rsidRPr="00EF02C8">
        <w:rPr>
          <w:lang w:val="fr-FR"/>
        </w:rPr>
        <w:t>24.</w:t>
      </w:r>
    </w:p>
  </w:footnote>
  <w:footnote w:id="12">
    <w:p w14:paraId="23058AF1" w14:textId="77777777" w:rsidR="003670E8" w:rsidRDefault="003670E8" w:rsidP="003670E8">
      <w:pPr>
        <w:pStyle w:val="FootnoteText"/>
        <w:rPr>
          <w:lang w:val="fr-FR"/>
        </w:rPr>
      </w:pPr>
      <w:r w:rsidRPr="00BD7A4F">
        <w:rPr>
          <w:lang w:val="fr-FR"/>
        </w:rPr>
        <w:tab/>
      </w:r>
      <w:r w:rsidRPr="006A5D46">
        <w:rPr>
          <w:rStyle w:val="FootnoteReference"/>
        </w:rPr>
        <w:footnoteRef/>
      </w:r>
      <w:r w:rsidRPr="00BD7A4F">
        <w:rPr>
          <w:lang w:val="fr-FR"/>
        </w:rPr>
        <w:t xml:space="preserve"> </w:t>
      </w:r>
      <w:r w:rsidRPr="00BD7A4F">
        <w:rPr>
          <w:lang w:val="fr-FR"/>
        </w:rPr>
        <w:tab/>
      </w:r>
      <w:hyperlink r:id="rId1" w:history="1">
        <w:r w:rsidRPr="00BD7A4F">
          <w:rPr>
            <w:rStyle w:val="Hyperlink"/>
            <w:lang w:val="fr-FR"/>
          </w:rPr>
          <w:t>https://www4.unfccc.int/sites/submissionsstaging/Pages/Home.aspx</w:t>
        </w:r>
      </w:hyperlink>
      <w:r w:rsidRPr="00BD7A4F">
        <w:rPr>
          <w:lang w:val="fr-FR"/>
        </w:rPr>
        <w:t>..</w:t>
      </w:r>
    </w:p>
    <w:p w14:paraId="26B00FF3" w14:textId="77777777" w:rsidR="003670E8" w:rsidRPr="00EF02C8" w:rsidRDefault="003670E8" w:rsidP="003670E8">
      <w:pPr>
        <w:pStyle w:val="FootnoteText"/>
        <w:rPr>
          <w:lang w:val="fr-FR"/>
        </w:rPr>
      </w:pPr>
      <w:r w:rsidRPr="00BD7A4F">
        <w:rPr>
          <w:lang w:val="fr-FR"/>
        </w:rPr>
        <w:tab/>
      </w:r>
      <w:r w:rsidRPr="006A5D46">
        <w:rPr>
          <w:rStyle w:val="FootnoteReference"/>
        </w:rPr>
        <w:footnoteRef/>
      </w:r>
      <w:r w:rsidRPr="00BD7A4F">
        <w:rPr>
          <w:lang w:val="fr-FR"/>
        </w:rPr>
        <w:t xml:space="preserve"> </w:t>
      </w:r>
      <w:r w:rsidRPr="00BD7A4F">
        <w:rPr>
          <w:lang w:val="fr-FR"/>
        </w:rPr>
        <w:tab/>
      </w:r>
      <w:hyperlink r:id="rId2" w:history="1">
        <w:r w:rsidRPr="00BD7A4F">
          <w:rPr>
            <w:rStyle w:val="Hyperlink"/>
            <w:lang w:val="fr-FR"/>
          </w:rPr>
          <w:t>https://www4.unfccc.int/sites/submissionsstaging/Pages/Home.aspx</w:t>
        </w:r>
      </w:hyperlink>
      <w:r w:rsidRPr="00BD7A4F">
        <w:rPr>
          <w:lang w:val="fr-FR"/>
        </w:rPr>
        <w:t>..</w:t>
      </w:r>
    </w:p>
  </w:footnote>
  <w:footnote w:id="13">
    <w:p w14:paraId="4B60B34B" w14:textId="77777777" w:rsidR="003670E8" w:rsidRPr="00DC26FE" w:rsidRDefault="003670E8" w:rsidP="003670E8">
      <w:pPr>
        <w:pStyle w:val="FootnoteText"/>
        <w:rPr>
          <w:lang w:val="fr-FR"/>
        </w:rPr>
      </w:pPr>
      <w:r w:rsidRPr="00EF02C8">
        <w:rPr>
          <w:lang w:val="fr-FR"/>
        </w:rPr>
        <w:tab/>
      </w:r>
      <w:r>
        <w:rPr>
          <w:rStyle w:val="FootnoteReference"/>
        </w:rPr>
        <w:footnoteRef/>
      </w:r>
      <w:r w:rsidRPr="00DC26FE">
        <w:rPr>
          <w:lang w:val="fr-FR"/>
        </w:rPr>
        <w:tab/>
        <w:t xml:space="preserve">See document FCCC/TP/2023/1. </w:t>
      </w:r>
    </w:p>
  </w:footnote>
  <w:footnote w:id="14">
    <w:p w14:paraId="57CB322A" w14:textId="77777777" w:rsidR="003670E8" w:rsidRPr="006A5D46" w:rsidRDefault="003670E8" w:rsidP="003670E8">
      <w:pPr>
        <w:pStyle w:val="FootnoteText"/>
        <w:widowControl w:val="0"/>
        <w:tabs>
          <w:tab w:val="clear" w:pos="1021"/>
          <w:tab w:val="right" w:pos="1020"/>
        </w:tabs>
      </w:pPr>
      <w:r w:rsidRPr="00DC26FE">
        <w:rPr>
          <w:lang w:val="fr-FR"/>
        </w:rPr>
        <w:tab/>
      </w:r>
      <w:r w:rsidRPr="006A5D46">
        <w:rPr>
          <w:rStyle w:val="FootnoteReference"/>
        </w:rPr>
        <w:footnoteRef/>
      </w:r>
      <w:r w:rsidRPr="006A5D46">
        <w:tab/>
        <w:t xml:space="preserve">Available at </w:t>
      </w:r>
      <w:hyperlink r:id="rId3" w:history="1">
        <w:r w:rsidRPr="006A5D46">
          <w:rPr>
            <w:rStyle w:val="Hyperlink"/>
          </w:rPr>
          <w:t>https://unfccc.int/documents/634354</w:t>
        </w:r>
      </w:hyperlink>
      <w:r w:rsidRPr="006A5D46">
        <w:rPr>
          <w:rStyle w:val="Hyperlink"/>
          <w:color w:val="auto"/>
        </w:rPr>
        <w:t>.</w:t>
      </w:r>
      <w:r w:rsidRPr="006A5D46">
        <w:t xml:space="preserve"> </w:t>
      </w:r>
    </w:p>
  </w:footnote>
  <w:footnote w:id="15">
    <w:p w14:paraId="29506102" w14:textId="77777777" w:rsidR="003670E8" w:rsidRPr="00834726" w:rsidRDefault="003670E8" w:rsidP="003670E8">
      <w:pPr>
        <w:pStyle w:val="FootnoteText"/>
        <w:rPr>
          <w:lang w:val="en-US"/>
        </w:rPr>
      </w:pPr>
      <w:r w:rsidRPr="006A5D46">
        <w:tab/>
      </w:r>
      <w:r>
        <w:rPr>
          <w:rStyle w:val="FootnoteReference"/>
        </w:rPr>
        <w:footnoteRef/>
      </w:r>
      <w:r>
        <w:tab/>
      </w:r>
      <w:r w:rsidRPr="009E5363">
        <w:t>The relevant budget estimates</w:t>
      </w:r>
      <w:r>
        <w:t xml:space="preserve"> are set out in table 2 in document FCCC/TP/2023/1.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F067" w14:textId="77777777" w:rsidR="003670E8" w:rsidRDefault="003670E8" w:rsidP="006B4ED2">
    <w:pPr>
      <w:pStyle w:val="Header"/>
    </w:pPr>
    <w:r>
      <w:t>SBSTA 61 – agenda item 13(a)</w:t>
    </w:r>
    <w:r>
      <w:rPr>
        <w:b w:val="0"/>
        <w:noProof/>
      </w:rPr>
      <mc:AlternateContent>
        <mc:Choice Requires="wps">
          <w:drawing>
            <wp:anchor distT="0" distB="0" distL="114300" distR="114300" simplePos="0" relativeHeight="251658241" behindDoc="1" locked="0" layoutInCell="1" allowOverlap="1" wp14:anchorId="14FB77DC" wp14:editId="0E31EC8C">
              <wp:simplePos x="0" y="0"/>
              <wp:positionH relativeFrom="page">
                <wp:posOffset>0</wp:posOffset>
              </wp:positionH>
              <wp:positionV relativeFrom="page">
                <wp:posOffset>0</wp:posOffset>
              </wp:positionV>
              <wp:extent cx="0" cy="0"/>
              <wp:effectExtent l="0" t="0" r="0" b="0"/>
              <wp:wrapNone/>
              <wp:docPr id="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E6D4B5A" id="Rectangle 1" o:spid="_x0000_s1026" style="position:absolute;margin-left:0;margin-top:0;width:0;height:0;z-index:-25165516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52AC" w14:textId="77777777" w:rsidR="003670E8" w:rsidRPr="00820EA8" w:rsidRDefault="003670E8" w:rsidP="006B4ED2">
    <w:pPr>
      <w:pStyle w:val="Header"/>
      <w:jc w:val="right"/>
    </w:pPr>
    <w:r w:rsidRPr="00820EA8">
      <w:t>SBSTA 6</w:t>
    </w:r>
    <w:r>
      <w:t>1</w:t>
    </w:r>
    <w:r w:rsidRPr="00820EA8">
      <w:t>– agenda item 13(a)</w:t>
    </w:r>
    <w:r w:rsidRPr="00820EA8">
      <w:rPr>
        <w:b w:val="0"/>
        <w:noProof/>
      </w:rPr>
      <mc:AlternateContent>
        <mc:Choice Requires="wps">
          <w:drawing>
            <wp:anchor distT="0" distB="0" distL="114300" distR="114300" simplePos="0" relativeHeight="251658240" behindDoc="1" locked="0" layoutInCell="1" allowOverlap="1" wp14:anchorId="2C4C5E20" wp14:editId="08C3ABFF">
              <wp:simplePos x="0" y="0"/>
              <wp:positionH relativeFrom="page">
                <wp:posOffset>0</wp:posOffset>
              </wp:positionH>
              <wp:positionV relativeFrom="page">
                <wp:posOffset>0</wp:posOffset>
              </wp:positionV>
              <wp:extent cx="0" cy="0"/>
              <wp:effectExtent l="0" t="0" r="0" b="0"/>
              <wp:wrapNone/>
              <wp:docPr id="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61CB743" id="Rectangle 1" o:spid="_x0000_s1026" style="position:absolute;margin-left:0;margin-top:0;width:0;height:0;z-index:-25165619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E1AC" w14:textId="77777777" w:rsidR="003670E8" w:rsidRPr="00545C87" w:rsidRDefault="003670E8" w:rsidP="00F137A8">
    <w:pPr>
      <w:pStyle w:val="Header"/>
      <w:tabs>
        <w:tab w:val="center" w:pos="4320"/>
        <w:tab w:val="right" w:pos="8640"/>
      </w:tabs>
      <w:jc w:val="center"/>
      <w:rPr>
        <w:bCs/>
        <w:color w:val="808080"/>
        <w:sz w:val="24"/>
        <w:szCs w:val="24"/>
      </w:rPr>
    </w:pPr>
    <w:r w:rsidRPr="00545C87">
      <w:rPr>
        <w:bCs/>
        <w:color w:val="808080"/>
        <w:sz w:val="24"/>
        <w:szCs w:val="24"/>
      </w:rPr>
      <w:t>DRAFT TEXT</w:t>
    </w:r>
  </w:p>
  <w:p w14:paraId="243E5A54" w14:textId="77777777" w:rsidR="003670E8" w:rsidRDefault="003670E8" w:rsidP="00F137A8">
    <w:pPr>
      <w:pStyle w:val="Header"/>
      <w:tabs>
        <w:tab w:val="center" w:pos="4320"/>
        <w:tab w:val="right" w:pos="8640"/>
      </w:tabs>
      <w:jc w:val="center"/>
      <w:rPr>
        <w:bCs/>
        <w:color w:val="808080"/>
        <w:sz w:val="24"/>
        <w:szCs w:val="24"/>
      </w:rPr>
    </w:pPr>
    <w:r>
      <w:rPr>
        <w:bCs/>
        <w:color w:val="808080"/>
        <w:sz w:val="24"/>
        <w:szCs w:val="24"/>
      </w:rPr>
      <w:t>o</w:t>
    </w:r>
    <w:r w:rsidRPr="00545C87">
      <w:rPr>
        <w:bCs/>
        <w:color w:val="808080"/>
        <w:sz w:val="24"/>
        <w:szCs w:val="24"/>
      </w:rPr>
      <w:t>n</w:t>
    </w:r>
  </w:p>
  <w:p w14:paraId="071C1000" w14:textId="77777777" w:rsidR="003670E8" w:rsidRDefault="003670E8" w:rsidP="00F137A8">
    <w:pPr>
      <w:pStyle w:val="Header"/>
      <w:tabs>
        <w:tab w:val="center" w:pos="4320"/>
        <w:tab w:val="right" w:pos="8640"/>
      </w:tabs>
      <w:jc w:val="center"/>
      <w:rPr>
        <w:bCs/>
        <w:color w:val="808080"/>
        <w:sz w:val="24"/>
        <w:szCs w:val="24"/>
      </w:rPr>
    </w:pPr>
    <w:r>
      <w:rPr>
        <w:bCs/>
        <w:color w:val="808080"/>
        <w:sz w:val="24"/>
        <w:szCs w:val="24"/>
      </w:rPr>
      <w:t>SBSTA 61 agenda item 13(a)</w:t>
    </w:r>
  </w:p>
  <w:p w14:paraId="5A9E8E6A" w14:textId="77777777" w:rsidR="003670E8" w:rsidRDefault="003670E8" w:rsidP="00F137A8">
    <w:pPr>
      <w:pStyle w:val="Header"/>
      <w:tabs>
        <w:tab w:val="center" w:pos="4320"/>
        <w:tab w:val="right" w:pos="8640"/>
      </w:tabs>
      <w:jc w:val="center"/>
      <w:rPr>
        <w:bCs/>
        <w:color w:val="808080"/>
        <w:sz w:val="24"/>
        <w:szCs w:val="24"/>
      </w:rPr>
    </w:pPr>
    <w:r>
      <w:rPr>
        <w:bCs/>
        <w:color w:val="808080"/>
        <w:sz w:val="24"/>
        <w:szCs w:val="24"/>
      </w:rPr>
      <w:t>Matters relating to Article 6 of the Paris Agreement</w:t>
    </w:r>
  </w:p>
  <w:p w14:paraId="0FCA5E1D" w14:textId="77777777" w:rsidR="003670E8" w:rsidRPr="00545C87" w:rsidRDefault="003670E8" w:rsidP="00F137A8">
    <w:pPr>
      <w:pStyle w:val="Header"/>
      <w:tabs>
        <w:tab w:val="center" w:pos="4320"/>
        <w:tab w:val="right" w:pos="8640"/>
      </w:tabs>
      <w:jc w:val="center"/>
      <w:rPr>
        <w:bCs/>
        <w:color w:val="808080"/>
        <w:sz w:val="24"/>
        <w:szCs w:val="24"/>
      </w:rPr>
    </w:pPr>
    <w:r w:rsidRPr="00946F4A">
      <w:rPr>
        <w:bCs/>
        <w:color w:val="808080"/>
        <w:sz w:val="24"/>
        <w:szCs w:val="24"/>
      </w:rPr>
      <w:t xml:space="preserve">Guidance on cooperative approaches referred to in Article 6, </w:t>
    </w:r>
    <w:r w:rsidRPr="00946F4A">
      <w:rPr>
        <w:bCs/>
        <w:color w:val="808080"/>
        <w:sz w:val="24"/>
        <w:szCs w:val="24"/>
      </w:rPr>
      <w:tab/>
      <w:t>paragraph 2, of the Paris Agreement and in decision 2/CMA.3</w:t>
    </w:r>
  </w:p>
  <w:p w14:paraId="61893DB3" w14:textId="77777777" w:rsidR="003670E8" w:rsidRDefault="003670E8" w:rsidP="00F137A8">
    <w:pPr>
      <w:pStyle w:val="Header"/>
      <w:tabs>
        <w:tab w:val="center" w:pos="4320"/>
        <w:tab w:val="right" w:pos="8640"/>
      </w:tabs>
      <w:jc w:val="center"/>
      <w:rPr>
        <w:bCs/>
        <w:color w:val="808080"/>
        <w:sz w:val="24"/>
        <w:szCs w:val="24"/>
      </w:rPr>
    </w:pPr>
  </w:p>
  <w:p w14:paraId="6910DA96" w14:textId="77777777" w:rsidR="003670E8" w:rsidRPr="006B4ED2" w:rsidRDefault="003670E8" w:rsidP="006B4ED2">
    <w:pPr>
      <w:pStyle w:val="Header"/>
      <w:tabs>
        <w:tab w:val="center" w:pos="4320"/>
        <w:tab w:val="right" w:pos="8640"/>
      </w:tabs>
      <w:jc w:val="center"/>
      <w:rPr>
        <w:bCs/>
        <w:color w:val="808080"/>
        <w:sz w:val="24"/>
        <w:szCs w:val="24"/>
      </w:rPr>
    </w:pPr>
    <w:r>
      <w:rPr>
        <w:bCs/>
        <w:color w:val="808080"/>
        <w:sz w:val="24"/>
        <w:szCs w:val="24"/>
      </w:rPr>
      <w:t xml:space="preserve">Version </w:t>
    </w:r>
    <w:sdt>
      <w:sdtPr>
        <w:rPr>
          <w:bCs/>
          <w:color w:val="808080"/>
          <w:sz w:val="24"/>
          <w:szCs w:val="24"/>
        </w:rPr>
        <w:id w:val="29541078"/>
        <w:date w:fullDate="2024-11-14T13:00:00Z">
          <w:dateFormat w:val="d/M/yyyy H:mm"/>
          <w:lid w:val="en-US"/>
          <w:storeMappedDataAs w:val="dateTime"/>
          <w:calendar w:val="gregorian"/>
        </w:date>
      </w:sdtPr>
      <w:sdtContent>
        <w:r w:rsidRPr="00F01FB9">
          <w:rPr>
            <w:bCs/>
            <w:color w:val="808080"/>
            <w:sz w:val="24"/>
            <w:szCs w:val="24"/>
          </w:rPr>
          <w:t>14/11/2024 13:00</w:t>
        </w:r>
      </w:sdtContent>
    </w:sdt>
    <w:r w:rsidRPr="00F137A8">
      <w:rPr>
        <w:b w:val="0"/>
        <w:bCs/>
        <w:noProof/>
        <w:color w:val="808080"/>
        <w:sz w:val="24"/>
        <w:szCs w:val="24"/>
      </w:rPr>
      <mc:AlternateContent>
        <mc:Choice Requires="wps">
          <w:drawing>
            <wp:anchor distT="0" distB="0" distL="114300" distR="114300" simplePos="0" relativeHeight="251658242" behindDoc="1" locked="0" layoutInCell="1" allowOverlap="1" wp14:anchorId="55AA1C38" wp14:editId="7A096E3A">
              <wp:simplePos x="0" y="0"/>
              <wp:positionH relativeFrom="page">
                <wp:posOffset>0</wp:posOffset>
              </wp:positionH>
              <wp:positionV relativeFrom="page">
                <wp:posOffset>0</wp:posOffset>
              </wp:positionV>
              <wp:extent cx="0" cy="0"/>
              <wp:effectExtent l="0" t="0" r="0" b="0"/>
              <wp:wrapNone/>
              <wp:docPr id="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D03AABA" id="Rectangle 1" o:spid="_x0000_s1026" style="position:absolute;margin-left:0;margin-top:0;width:0;height:0;z-index:-25165414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stroked="f" strokeweight="0">
              <o:lock v:ext="edit" rotation="t" aspectratio="t" selection="t" verticies="t" text="t" adjusthandles="t" grouping="t" shapetype="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6D4A" w14:textId="77777777" w:rsidR="003670E8" w:rsidRPr="00865BE1" w:rsidRDefault="003670E8">
    <w:pPr>
      <w:pStyle w:val="Header"/>
    </w:pPr>
    <w:r>
      <w:t>SBSTA 61 – agenda item 13(a)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3B30" w14:textId="77777777" w:rsidR="003670E8" w:rsidRPr="00865BE1" w:rsidRDefault="003670E8">
    <w:pPr>
      <w:pStyle w:val="Header"/>
      <w:jc w:val="right"/>
    </w:pPr>
    <w:r>
      <w:t>SBSTA 61– agenda item 13(a)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224D" w14:textId="77777777" w:rsidR="003670E8" w:rsidRPr="006B4ED2" w:rsidRDefault="003670E8" w:rsidP="006B4ED2">
    <w:pPr>
      <w:pStyle w:val="Header"/>
    </w:pPr>
    <w:r>
      <w:t>SBSTA 61 – agenda item 13(a)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A45A" w14:textId="77777777" w:rsidR="003670E8" w:rsidRPr="00865BE1" w:rsidRDefault="003670E8">
    <w:pPr>
      <w:pStyle w:val="Header"/>
      <w:jc w:val="right"/>
    </w:pPr>
    <w:r>
      <w:t>SBSTA 61 – agenda item 13(a)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EA3A" w14:textId="22E06740" w:rsidR="002D3A24" w:rsidRPr="00C77C75" w:rsidRDefault="00C77C75" w:rsidP="00C77C75">
    <w:pPr>
      <w:pStyle w:val="Header"/>
      <w:jc w:val="right"/>
    </w:pPr>
    <w:r>
      <w:t>SBSTA 61 – agenda item 13(a)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829"/>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 w15:restartNumberingAfterBreak="0">
    <w:nsid w:val="0313268B"/>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B6AAE"/>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25785"/>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7" w15:restartNumberingAfterBreak="0">
    <w:nsid w:val="0AC027AE"/>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8" w15:restartNumberingAfterBreak="0">
    <w:nsid w:val="0B992468"/>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9" w15:restartNumberingAfterBreak="0">
    <w:nsid w:val="0BC82775"/>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0" w15:restartNumberingAfterBreak="0">
    <w:nsid w:val="0E7C4D14"/>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11"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2" w15:restartNumberingAfterBreak="0">
    <w:nsid w:val="11C97730"/>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3" w15:restartNumberingAfterBreak="0">
    <w:nsid w:val="16A870CD"/>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4" w15:restartNumberingAfterBreak="0">
    <w:nsid w:val="16F148A4"/>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5" w15:restartNumberingAfterBreak="0">
    <w:nsid w:val="18506C63"/>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E7640F7"/>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17" w15:restartNumberingAfterBreak="0">
    <w:nsid w:val="1E8A4BC8"/>
    <w:multiLevelType w:val="multilevel"/>
    <w:tmpl w:val="044E8D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2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D77C6C"/>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3" w15:restartNumberingAfterBreak="0">
    <w:nsid w:val="266E0DAA"/>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4" w15:restartNumberingAfterBreak="0">
    <w:nsid w:val="274C48D0"/>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25" w15:restartNumberingAfterBreak="0">
    <w:nsid w:val="2857503D"/>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6" w15:restartNumberingAfterBreak="0">
    <w:nsid w:val="2ACD39E1"/>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7" w15:restartNumberingAfterBreak="0">
    <w:nsid w:val="2B7F6BA5"/>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2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200B37"/>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31" w15:restartNumberingAfterBreak="0">
    <w:nsid w:val="2F992B92"/>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308630B1"/>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3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1E3224"/>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5" w15:restartNumberingAfterBreak="0">
    <w:nsid w:val="35814283"/>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389912CD"/>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7" w15:restartNumberingAfterBreak="0">
    <w:nsid w:val="3BB96F4E"/>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38" w15:restartNumberingAfterBreak="0">
    <w:nsid w:val="40B341E5"/>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9"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2F657E"/>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41" w15:restartNumberingAfterBreak="0">
    <w:nsid w:val="4E986FEF"/>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42" w15:restartNumberingAfterBreak="0">
    <w:nsid w:val="52926D53"/>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54307113"/>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44" w15:restartNumberingAfterBreak="0">
    <w:nsid w:val="5C51476C"/>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45" w15:restartNumberingAfterBreak="0">
    <w:nsid w:val="606957DD"/>
    <w:multiLevelType w:val="multilevel"/>
    <w:tmpl w:val="651A0F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FD64067"/>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9" w15:restartNumberingAfterBreak="0">
    <w:nsid w:val="725E435B"/>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50" w15:restartNumberingAfterBreak="0">
    <w:nsid w:val="76D17D71"/>
    <w:multiLevelType w:val="multilevel"/>
    <w:tmpl w:val="FE743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1" w15:restartNumberingAfterBreak="0">
    <w:nsid w:val="78D13909"/>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abstractNum w:abstractNumId="52" w15:restartNumberingAfterBreak="0">
    <w:nsid w:val="7D3410DD"/>
    <w:multiLevelType w:val="multilevel"/>
    <w:tmpl w:val="A80C7D8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6"/>
        </w:tabs>
        <w:ind w:left="1136"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3"/>
      <w:numFmt w:val="decimal"/>
      <w:lvlRestart w:val="0"/>
      <w:lvlText w:val="%6."/>
      <w:lvlJc w:val="left"/>
      <w:pPr>
        <w:ind w:left="1135"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i w:val="0"/>
        <w:iCs/>
        <w:sz w:val="20"/>
      </w:rPr>
    </w:lvl>
    <w:lvl w:ilvl="8">
      <w:start w:val="1"/>
      <w:numFmt w:val="lowerLetter"/>
      <w:lvlText w:val="%9."/>
      <w:lvlJc w:val="left"/>
      <w:pPr>
        <w:tabs>
          <w:tab w:val="num" w:pos="2268"/>
        </w:tabs>
        <w:ind w:left="2268" w:firstLine="0"/>
      </w:pPr>
      <w:rPr>
        <w:rFonts w:hint="default"/>
      </w:rPr>
    </w:lvl>
  </w:abstractNum>
  <w:abstractNum w:abstractNumId="53" w15:restartNumberingAfterBreak="0">
    <w:nsid w:val="7E1710B2"/>
    <w:multiLevelType w:val="multilevel"/>
    <w:tmpl w:val="FE743E94"/>
    <w:lvl w:ilvl="0">
      <w:start w:val="1"/>
      <w:numFmt w:val="upperRoman"/>
      <w:lvlRestart w:val="0"/>
      <w:lvlText w:val="%1."/>
      <w:lvlJc w:val="right"/>
      <w:pPr>
        <w:tabs>
          <w:tab w:val="num" w:pos="851"/>
        </w:tabs>
        <w:ind w:left="851" w:hanging="284"/>
      </w:pPr>
      <w:rPr>
        <w:rFonts w:ascii="Times New Roman" w:hAnsi="Times New Roman" w:cs="Times New Roman" w:hint="default"/>
        <w:b/>
        <w:i w:val="0"/>
        <w:sz w:val="28"/>
      </w:rPr>
    </w:lvl>
    <w:lvl w:ilvl="1">
      <w:start w:val="1"/>
      <w:numFmt w:val="upperLetter"/>
      <w:lvlText w:val="%2."/>
      <w:lvlJc w:val="right"/>
      <w:pPr>
        <w:tabs>
          <w:tab w:val="num" w:pos="852"/>
        </w:tabs>
        <w:ind w:left="852" w:hanging="284"/>
      </w:pPr>
      <w:rPr>
        <w:rFonts w:ascii="Times New Roman" w:hAnsi="Times New Roman" w:cs="Times New Roman" w:hint="default"/>
        <w:b/>
        <w:i w:val="0"/>
        <w:sz w:val="24"/>
      </w:rPr>
    </w:lvl>
    <w:lvl w:ilvl="2">
      <w:start w:val="1"/>
      <w:numFmt w:val="decimal"/>
      <w:lvlText w:val="%3."/>
      <w:lvlJc w:val="right"/>
      <w:pPr>
        <w:tabs>
          <w:tab w:val="num" w:pos="851"/>
        </w:tabs>
        <w:ind w:left="851" w:hanging="284"/>
      </w:pPr>
      <w:rPr>
        <w:rFonts w:ascii="Times New Roman" w:hAnsi="Times New Roman" w:cs="Times New Roman" w:hint="default"/>
        <w:b/>
        <w:bCs/>
        <w:i w:val="0"/>
        <w:iCs w:val="0"/>
        <w:sz w:val="20"/>
        <w:szCs w:val="20"/>
      </w:rPr>
    </w:lvl>
    <w:lvl w:ilvl="3">
      <w:start w:val="1"/>
      <w:numFmt w:val="lowerLetter"/>
      <w:lvlText w:val="(%4)"/>
      <w:lvlJc w:val="right"/>
      <w:pPr>
        <w:tabs>
          <w:tab w:val="num" w:pos="850"/>
        </w:tabs>
        <w:ind w:left="851" w:hanging="284"/>
      </w:pPr>
      <w:rPr>
        <w:rFonts w:ascii="Times New Roman" w:hAnsi="Times New Roman" w:cs="Times New Roman" w:hint="default"/>
        <w:b/>
        <w:i w:val="0"/>
        <w:sz w:val="20"/>
      </w:rPr>
    </w:lvl>
    <w:lvl w:ilvl="4">
      <w:start w:val="1"/>
      <w:numFmt w:val="lowerRoman"/>
      <w:lvlText w:val="(%5)"/>
      <w:lvlJc w:val="right"/>
      <w:pPr>
        <w:tabs>
          <w:tab w:val="num" w:pos="850"/>
        </w:tabs>
        <w:ind w:left="851" w:hanging="284"/>
      </w:pPr>
      <w:rPr>
        <w:rFonts w:ascii="Times New Roman" w:hAnsi="Times New Roman" w:hint="default"/>
        <w:b w:val="0"/>
        <w:i/>
      </w:rPr>
    </w:lvl>
    <w:lvl w:ilvl="5">
      <w:start w:val="3"/>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418"/>
        </w:tabs>
        <w:ind w:left="850" w:firstLine="567"/>
      </w:pPr>
      <w:rPr>
        <w:rFonts w:hint="default"/>
        <w:b w:val="0"/>
        <w:i w:val="0"/>
        <w:color w:val="auto"/>
        <w:sz w:val="20"/>
        <w:szCs w:val="28"/>
      </w:rPr>
    </w:lvl>
    <w:lvl w:ilvl="7">
      <w:start w:val="1"/>
      <w:numFmt w:val="lowerRoman"/>
      <w:lvlText w:val="(%8)"/>
      <w:lvlJc w:val="left"/>
      <w:pPr>
        <w:ind w:left="1417" w:firstLine="0"/>
      </w:pPr>
      <w:rPr>
        <w:rFonts w:hint="default"/>
        <w:sz w:val="20"/>
      </w:rPr>
    </w:lvl>
    <w:lvl w:ilvl="8">
      <w:start w:val="1"/>
      <w:numFmt w:val="lowerLetter"/>
      <w:lvlText w:val="%9."/>
      <w:lvlJc w:val="left"/>
      <w:pPr>
        <w:tabs>
          <w:tab w:val="num" w:pos="1984"/>
        </w:tabs>
        <w:ind w:left="1984" w:firstLine="0"/>
      </w:pPr>
      <w:rPr>
        <w:rFonts w:hint="default"/>
      </w:rPr>
    </w:lvl>
  </w:abstractNum>
  <w:num w:numId="1" w16cid:durableId="117458728">
    <w:abstractNumId w:val="11"/>
  </w:num>
  <w:num w:numId="2" w16cid:durableId="1582373755">
    <w:abstractNumId w:val="2"/>
  </w:num>
  <w:num w:numId="3" w16cid:durableId="853034337">
    <w:abstractNumId w:val="47"/>
  </w:num>
  <w:num w:numId="4" w16cid:durableId="906652402">
    <w:abstractNumId w:val="22"/>
  </w:num>
  <w:num w:numId="5" w16cid:durableId="405109497">
    <w:abstractNumId w:val="19"/>
  </w:num>
  <w:num w:numId="6" w16cid:durableId="1498107439">
    <w:abstractNumId w:val="28"/>
  </w:num>
  <w:num w:numId="7" w16cid:durableId="141049589">
    <w:abstractNumId w:val="3"/>
  </w:num>
  <w:num w:numId="8" w16cid:durableId="10935532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1973979">
    <w:abstractNumId w:val="38"/>
  </w:num>
  <w:num w:numId="10" w16cid:durableId="2078697935">
    <w:abstractNumId w:val="17"/>
  </w:num>
  <w:num w:numId="11" w16cid:durableId="875704891">
    <w:abstractNumId w:val="1"/>
  </w:num>
  <w:num w:numId="12" w16cid:durableId="1307856342">
    <w:abstractNumId w:val="7"/>
  </w:num>
  <w:num w:numId="13" w16cid:durableId="464323599">
    <w:abstractNumId w:val="15"/>
  </w:num>
  <w:num w:numId="14" w16cid:durableId="1595747239">
    <w:abstractNumId w:val="4"/>
  </w:num>
  <w:num w:numId="15" w16cid:durableId="1692141366">
    <w:abstractNumId w:val="35"/>
  </w:num>
  <w:num w:numId="16" w16cid:durableId="1278298898">
    <w:abstractNumId w:val="8"/>
  </w:num>
  <w:num w:numId="17" w16cid:durableId="1194462160">
    <w:abstractNumId w:val="45"/>
  </w:num>
  <w:num w:numId="18" w16cid:durableId="1142501034">
    <w:abstractNumId w:val="23"/>
  </w:num>
  <w:num w:numId="19" w16cid:durableId="1847859702">
    <w:abstractNumId w:val="31"/>
  </w:num>
  <w:num w:numId="20" w16cid:durableId="867376825">
    <w:abstractNumId w:val="25"/>
  </w:num>
  <w:num w:numId="21" w16cid:durableId="1772165852">
    <w:abstractNumId w:val="48"/>
  </w:num>
  <w:num w:numId="22" w16cid:durableId="626395407">
    <w:abstractNumId w:val="50"/>
  </w:num>
  <w:num w:numId="23" w16cid:durableId="742411016">
    <w:abstractNumId w:val="36"/>
  </w:num>
  <w:num w:numId="24" w16cid:durableId="971252231">
    <w:abstractNumId w:val="26"/>
  </w:num>
  <w:num w:numId="25" w16cid:durableId="655691081">
    <w:abstractNumId w:val="16"/>
  </w:num>
  <w:num w:numId="26" w16cid:durableId="1616209898">
    <w:abstractNumId w:val="9"/>
  </w:num>
  <w:num w:numId="27" w16cid:durableId="1387681877">
    <w:abstractNumId w:val="20"/>
  </w:num>
  <w:num w:numId="28" w16cid:durableId="98568951">
    <w:abstractNumId w:val="42"/>
  </w:num>
  <w:num w:numId="29" w16cid:durableId="1253122002">
    <w:abstractNumId w:val="30"/>
  </w:num>
  <w:num w:numId="30" w16cid:durableId="1758596920">
    <w:abstractNumId w:val="37"/>
  </w:num>
  <w:num w:numId="31" w16cid:durableId="2141145443">
    <w:abstractNumId w:val="14"/>
  </w:num>
  <w:num w:numId="32" w16cid:durableId="728498255">
    <w:abstractNumId w:val="27"/>
  </w:num>
  <w:num w:numId="33" w16cid:durableId="255795518">
    <w:abstractNumId w:val="13"/>
  </w:num>
  <w:num w:numId="34" w16cid:durableId="39675963">
    <w:abstractNumId w:val="51"/>
  </w:num>
  <w:num w:numId="35" w16cid:durableId="2044133994">
    <w:abstractNumId w:val="44"/>
  </w:num>
  <w:num w:numId="36" w16cid:durableId="1439565399">
    <w:abstractNumId w:val="43"/>
  </w:num>
  <w:num w:numId="37" w16cid:durableId="1886139509">
    <w:abstractNumId w:val="32"/>
  </w:num>
  <w:num w:numId="38" w16cid:durableId="632755375">
    <w:abstractNumId w:val="6"/>
  </w:num>
  <w:num w:numId="39" w16cid:durableId="693963798">
    <w:abstractNumId w:val="24"/>
  </w:num>
  <w:num w:numId="40" w16cid:durableId="1576470906">
    <w:abstractNumId w:val="0"/>
  </w:num>
  <w:num w:numId="41" w16cid:durableId="1022974229">
    <w:abstractNumId w:val="12"/>
  </w:num>
  <w:num w:numId="42" w16cid:durableId="976960181">
    <w:abstractNumId w:val="52"/>
  </w:num>
  <w:num w:numId="43" w16cid:durableId="1632903018">
    <w:abstractNumId w:val="40"/>
  </w:num>
  <w:num w:numId="44" w16cid:durableId="1266964634">
    <w:abstractNumId w:val="49"/>
  </w:num>
  <w:num w:numId="45" w16cid:durableId="1130200484">
    <w:abstractNumId w:val="10"/>
  </w:num>
  <w:num w:numId="46" w16cid:durableId="1640914394">
    <w:abstractNumId w:val="41"/>
  </w:num>
  <w:num w:numId="47" w16cid:durableId="1179200694">
    <w:abstractNumId w:val="34"/>
  </w:num>
  <w:num w:numId="48" w16cid:durableId="1989704025">
    <w:abstractNumId w:val="5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1F"/>
    <w:rsid w:val="00000856"/>
    <w:rsid w:val="00002558"/>
    <w:rsid w:val="00004A30"/>
    <w:rsid w:val="00007089"/>
    <w:rsid w:val="0001124F"/>
    <w:rsid w:val="00012111"/>
    <w:rsid w:val="00021BB6"/>
    <w:rsid w:val="00021D1F"/>
    <w:rsid w:val="0002382B"/>
    <w:rsid w:val="0002502E"/>
    <w:rsid w:val="00031A7D"/>
    <w:rsid w:val="000327A9"/>
    <w:rsid w:val="00032DDE"/>
    <w:rsid w:val="00036480"/>
    <w:rsid w:val="00036D06"/>
    <w:rsid w:val="00037650"/>
    <w:rsid w:val="0003776D"/>
    <w:rsid w:val="00037D88"/>
    <w:rsid w:val="000423A6"/>
    <w:rsid w:val="000470E8"/>
    <w:rsid w:val="00051B07"/>
    <w:rsid w:val="00052463"/>
    <w:rsid w:val="000555B3"/>
    <w:rsid w:val="000561BD"/>
    <w:rsid w:val="00062148"/>
    <w:rsid w:val="00062505"/>
    <w:rsid w:val="000628ED"/>
    <w:rsid w:val="000639C9"/>
    <w:rsid w:val="0006625F"/>
    <w:rsid w:val="0007086F"/>
    <w:rsid w:val="00073E79"/>
    <w:rsid w:val="00074855"/>
    <w:rsid w:val="00074EC5"/>
    <w:rsid w:val="00074FC8"/>
    <w:rsid w:val="00076113"/>
    <w:rsid w:val="000773C8"/>
    <w:rsid w:val="00081C44"/>
    <w:rsid w:val="00083647"/>
    <w:rsid w:val="00083ED8"/>
    <w:rsid w:val="0008756E"/>
    <w:rsid w:val="00087BE9"/>
    <w:rsid w:val="00090016"/>
    <w:rsid w:val="0009025B"/>
    <w:rsid w:val="000913E6"/>
    <w:rsid w:val="000915AA"/>
    <w:rsid w:val="00091DBB"/>
    <w:rsid w:val="00091F26"/>
    <w:rsid w:val="0009206F"/>
    <w:rsid w:val="00092E29"/>
    <w:rsid w:val="00093044"/>
    <w:rsid w:val="00096181"/>
    <w:rsid w:val="000A0707"/>
    <w:rsid w:val="000A399F"/>
    <w:rsid w:val="000A4C99"/>
    <w:rsid w:val="000A566F"/>
    <w:rsid w:val="000A5ACC"/>
    <w:rsid w:val="000A7220"/>
    <w:rsid w:val="000A7A4F"/>
    <w:rsid w:val="000A7C2B"/>
    <w:rsid w:val="000B1FD0"/>
    <w:rsid w:val="000B2173"/>
    <w:rsid w:val="000B575A"/>
    <w:rsid w:val="000C0E05"/>
    <w:rsid w:val="000C24E3"/>
    <w:rsid w:val="000C4318"/>
    <w:rsid w:val="000C5173"/>
    <w:rsid w:val="000C6D85"/>
    <w:rsid w:val="000C6FC5"/>
    <w:rsid w:val="000C7CC0"/>
    <w:rsid w:val="000C7FAF"/>
    <w:rsid w:val="000D19AA"/>
    <w:rsid w:val="000D342A"/>
    <w:rsid w:val="000D5CA3"/>
    <w:rsid w:val="000D5DED"/>
    <w:rsid w:val="000D6922"/>
    <w:rsid w:val="000D6D4A"/>
    <w:rsid w:val="000D778B"/>
    <w:rsid w:val="000E2D0F"/>
    <w:rsid w:val="000E343D"/>
    <w:rsid w:val="000E5A58"/>
    <w:rsid w:val="000E642D"/>
    <w:rsid w:val="000E6892"/>
    <w:rsid w:val="000E6E68"/>
    <w:rsid w:val="000F0060"/>
    <w:rsid w:val="000F13AC"/>
    <w:rsid w:val="000F1B8A"/>
    <w:rsid w:val="000F33AA"/>
    <w:rsid w:val="000F371F"/>
    <w:rsid w:val="000F379C"/>
    <w:rsid w:val="000F4528"/>
    <w:rsid w:val="000F5020"/>
    <w:rsid w:val="001007C9"/>
    <w:rsid w:val="001051CB"/>
    <w:rsid w:val="00105249"/>
    <w:rsid w:val="001055A0"/>
    <w:rsid w:val="00106384"/>
    <w:rsid w:val="0010674F"/>
    <w:rsid w:val="0010739B"/>
    <w:rsid w:val="00107536"/>
    <w:rsid w:val="00107B0E"/>
    <w:rsid w:val="0011157B"/>
    <w:rsid w:val="00111CB9"/>
    <w:rsid w:val="0011230C"/>
    <w:rsid w:val="00112661"/>
    <w:rsid w:val="001153EB"/>
    <w:rsid w:val="001161E5"/>
    <w:rsid w:val="001176C5"/>
    <w:rsid w:val="0011781E"/>
    <w:rsid w:val="0012081F"/>
    <w:rsid w:val="00120826"/>
    <w:rsid w:val="00120901"/>
    <w:rsid w:val="001209A8"/>
    <w:rsid w:val="00120E84"/>
    <w:rsid w:val="00121AD4"/>
    <w:rsid w:val="00122A6A"/>
    <w:rsid w:val="00123C52"/>
    <w:rsid w:val="00124496"/>
    <w:rsid w:val="0012504C"/>
    <w:rsid w:val="001265A7"/>
    <w:rsid w:val="00127311"/>
    <w:rsid w:val="0013235E"/>
    <w:rsid w:val="001328F9"/>
    <w:rsid w:val="001346B7"/>
    <w:rsid w:val="001349EC"/>
    <w:rsid w:val="00134F15"/>
    <w:rsid w:val="00136A7D"/>
    <w:rsid w:val="00136D61"/>
    <w:rsid w:val="00141710"/>
    <w:rsid w:val="00142A35"/>
    <w:rsid w:val="00150125"/>
    <w:rsid w:val="00150D90"/>
    <w:rsid w:val="00152A6E"/>
    <w:rsid w:val="00153751"/>
    <w:rsid w:val="00156672"/>
    <w:rsid w:val="001600D9"/>
    <w:rsid w:val="001646A2"/>
    <w:rsid w:val="00167C52"/>
    <w:rsid w:val="00172CF0"/>
    <w:rsid w:val="001730FC"/>
    <w:rsid w:val="001738F1"/>
    <w:rsid w:val="00174357"/>
    <w:rsid w:val="00174A05"/>
    <w:rsid w:val="00175EF7"/>
    <w:rsid w:val="00176D28"/>
    <w:rsid w:val="00177074"/>
    <w:rsid w:val="00177E11"/>
    <w:rsid w:val="00180736"/>
    <w:rsid w:val="00182D96"/>
    <w:rsid w:val="0018424D"/>
    <w:rsid w:val="00184C03"/>
    <w:rsid w:val="001857DB"/>
    <w:rsid w:val="001861BF"/>
    <w:rsid w:val="00186A4F"/>
    <w:rsid w:val="00190111"/>
    <w:rsid w:val="001906D0"/>
    <w:rsid w:val="001915EF"/>
    <w:rsid w:val="0019430F"/>
    <w:rsid w:val="001945C7"/>
    <w:rsid w:val="00194BFA"/>
    <w:rsid w:val="00194E11"/>
    <w:rsid w:val="00195018"/>
    <w:rsid w:val="001953F0"/>
    <w:rsid w:val="0019668B"/>
    <w:rsid w:val="00196E77"/>
    <w:rsid w:val="001A0A3A"/>
    <w:rsid w:val="001A1CB9"/>
    <w:rsid w:val="001A1FC1"/>
    <w:rsid w:val="001A3E9A"/>
    <w:rsid w:val="001A594B"/>
    <w:rsid w:val="001A5FE8"/>
    <w:rsid w:val="001A70E2"/>
    <w:rsid w:val="001B0491"/>
    <w:rsid w:val="001B085A"/>
    <w:rsid w:val="001B1483"/>
    <w:rsid w:val="001B1AE6"/>
    <w:rsid w:val="001C2EDC"/>
    <w:rsid w:val="001C3DE7"/>
    <w:rsid w:val="001C3FDF"/>
    <w:rsid w:val="001C40F0"/>
    <w:rsid w:val="001C4688"/>
    <w:rsid w:val="001C7B87"/>
    <w:rsid w:val="001D012A"/>
    <w:rsid w:val="001D03B1"/>
    <w:rsid w:val="001D0F0F"/>
    <w:rsid w:val="001D2FD8"/>
    <w:rsid w:val="001D6C3C"/>
    <w:rsid w:val="001E2922"/>
    <w:rsid w:val="001E7D13"/>
    <w:rsid w:val="001F055B"/>
    <w:rsid w:val="001F0C87"/>
    <w:rsid w:val="001F2360"/>
    <w:rsid w:val="001F2BBF"/>
    <w:rsid w:val="002008AA"/>
    <w:rsid w:val="0020095B"/>
    <w:rsid w:val="00201B92"/>
    <w:rsid w:val="00201D17"/>
    <w:rsid w:val="0020234F"/>
    <w:rsid w:val="002025E1"/>
    <w:rsid w:val="00202C1D"/>
    <w:rsid w:val="00203E31"/>
    <w:rsid w:val="00207452"/>
    <w:rsid w:val="00213B61"/>
    <w:rsid w:val="0021446A"/>
    <w:rsid w:val="00214C25"/>
    <w:rsid w:val="00216589"/>
    <w:rsid w:val="00216AF4"/>
    <w:rsid w:val="00217091"/>
    <w:rsid w:val="00223453"/>
    <w:rsid w:val="00224111"/>
    <w:rsid w:val="00225C12"/>
    <w:rsid w:val="00226493"/>
    <w:rsid w:val="00230D0F"/>
    <w:rsid w:val="0023180B"/>
    <w:rsid w:val="00231FB5"/>
    <w:rsid w:val="00232479"/>
    <w:rsid w:val="00232EAA"/>
    <w:rsid w:val="00233320"/>
    <w:rsid w:val="002405A7"/>
    <w:rsid w:val="00241602"/>
    <w:rsid w:val="00243B15"/>
    <w:rsid w:val="0024447B"/>
    <w:rsid w:val="00246888"/>
    <w:rsid w:val="00247BF6"/>
    <w:rsid w:val="00250037"/>
    <w:rsid w:val="00251CC6"/>
    <w:rsid w:val="00251D2C"/>
    <w:rsid w:val="00251FF9"/>
    <w:rsid w:val="00252792"/>
    <w:rsid w:val="00256CFB"/>
    <w:rsid w:val="00257AA3"/>
    <w:rsid w:val="00257C1F"/>
    <w:rsid w:val="00260BFA"/>
    <w:rsid w:val="002638FD"/>
    <w:rsid w:val="00264F17"/>
    <w:rsid w:val="00265108"/>
    <w:rsid w:val="00265893"/>
    <w:rsid w:val="00266D68"/>
    <w:rsid w:val="00267B98"/>
    <w:rsid w:val="002726D7"/>
    <w:rsid w:val="00273CED"/>
    <w:rsid w:val="00273E8E"/>
    <w:rsid w:val="0027419E"/>
    <w:rsid w:val="00276A17"/>
    <w:rsid w:val="002776B4"/>
    <w:rsid w:val="002779EB"/>
    <w:rsid w:val="002823A1"/>
    <w:rsid w:val="00282AA7"/>
    <w:rsid w:val="00283275"/>
    <w:rsid w:val="00283DAC"/>
    <w:rsid w:val="002859C9"/>
    <w:rsid w:val="0029007C"/>
    <w:rsid w:val="002901A0"/>
    <w:rsid w:val="00290409"/>
    <w:rsid w:val="00292DC3"/>
    <w:rsid w:val="002933A4"/>
    <w:rsid w:val="002954CD"/>
    <w:rsid w:val="00295866"/>
    <w:rsid w:val="0029733B"/>
    <w:rsid w:val="00297C1E"/>
    <w:rsid w:val="002A56CB"/>
    <w:rsid w:val="002A7B52"/>
    <w:rsid w:val="002B00DA"/>
    <w:rsid w:val="002B0283"/>
    <w:rsid w:val="002B3984"/>
    <w:rsid w:val="002B446B"/>
    <w:rsid w:val="002B71EA"/>
    <w:rsid w:val="002B72CE"/>
    <w:rsid w:val="002B7532"/>
    <w:rsid w:val="002C051E"/>
    <w:rsid w:val="002C11F7"/>
    <w:rsid w:val="002C21A2"/>
    <w:rsid w:val="002C3336"/>
    <w:rsid w:val="002C333C"/>
    <w:rsid w:val="002C3AB2"/>
    <w:rsid w:val="002C52A6"/>
    <w:rsid w:val="002C5632"/>
    <w:rsid w:val="002C680A"/>
    <w:rsid w:val="002D154A"/>
    <w:rsid w:val="002D1F6E"/>
    <w:rsid w:val="002D3724"/>
    <w:rsid w:val="002D3A24"/>
    <w:rsid w:val="002D4E4E"/>
    <w:rsid w:val="002D519E"/>
    <w:rsid w:val="002D67A0"/>
    <w:rsid w:val="002D737B"/>
    <w:rsid w:val="002E080F"/>
    <w:rsid w:val="002E3ED8"/>
    <w:rsid w:val="002E5208"/>
    <w:rsid w:val="002E66C4"/>
    <w:rsid w:val="002E70B0"/>
    <w:rsid w:val="002F304A"/>
    <w:rsid w:val="002F38EB"/>
    <w:rsid w:val="002F60E8"/>
    <w:rsid w:val="002F7B01"/>
    <w:rsid w:val="003012AF"/>
    <w:rsid w:val="003013FA"/>
    <w:rsid w:val="00304BA1"/>
    <w:rsid w:val="00306423"/>
    <w:rsid w:val="00307613"/>
    <w:rsid w:val="003132EC"/>
    <w:rsid w:val="00313C37"/>
    <w:rsid w:val="003147E4"/>
    <w:rsid w:val="00314936"/>
    <w:rsid w:val="0031652B"/>
    <w:rsid w:val="00317B8C"/>
    <w:rsid w:val="003250E7"/>
    <w:rsid w:val="00327575"/>
    <w:rsid w:val="00327B89"/>
    <w:rsid w:val="0033217D"/>
    <w:rsid w:val="00332592"/>
    <w:rsid w:val="003326E0"/>
    <w:rsid w:val="00332BDA"/>
    <w:rsid w:val="003354A0"/>
    <w:rsid w:val="00336DC3"/>
    <w:rsid w:val="00340554"/>
    <w:rsid w:val="00341289"/>
    <w:rsid w:val="003415A2"/>
    <w:rsid w:val="00344AD3"/>
    <w:rsid w:val="00350710"/>
    <w:rsid w:val="003525D5"/>
    <w:rsid w:val="00352AD8"/>
    <w:rsid w:val="00353084"/>
    <w:rsid w:val="003554CC"/>
    <w:rsid w:val="00355B23"/>
    <w:rsid w:val="00357684"/>
    <w:rsid w:val="00357FD5"/>
    <w:rsid w:val="00360E04"/>
    <w:rsid w:val="00361821"/>
    <w:rsid w:val="00361A9D"/>
    <w:rsid w:val="003643C9"/>
    <w:rsid w:val="00364B85"/>
    <w:rsid w:val="003670E8"/>
    <w:rsid w:val="0037272D"/>
    <w:rsid w:val="003757A9"/>
    <w:rsid w:val="00375A83"/>
    <w:rsid w:val="00375F53"/>
    <w:rsid w:val="003762C2"/>
    <w:rsid w:val="00381632"/>
    <w:rsid w:val="00381B49"/>
    <w:rsid w:val="00383494"/>
    <w:rsid w:val="003847B8"/>
    <w:rsid w:val="003847B9"/>
    <w:rsid w:val="003A04B4"/>
    <w:rsid w:val="003A4936"/>
    <w:rsid w:val="003A4F44"/>
    <w:rsid w:val="003A57C7"/>
    <w:rsid w:val="003A6327"/>
    <w:rsid w:val="003A7258"/>
    <w:rsid w:val="003B01D4"/>
    <w:rsid w:val="003B0BF9"/>
    <w:rsid w:val="003B1229"/>
    <w:rsid w:val="003B2C11"/>
    <w:rsid w:val="003B3C25"/>
    <w:rsid w:val="003B4C6A"/>
    <w:rsid w:val="003B4D23"/>
    <w:rsid w:val="003C28AB"/>
    <w:rsid w:val="003C3332"/>
    <w:rsid w:val="003C3854"/>
    <w:rsid w:val="003C50B2"/>
    <w:rsid w:val="003C575C"/>
    <w:rsid w:val="003C69A4"/>
    <w:rsid w:val="003C752A"/>
    <w:rsid w:val="003C75B9"/>
    <w:rsid w:val="003D1A53"/>
    <w:rsid w:val="003D1E86"/>
    <w:rsid w:val="003D36AD"/>
    <w:rsid w:val="003D56D6"/>
    <w:rsid w:val="003D6B47"/>
    <w:rsid w:val="003D7172"/>
    <w:rsid w:val="003E05CD"/>
    <w:rsid w:val="003E1052"/>
    <w:rsid w:val="003E307D"/>
    <w:rsid w:val="003E3A52"/>
    <w:rsid w:val="003E4560"/>
    <w:rsid w:val="003E5211"/>
    <w:rsid w:val="003E7CA8"/>
    <w:rsid w:val="003F0BC6"/>
    <w:rsid w:val="003F0FBA"/>
    <w:rsid w:val="003F1E27"/>
    <w:rsid w:val="003F20C4"/>
    <w:rsid w:val="003F24AD"/>
    <w:rsid w:val="003F24D3"/>
    <w:rsid w:val="003F3102"/>
    <w:rsid w:val="003F3389"/>
    <w:rsid w:val="003F4DA1"/>
    <w:rsid w:val="003F5FEE"/>
    <w:rsid w:val="003F7301"/>
    <w:rsid w:val="00403E2E"/>
    <w:rsid w:val="00405BE2"/>
    <w:rsid w:val="004061BF"/>
    <w:rsid w:val="004062CC"/>
    <w:rsid w:val="00410508"/>
    <w:rsid w:val="00413256"/>
    <w:rsid w:val="004156B8"/>
    <w:rsid w:val="00415EFB"/>
    <w:rsid w:val="004170E1"/>
    <w:rsid w:val="00417292"/>
    <w:rsid w:val="00420802"/>
    <w:rsid w:val="004215DD"/>
    <w:rsid w:val="00422A48"/>
    <w:rsid w:val="00422A55"/>
    <w:rsid w:val="00423171"/>
    <w:rsid w:val="00423A7B"/>
    <w:rsid w:val="00426784"/>
    <w:rsid w:val="00427DA2"/>
    <w:rsid w:val="00430473"/>
    <w:rsid w:val="00434B86"/>
    <w:rsid w:val="00435686"/>
    <w:rsid w:val="0043729E"/>
    <w:rsid w:val="0043742D"/>
    <w:rsid w:val="00437435"/>
    <w:rsid w:val="00442AFD"/>
    <w:rsid w:val="00443C42"/>
    <w:rsid w:val="00445627"/>
    <w:rsid w:val="0045219D"/>
    <w:rsid w:val="004531AD"/>
    <w:rsid w:val="00453A57"/>
    <w:rsid w:val="00453D09"/>
    <w:rsid w:val="00455747"/>
    <w:rsid w:val="00456080"/>
    <w:rsid w:val="004578AD"/>
    <w:rsid w:val="00461290"/>
    <w:rsid w:val="00462FCE"/>
    <w:rsid w:val="004640B4"/>
    <w:rsid w:val="00464BE9"/>
    <w:rsid w:val="0046532A"/>
    <w:rsid w:val="004700A9"/>
    <w:rsid w:val="00471585"/>
    <w:rsid w:val="004732FC"/>
    <w:rsid w:val="00473BE3"/>
    <w:rsid w:val="00477656"/>
    <w:rsid w:val="004776E6"/>
    <w:rsid w:val="004812E6"/>
    <w:rsid w:val="0048196D"/>
    <w:rsid w:val="00484B74"/>
    <w:rsid w:val="0048523B"/>
    <w:rsid w:val="00485971"/>
    <w:rsid w:val="00485A38"/>
    <w:rsid w:val="0048718F"/>
    <w:rsid w:val="00487DED"/>
    <w:rsid w:val="004903C5"/>
    <w:rsid w:val="00490900"/>
    <w:rsid w:val="00494D76"/>
    <w:rsid w:val="004977C3"/>
    <w:rsid w:val="004A36EC"/>
    <w:rsid w:val="004A3FA8"/>
    <w:rsid w:val="004A54DD"/>
    <w:rsid w:val="004A67DD"/>
    <w:rsid w:val="004B02E4"/>
    <w:rsid w:val="004B2869"/>
    <w:rsid w:val="004B2C9C"/>
    <w:rsid w:val="004B4D3B"/>
    <w:rsid w:val="004B501A"/>
    <w:rsid w:val="004B67B7"/>
    <w:rsid w:val="004B6DE3"/>
    <w:rsid w:val="004C022A"/>
    <w:rsid w:val="004C0F67"/>
    <w:rsid w:val="004C1052"/>
    <w:rsid w:val="004C380F"/>
    <w:rsid w:val="004C410D"/>
    <w:rsid w:val="004C56CA"/>
    <w:rsid w:val="004C7A83"/>
    <w:rsid w:val="004D1BD9"/>
    <w:rsid w:val="004D26DD"/>
    <w:rsid w:val="004D3BCE"/>
    <w:rsid w:val="004D72AF"/>
    <w:rsid w:val="004E1D27"/>
    <w:rsid w:val="004E2287"/>
    <w:rsid w:val="004E2E2D"/>
    <w:rsid w:val="004E4B8F"/>
    <w:rsid w:val="004E51EC"/>
    <w:rsid w:val="004E5A04"/>
    <w:rsid w:val="004E7437"/>
    <w:rsid w:val="004F0D45"/>
    <w:rsid w:val="004F615A"/>
    <w:rsid w:val="004F7C78"/>
    <w:rsid w:val="00502BFB"/>
    <w:rsid w:val="005030B1"/>
    <w:rsid w:val="00503373"/>
    <w:rsid w:val="00503A52"/>
    <w:rsid w:val="00504821"/>
    <w:rsid w:val="00506157"/>
    <w:rsid w:val="005061B6"/>
    <w:rsid w:val="0051231C"/>
    <w:rsid w:val="00513D87"/>
    <w:rsid w:val="00516F3A"/>
    <w:rsid w:val="00520B86"/>
    <w:rsid w:val="00521929"/>
    <w:rsid w:val="00523374"/>
    <w:rsid w:val="005255F0"/>
    <w:rsid w:val="00526FB0"/>
    <w:rsid w:val="005274D9"/>
    <w:rsid w:val="00527573"/>
    <w:rsid w:val="005279BE"/>
    <w:rsid w:val="00530DE0"/>
    <w:rsid w:val="00531334"/>
    <w:rsid w:val="005315E6"/>
    <w:rsid w:val="005324FA"/>
    <w:rsid w:val="00533AB8"/>
    <w:rsid w:val="00535E59"/>
    <w:rsid w:val="0054043A"/>
    <w:rsid w:val="005416D2"/>
    <w:rsid w:val="00542FC7"/>
    <w:rsid w:val="00545616"/>
    <w:rsid w:val="00546025"/>
    <w:rsid w:val="00546312"/>
    <w:rsid w:val="005464AA"/>
    <w:rsid w:val="00546735"/>
    <w:rsid w:val="005474C8"/>
    <w:rsid w:val="005519AC"/>
    <w:rsid w:val="00552467"/>
    <w:rsid w:val="00553267"/>
    <w:rsid w:val="00553F4C"/>
    <w:rsid w:val="005549B8"/>
    <w:rsid w:val="00554EBD"/>
    <w:rsid w:val="00556333"/>
    <w:rsid w:val="00556E62"/>
    <w:rsid w:val="0055700C"/>
    <w:rsid w:val="005572FD"/>
    <w:rsid w:val="00561E29"/>
    <w:rsid w:val="0056212D"/>
    <w:rsid w:val="0056250B"/>
    <w:rsid w:val="005627AB"/>
    <w:rsid w:val="005653A9"/>
    <w:rsid w:val="00565AF2"/>
    <w:rsid w:val="00565F66"/>
    <w:rsid w:val="0056758F"/>
    <w:rsid w:val="0057038E"/>
    <w:rsid w:val="00570F55"/>
    <w:rsid w:val="00573130"/>
    <w:rsid w:val="00576132"/>
    <w:rsid w:val="00576F19"/>
    <w:rsid w:val="00577949"/>
    <w:rsid w:val="0058326D"/>
    <w:rsid w:val="0058341F"/>
    <w:rsid w:val="005846FD"/>
    <w:rsid w:val="005857A1"/>
    <w:rsid w:val="00587FAB"/>
    <w:rsid w:val="0059193B"/>
    <w:rsid w:val="00592405"/>
    <w:rsid w:val="005924E8"/>
    <w:rsid w:val="005927EC"/>
    <w:rsid w:val="00594F6E"/>
    <w:rsid w:val="005A0171"/>
    <w:rsid w:val="005A1029"/>
    <w:rsid w:val="005A1844"/>
    <w:rsid w:val="005A30EA"/>
    <w:rsid w:val="005A3292"/>
    <w:rsid w:val="005A5F49"/>
    <w:rsid w:val="005A633E"/>
    <w:rsid w:val="005B0270"/>
    <w:rsid w:val="005B1D36"/>
    <w:rsid w:val="005B3C06"/>
    <w:rsid w:val="005B47F8"/>
    <w:rsid w:val="005B500F"/>
    <w:rsid w:val="005B6C89"/>
    <w:rsid w:val="005C08EC"/>
    <w:rsid w:val="005C683F"/>
    <w:rsid w:val="005C6895"/>
    <w:rsid w:val="005C7C8B"/>
    <w:rsid w:val="005D6C7A"/>
    <w:rsid w:val="005D6D1F"/>
    <w:rsid w:val="005E188D"/>
    <w:rsid w:val="005E24F0"/>
    <w:rsid w:val="005E432D"/>
    <w:rsid w:val="005F0001"/>
    <w:rsid w:val="005F16C2"/>
    <w:rsid w:val="005F6F82"/>
    <w:rsid w:val="005F7584"/>
    <w:rsid w:val="006002E5"/>
    <w:rsid w:val="00601526"/>
    <w:rsid w:val="00601D3E"/>
    <w:rsid w:val="00603D73"/>
    <w:rsid w:val="0060436D"/>
    <w:rsid w:val="00605B3A"/>
    <w:rsid w:val="00605C72"/>
    <w:rsid w:val="006077BF"/>
    <w:rsid w:val="00610216"/>
    <w:rsid w:val="0061173F"/>
    <w:rsid w:val="00611E89"/>
    <w:rsid w:val="00612C8F"/>
    <w:rsid w:val="00613A5E"/>
    <w:rsid w:val="006154CA"/>
    <w:rsid w:val="00617B57"/>
    <w:rsid w:val="006213C6"/>
    <w:rsid w:val="00622643"/>
    <w:rsid w:val="00622B9F"/>
    <w:rsid w:val="00624D03"/>
    <w:rsid w:val="00626047"/>
    <w:rsid w:val="00631EE2"/>
    <w:rsid w:val="00633BF3"/>
    <w:rsid w:val="00634DBB"/>
    <w:rsid w:val="0063652F"/>
    <w:rsid w:val="0063667C"/>
    <w:rsid w:val="00637117"/>
    <w:rsid w:val="006371C5"/>
    <w:rsid w:val="006379C7"/>
    <w:rsid w:val="00640A3F"/>
    <w:rsid w:val="00640F58"/>
    <w:rsid w:val="00641F29"/>
    <w:rsid w:val="0064544A"/>
    <w:rsid w:val="0064579B"/>
    <w:rsid w:val="00645E67"/>
    <w:rsid w:val="006461D0"/>
    <w:rsid w:val="006479CA"/>
    <w:rsid w:val="00651BDB"/>
    <w:rsid w:val="00652038"/>
    <w:rsid w:val="00652EB2"/>
    <w:rsid w:val="00655F79"/>
    <w:rsid w:val="0065601E"/>
    <w:rsid w:val="00656C82"/>
    <w:rsid w:val="00657668"/>
    <w:rsid w:val="006607FF"/>
    <w:rsid w:val="0066137E"/>
    <w:rsid w:val="0066159F"/>
    <w:rsid w:val="00663897"/>
    <w:rsid w:val="0066472D"/>
    <w:rsid w:val="00664ABD"/>
    <w:rsid w:val="00664E65"/>
    <w:rsid w:val="00666390"/>
    <w:rsid w:val="0066779B"/>
    <w:rsid w:val="00671981"/>
    <w:rsid w:val="006771A4"/>
    <w:rsid w:val="006810D8"/>
    <w:rsid w:val="0068131A"/>
    <w:rsid w:val="00682D34"/>
    <w:rsid w:val="00685029"/>
    <w:rsid w:val="0068552D"/>
    <w:rsid w:val="00687036"/>
    <w:rsid w:val="00687740"/>
    <w:rsid w:val="00687E81"/>
    <w:rsid w:val="00690D8E"/>
    <w:rsid w:val="00693901"/>
    <w:rsid w:val="006973FA"/>
    <w:rsid w:val="006A3385"/>
    <w:rsid w:val="006A3F0B"/>
    <w:rsid w:val="006A56FD"/>
    <w:rsid w:val="006A63F7"/>
    <w:rsid w:val="006B06DB"/>
    <w:rsid w:val="006B13CC"/>
    <w:rsid w:val="006B1A32"/>
    <w:rsid w:val="006B229D"/>
    <w:rsid w:val="006B2FFC"/>
    <w:rsid w:val="006B4835"/>
    <w:rsid w:val="006B4ED2"/>
    <w:rsid w:val="006B5D7B"/>
    <w:rsid w:val="006B62A7"/>
    <w:rsid w:val="006B62F2"/>
    <w:rsid w:val="006B6D3A"/>
    <w:rsid w:val="006C466E"/>
    <w:rsid w:val="006C590B"/>
    <w:rsid w:val="006C6896"/>
    <w:rsid w:val="006C6E47"/>
    <w:rsid w:val="006C78FC"/>
    <w:rsid w:val="006D0BDC"/>
    <w:rsid w:val="006D4DF9"/>
    <w:rsid w:val="006D57C7"/>
    <w:rsid w:val="006D59B8"/>
    <w:rsid w:val="006D65E3"/>
    <w:rsid w:val="006E0A16"/>
    <w:rsid w:val="006E2336"/>
    <w:rsid w:val="006E3C24"/>
    <w:rsid w:val="006E5E40"/>
    <w:rsid w:val="006E62D7"/>
    <w:rsid w:val="006E6852"/>
    <w:rsid w:val="006F1352"/>
    <w:rsid w:val="006F1BFA"/>
    <w:rsid w:val="006F2000"/>
    <w:rsid w:val="006F2373"/>
    <w:rsid w:val="006F49DD"/>
    <w:rsid w:val="006F6FB4"/>
    <w:rsid w:val="006F728A"/>
    <w:rsid w:val="00700C8A"/>
    <w:rsid w:val="00700EEF"/>
    <w:rsid w:val="00703B36"/>
    <w:rsid w:val="00705952"/>
    <w:rsid w:val="00706716"/>
    <w:rsid w:val="00706ACC"/>
    <w:rsid w:val="00710E60"/>
    <w:rsid w:val="007112BE"/>
    <w:rsid w:val="0071428F"/>
    <w:rsid w:val="00717BC5"/>
    <w:rsid w:val="007213D4"/>
    <w:rsid w:val="00721FF8"/>
    <w:rsid w:val="007227CA"/>
    <w:rsid w:val="00722EA4"/>
    <w:rsid w:val="00723BFF"/>
    <w:rsid w:val="0072400E"/>
    <w:rsid w:val="00726562"/>
    <w:rsid w:val="00727CA2"/>
    <w:rsid w:val="00731EB7"/>
    <w:rsid w:val="00733029"/>
    <w:rsid w:val="007334B2"/>
    <w:rsid w:val="007334C8"/>
    <w:rsid w:val="00733560"/>
    <w:rsid w:val="0073470C"/>
    <w:rsid w:val="007367AC"/>
    <w:rsid w:val="00736A3B"/>
    <w:rsid w:val="00740984"/>
    <w:rsid w:val="0074161F"/>
    <w:rsid w:val="00741FEC"/>
    <w:rsid w:val="00742F78"/>
    <w:rsid w:val="00746018"/>
    <w:rsid w:val="00750AE3"/>
    <w:rsid w:val="00750CCE"/>
    <w:rsid w:val="00751868"/>
    <w:rsid w:val="00752275"/>
    <w:rsid w:val="00752FEF"/>
    <w:rsid w:val="007539FC"/>
    <w:rsid w:val="00754145"/>
    <w:rsid w:val="00756ADF"/>
    <w:rsid w:val="00756BC7"/>
    <w:rsid w:val="00756CAC"/>
    <w:rsid w:val="007575EF"/>
    <w:rsid w:val="00760699"/>
    <w:rsid w:val="007613CD"/>
    <w:rsid w:val="007626E6"/>
    <w:rsid w:val="007632E3"/>
    <w:rsid w:val="00763B03"/>
    <w:rsid w:val="007658FD"/>
    <w:rsid w:val="007662FB"/>
    <w:rsid w:val="00766FCD"/>
    <w:rsid w:val="00767533"/>
    <w:rsid w:val="007712B0"/>
    <w:rsid w:val="007719B7"/>
    <w:rsid w:val="00774D1B"/>
    <w:rsid w:val="007760E2"/>
    <w:rsid w:val="00780AEB"/>
    <w:rsid w:val="00781138"/>
    <w:rsid w:val="00783616"/>
    <w:rsid w:val="007845FC"/>
    <w:rsid w:val="0078549A"/>
    <w:rsid w:val="00787EB6"/>
    <w:rsid w:val="00790156"/>
    <w:rsid w:val="0079175D"/>
    <w:rsid w:val="007922CC"/>
    <w:rsid w:val="007929AE"/>
    <w:rsid w:val="00792CA8"/>
    <w:rsid w:val="0079470C"/>
    <w:rsid w:val="007965C4"/>
    <w:rsid w:val="007A38A9"/>
    <w:rsid w:val="007A4F90"/>
    <w:rsid w:val="007A66B7"/>
    <w:rsid w:val="007B07E9"/>
    <w:rsid w:val="007B0DFC"/>
    <w:rsid w:val="007B282F"/>
    <w:rsid w:val="007B2CE5"/>
    <w:rsid w:val="007B4597"/>
    <w:rsid w:val="007B5D31"/>
    <w:rsid w:val="007B66F6"/>
    <w:rsid w:val="007C0FFA"/>
    <w:rsid w:val="007C186F"/>
    <w:rsid w:val="007C21AD"/>
    <w:rsid w:val="007C23B8"/>
    <w:rsid w:val="007C4046"/>
    <w:rsid w:val="007C4282"/>
    <w:rsid w:val="007C43B0"/>
    <w:rsid w:val="007C4E1F"/>
    <w:rsid w:val="007C60C6"/>
    <w:rsid w:val="007D0DEF"/>
    <w:rsid w:val="007D1BBE"/>
    <w:rsid w:val="007D3A77"/>
    <w:rsid w:val="007D46D9"/>
    <w:rsid w:val="007E2A04"/>
    <w:rsid w:val="007E37F1"/>
    <w:rsid w:val="007E5A0D"/>
    <w:rsid w:val="007E5B50"/>
    <w:rsid w:val="007E5C76"/>
    <w:rsid w:val="007F0C6B"/>
    <w:rsid w:val="007F11A7"/>
    <w:rsid w:val="007F1FEB"/>
    <w:rsid w:val="007F5855"/>
    <w:rsid w:val="007F6C8A"/>
    <w:rsid w:val="007F6F32"/>
    <w:rsid w:val="00801408"/>
    <w:rsid w:val="00802646"/>
    <w:rsid w:val="00804D9F"/>
    <w:rsid w:val="00805529"/>
    <w:rsid w:val="008071D5"/>
    <w:rsid w:val="00810726"/>
    <w:rsid w:val="0081511B"/>
    <w:rsid w:val="0081743A"/>
    <w:rsid w:val="00820954"/>
    <w:rsid w:val="00821927"/>
    <w:rsid w:val="00821948"/>
    <w:rsid w:val="00822406"/>
    <w:rsid w:val="00824785"/>
    <w:rsid w:val="00824D92"/>
    <w:rsid w:val="008263F2"/>
    <w:rsid w:val="00826893"/>
    <w:rsid w:val="00827816"/>
    <w:rsid w:val="0083172F"/>
    <w:rsid w:val="00834E6B"/>
    <w:rsid w:val="008355D2"/>
    <w:rsid w:val="008367BE"/>
    <w:rsid w:val="008370E0"/>
    <w:rsid w:val="00837538"/>
    <w:rsid w:val="00840210"/>
    <w:rsid w:val="0084026C"/>
    <w:rsid w:val="00840B77"/>
    <w:rsid w:val="008419FD"/>
    <w:rsid w:val="00841F6A"/>
    <w:rsid w:val="008421F3"/>
    <w:rsid w:val="00842245"/>
    <w:rsid w:val="0084341D"/>
    <w:rsid w:val="00845317"/>
    <w:rsid w:val="00846519"/>
    <w:rsid w:val="00847A56"/>
    <w:rsid w:val="00850BA0"/>
    <w:rsid w:val="00853789"/>
    <w:rsid w:val="00854822"/>
    <w:rsid w:val="00854F81"/>
    <w:rsid w:val="0085562A"/>
    <w:rsid w:val="00857A35"/>
    <w:rsid w:val="00857A55"/>
    <w:rsid w:val="00857B73"/>
    <w:rsid w:val="0086015C"/>
    <w:rsid w:val="00863B98"/>
    <w:rsid w:val="00870E2B"/>
    <w:rsid w:val="008719CB"/>
    <w:rsid w:val="00871E36"/>
    <w:rsid w:val="0087249C"/>
    <w:rsid w:val="0087369B"/>
    <w:rsid w:val="00873FF2"/>
    <w:rsid w:val="00876FDD"/>
    <w:rsid w:val="00877791"/>
    <w:rsid w:val="00885432"/>
    <w:rsid w:val="00885EE0"/>
    <w:rsid w:val="00886937"/>
    <w:rsid w:val="00886C4F"/>
    <w:rsid w:val="00892286"/>
    <w:rsid w:val="00892684"/>
    <w:rsid w:val="008937B5"/>
    <w:rsid w:val="008947F8"/>
    <w:rsid w:val="008A0409"/>
    <w:rsid w:val="008A117B"/>
    <w:rsid w:val="008A25A3"/>
    <w:rsid w:val="008A63CC"/>
    <w:rsid w:val="008A7864"/>
    <w:rsid w:val="008B019A"/>
    <w:rsid w:val="008B0BDE"/>
    <w:rsid w:val="008B17FB"/>
    <w:rsid w:val="008B2230"/>
    <w:rsid w:val="008B4372"/>
    <w:rsid w:val="008B629F"/>
    <w:rsid w:val="008B7084"/>
    <w:rsid w:val="008C05BD"/>
    <w:rsid w:val="008C3312"/>
    <w:rsid w:val="008C42B4"/>
    <w:rsid w:val="008C485C"/>
    <w:rsid w:val="008D1D78"/>
    <w:rsid w:val="008D2969"/>
    <w:rsid w:val="008D3DA4"/>
    <w:rsid w:val="008D3EE8"/>
    <w:rsid w:val="008D4009"/>
    <w:rsid w:val="008D49EA"/>
    <w:rsid w:val="008D68B2"/>
    <w:rsid w:val="008D7CC1"/>
    <w:rsid w:val="008E2B17"/>
    <w:rsid w:val="008E3868"/>
    <w:rsid w:val="008E4889"/>
    <w:rsid w:val="008E4AAA"/>
    <w:rsid w:val="008E64F0"/>
    <w:rsid w:val="008F0DA9"/>
    <w:rsid w:val="008F1FF7"/>
    <w:rsid w:val="008F2081"/>
    <w:rsid w:val="008F4C57"/>
    <w:rsid w:val="008F51F6"/>
    <w:rsid w:val="008F5413"/>
    <w:rsid w:val="008F6651"/>
    <w:rsid w:val="008F7B36"/>
    <w:rsid w:val="00900A99"/>
    <w:rsid w:val="00901471"/>
    <w:rsid w:val="009034BB"/>
    <w:rsid w:val="00903B78"/>
    <w:rsid w:val="00905177"/>
    <w:rsid w:val="00906948"/>
    <w:rsid w:val="00911027"/>
    <w:rsid w:val="0091113E"/>
    <w:rsid w:val="0091119B"/>
    <w:rsid w:val="00911FAB"/>
    <w:rsid w:val="009125CA"/>
    <w:rsid w:val="009137D2"/>
    <w:rsid w:val="00914041"/>
    <w:rsid w:val="00916707"/>
    <w:rsid w:val="00917177"/>
    <w:rsid w:val="00917213"/>
    <w:rsid w:val="009179D6"/>
    <w:rsid w:val="00921DB5"/>
    <w:rsid w:val="00922045"/>
    <w:rsid w:val="0092263E"/>
    <w:rsid w:val="009228E7"/>
    <w:rsid w:val="009230A8"/>
    <w:rsid w:val="00925084"/>
    <w:rsid w:val="009252FD"/>
    <w:rsid w:val="00927065"/>
    <w:rsid w:val="00933228"/>
    <w:rsid w:val="00934C39"/>
    <w:rsid w:val="009368FB"/>
    <w:rsid w:val="00940CEA"/>
    <w:rsid w:val="00941DB9"/>
    <w:rsid w:val="009428FB"/>
    <w:rsid w:val="0094334C"/>
    <w:rsid w:val="009440F8"/>
    <w:rsid w:val="009450EC"/>
    <w:rsid w:val="0094511A"/>
    <w:rsid w:val="0094674B"/>
    <w:rsid w:val="009476D3"/>
    <w:rsid w:val="0094780D"/>
    <w:rsid w:val="00951AB8"/>
    <w:rsid w:val="00951E08"/>
    <w:rsid w:val="00952572"/>
    <w:rsid w:val="00952E4E"/>
    <w:rsid w:val="00954E93"/>
    <w:rsid w:val="00957A10"/>
    <w:rsid w:val="00960298"/>
    <w:rsid w:val="009617EB"/>
    <w:rsid w:val="0096262A"/>
    <w:rsid w:val="00963690"/>
    <w:rsid w:val="00964667"/>
    <w:rsid w:val="00965737"/>
    <w:rsid w:val="009658B5"/>
    <w:rsid w:val="00966063"/>
    <w:rsid w:val="00966B34"/>
    <w:rsid w:val="00967809"/>
    <w:rsid w:val="00970F53"/>
    <w:rsid w:val="00971B44"/>
    <w:rsid w:val="00972000"/>
    <w:rsid w:val="00973974"/>
    <w:rsid w:val="00975472"/>
    <w:rsid w:val="00980E44"/>
    <w:rsid w:val="00982150"/>
    <w:rsid w:val="009927C2"/>
    <w:rsid w:val="009929D4"/>
    <w:rsid w:val="009959CA"/>
    <w:rsid w:val="00996312"/>
    <w:rsid w:val="00996CAC"/>
    <w:rsid w:val="009979A7"/>
    <w:rsid w:val="009A180C"/>
    <w:rsid w:val="009A1EFD"/>
    <w:rsid w:val="009A2813"/>
    <w:rsid w:val="009A2DCB"/>
    <w:rsid w:val="009A2E31"/>
    <w:rsid w:val="009A38FD"/>
    <w:rsid w:val="009A71AA"/>
    <w:rsid w:val="009A7B67"/>
    <w:rsid w:val="009B064C"/>
    <w:rsid w:val="009B1CB9"/>
    <w:rsid w:val="009B6667"/>
    <w:rsid w:val="009C1B3E"/>
    <w:rsid w:val="009C2240"/>
    <w:rsid w:val="009C6BF2"/>
    <w:rsid w:val="009D0069"/>
    <w:rsid w:val="009D186B"/>
    <w:rsid w:val="009D1D5D"/>
    <w:rsid w:val="009D2161"/>
    <w:rsid w:val="009D2C46"/>
    <w:rsid w:val="009D7644"/>
    <w:rsid w:val="009D7985"/>
    <w:rsid w:val="009D7DF8"/>
    <w:rsid w:val="009E1A25"/>
    <w:rsid w:val="009E305E"/>
    <w:rsid w:val="009E3F82"/>
    <w:rsid w:val="009E45C0"/>
    <w:rsid w:val="009F29D4"/>
    <w:rsid w:val="009F3514"/>
    <w:rsid w:val="009F3A00"/>
    <w:rsid w:val="009F45DA"/>
    <w:rsid w:val="009F46D1"/>
    <w:rsid w:val="009F4969"/>
    <w:rsid w:val="009F65C0"/>
    <w:rsid w:val="009F719E"/>
    <w:rsid w:val="009F7619"/>
    <w:rsid w:val="009F7990"/>
    <w:rsid w:val="009F7A41"/>
    <w:rsid w:val="00A00324"/>
    <w:rsid w:val="00A01BE6"/>
    <w:rsid w:val="00A029EC"/>
    <w:rsid w:val="00A02E12"/>
    <w:rsid w:val="00A031F7"/>
    <w:rsid w:val="00A036A2"/>
    <w:rsid w:val="00A04983"/>
    <w:rsid w:val="00A0598D"/>
    <w:rsid w:val="00A05992"/>
    <w:rsid w:val="00A05C5E"/>
    <w:rsid w:val="00A060B4"/>
    <w:rsid w:val="00A0753F"/>
    <w:rsid w:val="00A078E1"/>
    <w:rsid w:val="00A10FFD"/>
    <w:rsid w:val="00A11347"/>
    <w:rsid w:val="00A11818"/>
    <w:rsid w:val="00A14591"/>
    <w:rsid w:val="00A15C02"/>
    <w:rsid w:val="00A22E93"/>
    <w:rsid w:val="00A24258"/>
    <w:rsid w:val="00A25D91"/>
    <w:rsid w:val="00A30DE3"/>
    <w:rsid w:val="00A31DAA"/>
    <w:rsid w:val="00A32408"/>
    <w:rsid w:val="00A324D9"/>
    <w:rsid w:val="00A34003"/>
    <w:rsid w:val="00A35DA3"/>
    <w:rsid w:val="00A36552"/>
    <w:rsid w:val="00A41005"/>
    <w:rsid w:val="00A41DEF"/>
    <w:rsid w:val="00A42858"/>
    <w:rsid w:val="00A46476"/>
    <w:rsid w:val="00A46ABB"/>
    <w:rsid w:val="00A46D13"/>
    <w:rsid w:val="00A47AB3"/>
    <w:rsid w:val="00A51559"/>
    <w:rsid w:val="00A520A8"/>
    <w:rsid w:val="00A55AAA"/>
    <w:rsid w:val="00A5741A"/>
    <w:rsid w:val="00A60427"/>
    <w:rsid w:val="00A62BE9"/>
    <w:rsid w:val="00A63C00"/>
    <w:rsid w:val="00A6486B"/>
    <w:rsid w:val="00A64947"/>
    <w:rsid w:val="00A64ABC"/>
    <w:rsid w:val="00A65B3D"/>
    <w:rsid w:val="00A66451"/>
    <w:rsid w:val="00A6739C"/>
    <w:rsid w:val="00A71AF4"/>
    <w:rsid w:val="00A72744"/>
    <w:rsid w:val="00A72AC2"/>
    <w:rsid w:val="00A72AC5"/>
    <w:rsid w:val="00A72B5C"/>
    <w:rsid w:val="00A730BB"/>
    <w:rsid w:val="00A73BA9"/>
    <w:rsid w:val="00A76791"/>
    <w:rsid w:val="00A77684"/>
    <w:rsid w:val="00A7768C"/>
    <w:rsid w:val="00A77BFF"/>
    <w:rsid w:val="00A85038"/>
    <w:rsid w:val="00A866D7"/>
    <w:rsid w:val="00A86746"/>
    <w:rsid w:val="00A86B87"/>
    <w:rsid w:val="00A86BBA"/>
    <w:rsid w:val="00A86EF7"/>
    <w:rsid w:val="00A9001C"/>
    <w:rsid w:val="00A9051B"/>
    <w:rsid w:val="00A908F3"/>
    <w:rsid w:val="00A91DC1"/>
    <w:rsid w:val="00A9402E"/>
    <w:rsid w:val="00A96858"/>
    <w:rsid w:val="00A96DC7"/>
    <w:rsid w:val="00A97983"/>
    <w:rsid w:val="00AA79D8"/>
    <w:rsid w:val="00AB075E"/>
    <w:rsid w:val="00AB1174"/>
    <w:rsid w:val="00AB1658"/>
    <w:rsid w:val="00AB2E3D"/>
    <w:rsid w:val="00AC0CD7"/>
    <w:rsid w:val="00AC1F08"/>
    <w:rsid w:val="00AC2425"/>
    <w:rsid w:val="00AC61E9"/>
    <w:rsid w:val="00AD0927"/>
    <w:rsid w:val="00AD220F"/>
    <w:rsid w:val="00AD40C4"/>
    <w:rsid w:val="00AD4D69"/>
    <w:rsid w:val="00AD51A8"/>
    <w:rsid w:val="00AD74A8"/>
    <w:rsid w:val="00AE03E0"/>
    <w:rsid w:val="00AE2044"/>
    <w:rsid w:val="00AE550C"/>
    <w:rsid w:val="00AE7172"/>
    <w:rsid w:val="00AE73B8"/>
    <w:rsid w:val="00AF048E"/>
    <w:rsid w:val="00AF1108"/>
    <w:rsid w:val="00AF45B0"/>
    <w:rsid w:val="00AF5B54"/>
    <w:rsid w:val="00AF6FD2"/>
    <w:rsid w:val="00B00D38"/>
    <w:rsid w:val="00B027E8"/>
    <w:rsid w:val="00B03244"/>
    <w:rsid w:val="00B05C37"/>
    <w:rsid w:val="00B062A2"/>
    <w:rsid w:val="00B10079"/>
    <w:rsid w:val="00B13218"/>
    <w:rsid w:val="00B210F0"/>
    <w:rsid w:val="00B217B4"/>
    <w:rsid w:val="00B24666"/>
    <w:rsid w:val="00B2560F"/>
    <w:rsid w:val="00B2594D"/>
    <w:rsid w:val="00B27884"/>
    <w:rsid w:val="00B27DF6"/>
    <w:rsid w:val="00B27F33"/>
    <w:rsid w:val="00B30815"/>
    <w:rsid w:val="00B30DD7"/>
    <w:rsid w:val="00B314CC"/>
    <w:rsid w:val="00B334EC"/>
    <w:rsid w:val="00B33E91"/>
    <w:rsid w:val="00B3411F"/>
    <w:rsid w:val="00B37C98"/>
    <w:rsid w:val="00B40093"/>
    <w:rsid w:val="00B43CCA"/>
    <w:rsid w:val="00B44597"/>
    <w:rsid w:val="00B46538"/>
    <w:rsid w:val="00B465AB"/>
    <w:rsid w:val="00B475AD"/>
    <w:rsid w:val="00B509A4"/>
    <w:rsid w:val="00B52E86"/>
    <w:rsid w:val="00B53559"/>
    <w:rsid w:val="00B567B7"/>
    <w:rsid w:val="00B62A21"/>
    <w:rsid w:val="00B63597"/>
    <w:rsid w:val="00B641CD"/>
    <w:rsid w:val="00B64660"/>
    <w:rsid w:val="00B64FBF"/>
    <w:rsid w:val="00B67031"/>
    <w:rsid w:val="00B679BE"/>
    <w:rsid w:val="00B70144"/>
    <w:rsid w:val="00B70956"/>
    <w:rsid w:val="00B71105"/>
    <w:rsid w:val="00B717B7"/>
    <w:rsid w:val="00B7185B"/>
    <w:rsid w:val="00B73ACE"/>
    <w:rsid w:val="00B74D4B"/>
    <w:rsid w:val="00B75C94"/>
    <w:rsid w:val="00B771ED"/>
    <w:rsid w:val="00B82BB6"/>
    <w:rsid w:val="00B82F22"/>
    <w:rsid w:val="00B90A89"/>
    <w:rsid w:val="00B90BC9"/>
    <w:rsid w:val="00B91CC2"/>
    <w:rsid w:val="00B944FB"/>
    <w:rsid w:val="00B946F3"/>
    <w:rsid w:val="00B955EC"/>
    <w:rsid w:val="00B961E8"/>
    <w:rsid w:val="00B969F7"/>
    <w:rsid w:val="00BA0582"/>
    <w:rsid w:val="00BA0BF9"/>
    <w:rsid w:val="00BA151F"/>
    <w:rsid w:val="00BA356F"/>
    <w:rsid w:val="00BA5F8A"/>
    <w:rsid w:val="00BA60B6"/>
    <w:rsid w:val="00BA707B"/>
    <w:rsid w:val="00BA7377"/>
    <w:rsid w:val="00BB0700"/>
    <w:rsid w:val="00BB4988"/>
    <w:rsid w:val="00BB56FC"/>
    <w:rsid w:val="00BB7CEE"/>
    <w:rsid w:val="00BC1129"/>
    <w:rsid w:val="00BC33A6"/>
    <w:rsid w:val="00BC36B3"/>
    <w:rsid w:val="00BC43C0"/>
    <w:rsid w:val="00BC5A44"/>
    <w:rsid w:val="00BD241E"/>
    <w:rsid w:val="00BD3355"/>
    <w:rsid w:val="00BD3A50"/>
    <w:rsid w:val="00BD4436"/>
    <w:rsid w:val="00BD44E8"/>
    <w:rsid w:val="00BD543C"/>
    <w:rsid w:val="00BD6C14"/>
    <w:rsid w:val="00BD7715"/>
    <w:rsid w:val="00BE06C6"/>
    <w:rsid w:val="00BE0720"/>
    <w:rsid w:val="00BE0EAC"/>
    <w:rsid w:val="00BE2DE5"/>
    <w:rsid w:val="00BE4FD3"/>
    <w:rsid w:val="00BE5CDB"/>
    <w:rsid w:val="00BE5D7F"/>
    <w:rsid w:val="00BE61DA"/>
    <w:rsid w:val="00BE6757"/>
    <w:rsid w:val="00BF0EE6"/>
    <w:rsid w:val="00BF2145"/>
    <w:rsid w:val="00BF3F52"/>
    <w:rsid w:val="00BF41B1"/>
    <w:rsid w:val="00C0105B"/>
    <w:rsid w:val="00C0325A"/>
    <w:rsid w:val="00C073F7"/>
    <w:rsid w:val="00C10951"/>
    <w:rsid w:val="00C120C7"/>
    <w:rsid w:val="00C12D57"/>
    <w:rsid w:val="00C1529F"/>
    <w:rsid w:val="00C15432"/>
    <w:rsid w:val="00C157E8"/>
    <w:rsid w:val="00C16295"/>
    <w:rsid w:val="00C1728B"/>
    <w:rsid w:val="00C200A6"/>
    <w:rsid w:val="00C20794"/>
    <w:rsid w:val="00C20DA0"/>
    <w:rsid w:val="00C22574"/>
    <w:rsid w:val="00C238D6"/>
    <w:rsid w:val="00C24427"/>
    <w:rsid w:val="00C248D8"/>
    <w:rsid w:val="00C251F3"/>
    <w:rsid w:val="00C27B1F"/>
    <w:rsid w:val="00C3075C"/>
    <w:rsid w:val="00C317DD"/>
    <w:rsid w:val="00C323EF"/>
    <w:rsid w:val="00C33E96"/>
    <w:rsid w:val="00C340A4"/>
    <w:rsid w:val="00C34623"/>
    <w:rsid w:val="00C34D9C"/>
    <w:rsid w:val="00C3697F"/>
    <w:rsid w:val="00C43C73"/>
    <w:rsid w:val="00C45317"/>
    <w:rsid w:val="00C473CC"/>
    <w:rsid w:val="00C54200"/>
    <w:rsid w:val="00C5734F"/>
    <w:rsid w:val="00C631AC"/>
    <w:rsid w:val="00C6567C"/>
    <w:rsid w:val="00C65E4B"/>
    <w:rsid w:val="00C66F01"/>
    <w:rsid w:val="00C67050"/>
    <w:rsid w:val="00C671EB"/>
    <w:rsid w:val="00C678F1"/>
    <w:rsid w:val="00C72C22"/>
    <w:rsid w:val="00C72FF4"/>
    <w:rsid w:val="00C737CA"/>
    <w:rsid w:val="00C77A2E"/>
    <w:rsid w:val="00C77C75"/>
    <w:rsid w:val="00C80A67"/>
    <w:rsid w:val="00C80A8C"/>
    <w:rsid w:val="00C80E9D"/>
    <w:rsid w:val="00C83DFC"/>
    <w:rsid w:val="00C83E55"/>
    <w:rsid w:val="00C84562"/>
    <w:rsid w:val="00C85D9A"/>
    <w:rsid w:val="00C865FC"/>
    <w:rsid w:val="00C86690"/>
    <w:rsid w:val="00C87683"/>
    <w:rsid w:val="00C92592"/>
    <w:rsid w:val="00C9465A"/>
    <w:rsid w:val="00C94BAA"/>
    <w:rsid w:val="00C94DD6"/>
    <w:rsid w:val="00C970D7"/>
    <w:rsid w:val="00CA22E2"/>
    <w:rsid w:val="00CA388D"/>
    <w:rsid w:val="00CA64BF"/>
    <w:rsid w:val="00CA7918"/>
    <w:rsid w:val="00CA7E68"/>
    <w:rsid w:val="00CA7E96"/>
    <w:rsid w:val="00CB0F75"/>
    <w:rsid w:val="00CB3FFE"/>
    <w:rsid w:val="00CB50A8"/>
    <w:rsid w:val="00CB5D47"/>
    <w:rsid w:val="00CB5ECE"/>
    <w:rsid w:val="00CB6A6E"/>
    <w:rsid w:val="00CB6C92"/>
    <w:rsid w:val="00CB6D82"/>
    <w:rsid w:val="00CB7ED6"/>
    <w:rsid w:val="00CC37C1"/>
    <w:rsid w:val="00CC6E8E"/>
    <w:rsid w:val="00CC7923"/>
    <w:rsid w:val="00CD1A3E"/>
    <w:rsid w:val="00CD2376"/>
    <w:rsid w:val="00CD310E"/>
    <w:rsid w:val="00CD41F3"/>
    <w:rsid w:val="00CD5538"/>
    <w:rsid w:val="00CD7578"/>
    <w:rsid w:val="00CE22B1"/>
    <w:rsid w:val="00CE3E5B"/>
    <w:rsid w:val="00CE4587"/>
    <w:rsid w:val="00CE535A"/>
    <w:rsid w:val="00CF0466"/>
    <w:rsid w:val="00CF07DD"/>
    <w:rsid w:val="00CF0A1D"/>
    <w:rsid w:val="00CF170E"/>
    <w:rsid w:val="00CF31BB"/>
    <w:rsid w:val="00CF3297"/>
    <w:rsid w:val="00CF3733"/>
    <w:rsid w:val="00CF44F0"/>
    <w:rsid w:val="00CF53DA"/>
    <w:rsid w:val="00CF5E23"/>
    <w:rsid w:val="00D01EC6"/>
    <w:rsid w:val="00D02269"/>
    <w:rsid w:val="00D02E98"/>
    <w:rsid w:val="00D02F27"/>
    <w:rsid w:val="00D047EE"/>
    <w:rsid w:val="00D07E3E"/>
    <w:rsid w:val="00D10569"/>
    <w:rsid w:val="00D11FDC"/>
    <w:rsid w:val="00D1203D"/>
    <w:rsid w:val="00D12359"/>
    <w:rsid w:val="00D136DA"/>
    <w:rsid w:val="00D13AE2"/>
    <w:rsid w:val="00D1446B"/>
    <w:rsid w:val="00D14C72"/>
    <w:rsid w:val="00D20774"/>
    <w:rsid w:val="00D21910"/>
    <w:rsid w:val="00D2342E"/>
    <w:rsid w:val="00D24A6F"/>
    <w:rsid w:val="00D33395"/>
    <w:rsid w:val="00D335FB"/>
    <w:rsid w:val="00D3426A"/>
    <w:rsid w:val="00D34C49"/>
    <w:rsid w:val="00D35384"/>
    <w:rsid w:val="00D35F07"/>
    <w:rsid w:val="00D3787E"/>
    <w:rsid w:val="00D37C71"/>
    <w:rsid w:val="00D41489"/>
    <w:rsid w:val="00D44A37"/>
    <w:rsid w:val="00D44ADC"/>
    <w:rsid w:val="00D44FEC"/>
    <w:rsid w:val="00D45D69"/>
    <w:rsid w:val="00D46040"/>
    <w:rsid w:val="00D463CF"/>
    <w:rsid w:val="00D50E2F"/>
    <w:rsid w:val="00D52E2E"/>
    <w:rsid w:val="00D54D60"/>
    <w:rsid w:val="00D55476"/>
    <w:rsid w:val="00D56153"/>
    <w:rsid w:val="00D574F2"/>
    <w:rsid w:val="00D60590"/>
    <w:rsid w:val="00D61765"/>
    <w:rsid w:val="00D618FC"/>
    <w:rsid w:val="00D628E3"/>
    <w:rsid w:val="00D641C5"/>
    <w:rsid w:val="00D6462F"/>
    <w:rsid w:val="00D64B72"/>
    <w:rsid w:val="00D738F8"/>
    <w:rsid w:val="00D74206"/>
    <w:rsid w:val="00D743C3"/>
    <w:rsid w:val="00D756B1"/>
    <w:rsid w:val="00D756F9"/>
    <w:rsid w:val="00D7598E"/>
    <w:rsid w:val="00D81C77"/>
    <w:rsid w:val="00D84E38"/>
    <w:rsid w:val="00D85EA8"/>
    <w:rsid w:val="00D87844"/>
    <w:rsid w:val="00D87C8B"/>
    <w:rsid w:val="00D90552"/>
    <w:rsid w:val="00D94CD8"/>
    <w:rsid w:val="00D94FDF"/>
    <w:rsid w:val="00D96472"/>
    <w:rsid w:val="00D97990"/>
    <w:rsid w:val="00D97DF9"/>
    <w:rsid w:val="00D97FBC"/>
    <w:rsid w:val="00DA0633"/>
    <w:rsid w:val="00DA31E9"/>
    <w:rsid w:val="00DA5A75"/>
    <w:rsid w:val="00DA6A25"/>
    <w:rsid w:val="00DB2054"/>
    <w:rsid w:val="00DB3143"/>
    <w:rsid w:val="00DB41D1"/>
    <w:rsid w:val="00DB4CE4"/>
    <w:rsid w:val="00DB7BDA"/>
    <w:rsid w:val="00DB7D72"/>
    <w:rsid w:val="00DB7EA6"/>
    <w:rsid w:val="00DD46F8"/>
    <w:rsid w:val="00DD4E3E"/>
    <w:rsid w:val="00DD52A1"/>
    <w:rsid w:val="00DD57D4"/>
    <w:rsid w:val="00DD75FC"/>
    <w:rsid w:val="00DE028F"/>
    <w:rsid w:val="00DE0F91"/>
    <w:rsid w:val="00DE1189"/>
    <w:rsid w:val="00DE2BF4"/>
    <w:rsid w:val="00DE3C52"/>
    <w:rsid w:val="00DE5866"/>
    <w:rsid w:val="00E01572"/>
    <w:rsid w:val="00E022AA"/>
    <w:rsid w:val="00E03E9B"/>
    <w:rsid w:val="00E03ED0"/>
    <w:rsid w:val="00E05C94"/>
    <w:rsid w:val="00E100AC"/>
    <w:rsid w:val="00E10A1A"/>
    <w:rsid w:val="00E1455B"/>
    <w:rsid w:val="00E15D2C"/>
    <w:rsid w:val="00E1730C"/>
    <w:rsid w:val="00E17BB7"/>
    <w:rsid w:val="00E21A8F"/>
    <w:rsid w:val="00E21D36"/>
    <w:rsid w:val="00E21DBF"/>
    <w:rsid w:val="00E26BE6"/>
    <w:rsid w:val="00E30228"/>
    <w:rsid w:val="00E3181D"/>
    <w:rsid w:val="00E33BDC"/>
    <w:rsid w:val="00E34DA8"/>
    <w:rsid w:val="00E34EE4"/>
    <w:rsid w:val="00E36E98"/>
    <w:rsid w:val="00E37CB8"/>
    <w:rsid w:val="00E37DE0"/>
    <w:rsid w:val="00E4082B"/>
    <w:rsid w:val="00E40BB1"/>
    <w:rsid w:val="00E42000"/>
    <w:rsid w:val="00E42EA9"/>
    <w:rsid w:val="00E43076"/>
    <w:rsid w:val="00E466BB"/>
    <w:rsid w:val="00E50113"/>
    <w:rsid w:val="00E50942"/>
    <w:rsid w:val="00E50AEE"/>
    <w:rsid w:val="00E5342F"/>
    <w:rsid w:val="00E54AB4"/>
    <w:rsid w:val="00E569BC"/>
    <w:rsid w:val="00E57B62"/>
    <w:rsid w:val="00E6392A"/>
    <w:rsid w:val="00E63BD6"/>
    <w:rsid w:val="00E644E4"/>
    <w:rsid w:val="00E6745D"/>
    <w:rsid w:val="00E675EF"/>
    <w:rsid w:val="00E7000B"/>
    <w:rsid w:val="00E702C1"/>
    <w:rsid w:val="00E731A7"/>
    <w:rsid w:val="00E731C4"/>
    <w:rsid w:val="00E7381F"/>
    <w:rsid w:val="00E75D67"/>
    <w:rsid w:val="00E83BD5"/>
    <w:rsid w:val="00E8410C"/>
    <w:rsid w:val="00E847EA"/>
    <w:rsid w:val="00E848B0"/>
    <w:rsid w:val="00E85D4E"/>
    <w:rsid w:val="00E86611"/>
    <w:rsid w:val="00E86C47"/>
    <w:rsid w:val="00E87FC3"/>
    <w:rsid w:val="00E91D48"/>
    <w:rsid w:val="00E9327D"/>
    <w:rsid w:val="00E9404C"/>
    <w:rsid w:val="00E967CB"/>
    <w:rsid w:val="00EA1029"/>
    <w:rsid w:val="00EA1CB7"/>
    <w:rsid w:val="00EA2634"/>
    <w:rsid w:val="00EA3165"/>
    <w:rsid w:val="00EA3D09"/>
    <w:rsid w:val="00EA4A46"/>
    <w:rsid w:val="00EA5C12"/>
    <w:rsid w:val="00EA5F63"/>
    <w:rsid w:val="00EA64C6"/>
    <w:rsid w:val="00EB0442"/>
    <w:rsid w:val="00EB1254"/>
    <w:rsid w:val="00EB3F6A"/>
    <w:rsid w:val="00EB5BB3"/>
    <w:rsid w:val="00EB6965"/>
    <w:rsid w:val="00EB7624"/>
    <w:rsid w:val="00EC1E2B"/>
    <w:rsid w:val="00EC2253"/>
    <w:rsid w:val="00EC3A3D"/>
    <w:rsid w:val="00EC3BBD"/>
    <w:rsid w:val="00EC4FA8"/>
    <w:rsid w:val="00ED0E09"/>
    <w:rsid w:val="00ED2F8E"/>
    <w:rsid w:val="00ED6EA3"/>
    <w:rsid w:val="00EE1DEC"/>
    <w:rsid w:val="00EE25C4"/>
    <w:rsid w:val="00EE2DC5"/>
    <w:rsid w:val="00EE379D"/>
    <w:rsid w:val="00EE4078"/>
    <w:rsid w:val="00EE4459"/>
    <w:rsid w:val="00EE45A2"/>
    <w:rsid w:val="00EE4C98"/>
    <w:rsid w:val="00EE5B73"/>
    <w:rsid w:val="00EE7349"/>
    <w:rsid w:val="00EE7958"/>
    <w:rsid w:val="00EF0C41"/>
    <w:rsid w:val="00EF28C1"/>
    <w:rsid w:val="00EF3D5F"/>
    <w:rsid w:val="00EF4682"/>
    <w:rsid w:val="00EF6F93"/>
    <w:rsid w:val="00EF78A8"/>
    <w:rsid w:val="00F01FB9"/>
    <w:rsid w:val="00F03595"/>
    <w:rsid w:val="00F0433F"/>
    <w:rsid w:val="00F04951"/>
    <w:rsid w:val="00F06AA1"/>
    <w:rsid w:val="00F12D8F"/>
    <w:rsid w:val="00F137A8"/>
    <w:rsid w:val="00F1380E"/>
    <w:rsid w:val="00F1390B"/>
    <w:rsid w:val="00F13A7A"/>
    <w:rsid w:val="00F15455"/>
    <w:rsid w:val="00F159BC"/>
    <w:rsid w:val="00F204B3"/>
    <w:rsid w:val="00F21894"/>
    <w:rsid w:val="00F22B7F"/>
    <w:rsid w:val="00F25CE2"/>
    <w:rsid w:val="00F3393A"/>
    <w:rsid w:val="00F376B1"/>
    <w:rsid w:val="00F4044D"/>
    <w:rsid w:val="00F43434"/>
    <w:rsid w:val="00F43702"/>
    <w:rsid w:val="00F4490A"/>
    <w:rsid w:val="00F44C6A"/>
    <w:rsid w:val="00F503AA"/>
    <w:rsid w:val="00F516A8"/>
    <w:rsid w:val="00F51990"/>
    <w:rsid w:val="00F51BB6"/>
    <w:rsid w:val="00F51C7D"/>
    <w:rsid w:val="00F51D92"/>
    <w:rsid w:val="00F52C4E"/>
    <w:rsid w:val="00F530B7"/>
    <w:rsid w:val="00F54973"/>
    <w:rsid w:val="00F5595C"/>
    <w:rsid w:val="00F55BA0"/>
    <w:rsid w:val="00F55C17"/>
    <w:rsid w:val="00F576A9"/>
    <w:rsid w:val="00F57F3D"/>
    <w:rsid w:val="00F6207C"/>
    <w:rsid w:val="00F62419"/>
    <w:rsid w:val="00F62478"/>
    <w:rsid w:val="00F650DD"/>
    <w:rsid w:val="00F6546F"/>
    <w:rsid w:val="00F65B2E"/>
    <w:rsid w:val="00F71266"/>
    <w:rsid w:val="00F71D7E"/>
    <w:rsid w:val="00F71FB8"/>
    <w:rsid w:val="00F73B1E"/>
    <w:rsid w:val="00F74E04"/>
    <w:rsid w:val="00F75D6F"/>
    <w:rsid w:val="00F805CB"/>
    <w:rsid w:val="00F81248"/>
    <w:rsid w:val="00F819FA"/>
    <w:rsid w:val="00F8217F"/>
    <w:rsid w:val="00F82445"/>
    <w:rsid w:val="00F87228"/>
    <w:rsid w:val="00F87B82"/>
    <w:rsid w:val="00F917D5"/>
    <w:rsid w:val="00F93E30"/>
    <w:rsid w:val="00F954FE"/>
    <w:rsid w:val="00F9629C"/>
    <w:rsid w:val="00F96C9B"/>
    <w:rsid w:val="00FA1A46"/>
    <w:rsid w:val="00FA3CE0"/>
    <w:rsid w:val="00FA4306"/>
    <w:rsid w:val="00FA5802"/>
    <w:rsid w:val="00FA59A5"/>
    <w:rsid w:val="00FB3781"/>
    <w:rsid w:val="00FB3FA3"/>
    <w:rsid w:val="00FC024D"/>
    <w:rsid w:val="00FC3856"/>
    <w:rsid w:val="00FC386E"/>
    <w:rsid w:val="00FC39FD"/>
    <w:rsid w:val="00FC3E05"/>
    <w:rsid w:val="00FC5DA9"/>
    <w:rsid w:val="00FC6878"/>
    <w:rsid w:val="00FC6EF5"/>
    <w:rsid w:val="00FC7B0B"/>
    <w:rsid w:val="00FD1D7B"/>
    <w:rsid w:val="00FD1F79"/>
    <w:rsid w:val="00FD27C5"/>
    <w:rsid w:val="00FD2DD9"/>
    <w:rsid w:val="00FD3B5A"/>
    <w:rsid w:val="00FD4BA4"/>
    <w:rsid w:val="00FD5CE6"/>
    <w:rsid w:val="00FD7635"/>
    <w:rsid w:val="00FE11D1"/>
    <w:rsid w:val="00FE3844"/>
    <w:rsid w:val="00FE447E"/>
    <w:rsid w:val="00FE466A"/>
    <w:rsid w:val="00FE59A0"/>
    <w:rsid w:val="00FE622D"/>
    <w:rsid w:val="00FE7456"/>
    <w:rsid w:val="00FE746E"/>
    <w:rsid w:val="00FF09E4"/>
    <w:rsid w:val="00FF0B93"/>
    <w:rsid w:val="00FF13FB"/>
    <w:rsid w:val="00FF194A"/>
    <w:rsid w:val="00FF21B8"/>
    <w:rsid w:val="00FF2912"/>
    <w:rsid w:val="00FF2D2B"/>
    <w:rsid w:val="00FF5AF8"/>
    <w:rsid w:val="00FF5CF1"/>
    <w:rsid w:val="00FF5D33"/>
    <w:rsid w:val="00FF70A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AA2E5"/>
  <w15:docId w15:val="{F645BD9A-0CA3-484F-AECA-D049DAE6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3F0"/>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0628ED"/>
    <w:pPr>
      <w:ind w:left="1134"/>
      <w:outlineLvl w:val="0"/>
    </w:pPr>
  </w:style>
  <w:style w:type="paragraph" w:styleId="Heading2">
    <w:name w:val="heading 2"/>
    <w:basedOn w:val="Normal"/>
    <w:next w:val="Normal"/>
    <w:link w:val="Heading2Char"/>
    <w:qFormat/>
    <w:rsid w:val="000628ED"/>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0628ED"/>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0628ED"/>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0628ED"/>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0628ED"/>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0628ED"/>
    <w:pPr>
      <w:keepNext/>
      <w:keepLines/>
      <w:spacing w:before="360" w:after="240" w:line="270" w:lineRule="exact"/>
      <w:ind w:left="1134" w:right="1134" w:hanging="1134"/>
    </w:pPr>
    <w:rPr>
      <w:b/>
      <w:sz w:val="24"/>
    </w:rPr>
  </w:style>
  <w:style w:type="paragraph" w:customStyle="1" w:styleId="H23G">
    <w:name w:val="_ H_2/3_G"/>
    <w:basedOn w:val="Normal"/>
    <w:next w:val="Normal"/>
    <w:rsid w:val="000628ED"/>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628ED"/>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628ED"/>
    <w:pPr>
      <w:keepNext/>
      <w:keepLines/>
      <w:tabs>
        <w:tab w:val="right" w:pos="851"/>
      </w:tabs>
      <w:spacing w:before="240" w:after="120" w:line="240" w:lineRule="exact"/>
      <w:ind w:left="1134" w:right="1134" w:hanging="1134"/>
    </w:pPr>
  </w:style>
  <w:style w:type="paragraph" w:customStyle="1" w:styleId="SingleTxtG">
    <w:name w:val="_ Single Txt_G"/>
    <w:basedOn w:val="Normal"/>
    <w:rsid w:val="000628ED"/>
    <w:pPr>
      <w:spacing w:after="120"/>
      <w:ind w:left="1134" w:right="1134"/>
      <w:jc w:val="both"/>
    </w:pPr>
    <w:rPr>
      <w:rFonts w:eastAsia="Times New Roman"/>
      <w:lang w:eastAsia="en-US"/>
    </w:rPr>
  </w:style>
  <w:style w:type="paragraph" w:customStyle="1" w:styleId="SLG">
    <w:name w:val="__S_L_G"/>
    <w:basedOn w:val="Normal"/>
    <w:next w:val="Normal"/>
    <w:rsid w:val="000628ED"/>
    <w:pPr>
      <w:keepNext/>
      <w:keepLines/>
      <w:spacing w:before="240" w:after="240" w:line="580" w:lineRule="exact"/>
      <w:ind w:left="1134" w:right="1134"/>
    </w:pPr>
    <w:rPr>
      <w:b/>
      <w:sz w:val="56"/>
    </w:rPr>
  </w:style>
  <w:style w:type="paragraph" w:customStyle="1" w:styleId="SMG">
    <w:name w:val="__S_M_G"/>
    <w:basedOn w:val="Normal"/>
    <w:next w:val="Normal"/>
    <w:rsid w:val="000628ED"/>
    <w:pPr>
      <w:keepNext/>
      <w:keepLines/>
      <w:spacing w:before="240" w:after="240" w:line="420" w:lineRule="exact"/>
      <w:ind w:left="1134" w:right="1134"/>
    </w:pPr>
    <w:rPr>
      <w:b/>
      <w:sz w:val="40"/>
    </w:rPr>
  </w:style>
  <w:style w:type="paragraph" w:customStyle="1" w:styleId="SSG">
    <w:name w:val="__S_S_G"/>
    <w:basedOn w:val="Normal"/>
    <w:next w:val="Normal"/>
    <w:rsid w:val="000628ED"/>
    <w:pPr>
      <w:keepNext/>
      <w:keepLines/>
      <w:spacing w:before="240" w:after="240" w:line="300" w:lineRule="exact"/>
      <w:ind w:left="1134" w:right="1134"/>
    </w:pPr>
    <w:rPr>
      <w:b/>
      <w:sz w:val="28"/>
    </w:rPr>
  </w:style>
  <w:style w:type="paragraph" w:customStyle="1" w:styleId="XLargeG">
    <w:name w:val="__XLarge_G"/>
    <w:basedOn w:val="Normal"/>
    <w:next w:val="Normal"/>
    <w:rsid w:val="000628ED"/>
    <w:pPr>
      <w:keepNext/>
      <w:keepLines/>
      <w:spacing w:before="240" w:after="240" w:line="420" w:lineRule="exact"/>
      <w:ind w:left="1134" w:right="1134"/>
    </w:pPr>
    <w:rPr>
      <w:b/>
      <w:sz w:val="40"/>
    </w:rPr>
  </w:style>
  <w:style w:type="paragraph" w:customStyle="1" w:styleId="Bullet1G">
    <w:name w:val="_Bullet 1_G"/>
    <w:basedOn w:val="Normal"/>
    <w:rsid w:val="000628ED"/>
    <w:pPr>
      <w:numPr>
        <w:numId w:val="2"/>
      </w:numPr>
      <w:spacing w:after="120"/>
      <w:ind w:right="1134"/>
      <w:jc w:val="both"/>
    </w:pPr>
  </w:style>
  <w:style w:type="paragraph" w:customStyle="1" w:styleId="Bullet2G">
    <w:name w:val="_Bullet 2_G"/>
    <w:basedOn w:val="Normal"/>
    <w:rsid w:val="000628ED"/>
    <w:pPr>
      <w:numPr>
        <w:numId w:val="3"/>
      </w:numPr>
      <w:spacing w:after="120"/>
      <w:ind w:right="1134"/>
      <w:jc w:val="both"/>
    </w:pPr>
  </w:style>
  <w:style w:type="paragraph" w:customStyle="1" w:styleId="AnnoHCHG">
    <w:name w:val="Anno _ H_CH_G"/>
    <w:basedOn w:val="Normal"/>
    <w:next w:val="AnnoH1G"/>
    <w:rsid w:val="000628ED"/>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0628ED"/>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0628ED"/>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rsid w:val="000628ED"/>
    <w:pPr>
      <w:numPr>
        <w:ilvl w:val="3"/>
        <w:numId w:val="4"/>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rsid w:val="000628ED"/>
    <w:rPr>
      <w:rFonts w:ascii="Times New Roman" w:hAnsi="Times New Roman"/>
      <w:sz w:val="18"/>
      <w:vertAlign w:val="superscript"/>
    </w:rPr>
  </w:style>
  <w:style w:type="character" w:styleId="EndnoteReference">
    <w:name w:val="endnote reference"/>
    <w:aliases w:val="1_G"/>
    <w:rsid w:val="000628ED"/>
    <w:rPr>
      <w:rFonts w:ascii="Times New Roman" w:hAnsi="Times New Roman"/>
      <w:sz w:val="18"/>
      <w:vertAlign w:val="superscript"/>
    </w:rPr>
  </w:style>
  <w:style w:type="paragraph" w:styleId="EndnoteText">
    <w:name w:val="endnote text"/>
    <w:aliases w:val="2_G"/>
    <w:basedOn w:val="FootnoteText"/>
    <w:link w:val="EndnoteTextChar"/>
    <w:rsid w:val="000628ED"/>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qFormat/>
    <w:rsid w:val="000628ED"/>
    <w:pPr>
      <w:tabs>
        <w:tab w:val="right" w:pos="1021"/>
      </w:tabs>
      <w:spacing w:line="220" w:lineRule="exact"/>
      <w:ind w:left="1134" w:right="1134" w:hanging="1134"/>
    </w:pPr>
    <w:rPr>
      <w:sz w:val="18"/>
    </w:rPr>
  </w:style>
  <w:style w:type="paragraph" w:styleId="Footer">
    <w:name w:val="footer"/>
    <w:aliases w:val="3_G"/>
    <w:basedOn w:val="Normal"/>
    <w:link w:val="FooterChar"/>
    <w:rsid w:val="000628ED"/>
    <w:rPr>
      <w:sz w:val="16"/>
    </w:rPr>
  </w:style>
  <w:style w:type="paragraph" w:customStyle="1" w:styleId="FootnoteTable">
    <w:name w:val="Footnote Table"/>
    <w:basedOn w:val="Normal"/>
    <w:rsid w:val="000628ED"/>
    <w:pPr>
      <w:spacing w:before="60" w:line="220" w:lineRule="atLeast"/>
      <w:contextualSpacing/>
      <w:jc w:val="both"/>
    </w:pPr>
    <w:rPr>
      <w:sz w:val="18"/>
    </w:rPr>
  </w:style>
  <w:style w:type="paragraph" w:styleId="Header">
    <w:name w:val="header"/>
    <w:aliases w:val="6_G"/>
    <w:basedOn w:val="Normal"/>
    <w:link w:val="HeaderChar"/>
    <w:rsid w:val="000628ED"/>
    <w:pPr>
      <w:pBdr>
        <w:bottom w:val="single" w:sz="4" w:space="4" w:color="auto"/>
      </w:pBdr>
    </w:pPr>
    <w:rPr>
      <w:b/>
      <w:sz w:val="18"/>
    </w:rPr>
  </w:style>
  <w:style w:type="character" w:styleId="PageNumber">
    <w:name w:val="page number"/>
    <w:aliases w:val="7_G"/>
    <w:rsid w:val="000628ED"/>
    <w:rPr>
      <w:rFonts w:ascii="Times New Roman" w:hAnsi="Times New Roman"/>
      <w:b/>
      <w:sz w:val="18"/>
    </w:rPr>
  </w:style>
  <w:style w:type="paragraph" w:customStyle="1" w:styleId="RegHChG">
    <w:name w:val="Reg_H__Ch_G"/>
    <w:basedOn w:val="Normal"/>
    <w:next w:val="RegH1G"/>
    <w:link w:val="RegHChGChar"/>
    <w:rsid w:val="000628ED"/>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0628ED"/>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0628ED"/>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0628ED"/>
    <w:pPr>
      <w:numPr>
        <w:ilvl w:val="5"/>
        <w:numId w:val="1"/>
      </w:numPr>
      <w:tabs>
        <w:tab w:val="left" w:pos="1701"/>
      </w:tabs>
      <w:spacing w:after="120"/>
      <w:ind w:right="1134"/>
      <w:jc w:val="both"/>
    </w:pPr>
  </w:style>
  <w:style w:type="paragraph" w:styleId="TOC1">
    <w:name w:val="toc 1"/>
    <w:basedOn w:val="Normal"/>
    <w:next w:val="Normal"/>
    <w:autoRedefine/>
    <w:uiPriority w:val="39"/>
    <w:rsid w:val="000628ED"/>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0628ED"/>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0628ED"/>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0628ED"/>
    <w:pPr>
      <w:spacing w:line="240" w:lineRule="auto"/>
    </w:pPr>
    <w:rPr>
      <w:rFonts w:ascii="Tahoma" w:hAnsi="Tahoma" w:cs="Tahoma"/>
      <w:sz w:val="16"/>
      <w:szCs w:val="16"/>
    </w:rPr>
  </w:style>
  <w:style w:type="character" w:customStyle="1" w:styleId="BalloonTextChar">
    <w:name w:val="Balloon Text Char"/>
    <w:link w:val="BalloonText"/>
    <w:rsid w:val="000628ED"/>
    <w:rPr>
      <w:rFonts w:ascii="Tahoma" w:eastAsia="SimSun" w:hAnsi="Tahoma" w:cs="Tahoma"/>
      <w:sz w:val="16"/>
      <w:szCs w:val="16"/>
      <w:lang w:val="en-GB" w:eastAsia="zh-CN"/>
    </w:rPr>
  </w:style>
  <w:style w:type="paragraph" w:styleId="ListParagraph">
    <w:name w:val="List Paragraph"/>
    <w:basedOn w:val="Normal"/>
    <w:uiPriority w:val="1"/>
    <w:qFormat/>
    <w:rsid w:val="000628ED"/>
    <w:pPr>
      <w:ind w:left="720"/>
      <w:contextualSpacing/>
    </w:pPr>
  </w:style>
  <w:style w:type="character" w:customStyle="1" w:styleId="Heading2Char">
    <w:name w:val="Heading 2 Char"/>
    <w:link w:val="Heading2"/>
    <w:rsid w:val="000628ED"/>
    <w:rPr>
      <w:rFonts w:ascii="Cambria" w:hAnsi="Cambria"/>
      <w:b/>
      <w:bCs/>
      <w:color w:val="4F81BD"/>
      <w:sz w:val="26"/>
      <w:szCs w:val="26"/>
      <w:lang w:val="en-GB" w:eastAsia="zh-CN"/>
    </w:rPr>
  </w:style>
  <w:style w:type="character" w:customStyle="1" w:styleId="Heading4Char">
    <w:name w:val="Heading 4 Char"/>
    <w:link w:val="Heading4"/>
    <w:rsid w:val="000628ED"/>
    <w:rPr>
      <w:rFonts w:ascii="Cambria" w:hAnsi="Cambria"/>
      <w:b/>
      <w:bCs/>
      <w:i/>
      <w:iCs/>
      <w:color w:val="4F81BD"/>
      <w:lang w:val="en-GB" w:eastAsia="zh-CN"/>
    </w:rPr>
  </w:style>
  <w:style w:type="character" w:customStyle="1" w:styleId="Heading5Char">
    <w:name w:val="Heading 5 Char"/>
    <w:link w:val="Heading5"/>
    <w:rsid w:val="000628ED"/>
    <w:rPr>
      <w:rFonts w:ascii="Cambria" w:hAnsi="Cambria"/>
      <w:color w:val="243F60"/>
      <w:lang w:val="en-GB" w:eastAsia="zh-CN"/>
    </w:rPr>
  </w:style>
  <w:style w:type="paragraph" w:customStyle="1" w:styleId="ListParagraphforAnnexes">
    <w:name w:val="List Paragraph for Annexes"/>
    <w:basedOn w:val="ListParagraph"/>
    <w:qFormat/>
    <w:rsid w:val="000628ED"/>
    <w:pPr>
      <w:spacing w:before="120" w:after="120" w:line="240" w:lineRule="exact"/>
      <w:contextualSpacing w:val="0"/>
    </w:pPr>
  </w:style>
  <w:style w:type="paragraph" w:customStyle="1" w:styleId="RegH4G">
    <w:name w:val="Reg_H_4_G"/>
    <w:basedOn w:val="RegH23G"/>
    <w:next w:val="RegH5G"/>
    <w:qFormat/>
    <w:rsid w:val="000628ED"/>
    <w:pPr>
      <w:numPr>
        <w:ilvl w:val="3"/>
      </w:numPr>
    </w:pPr>
  </w:style>
  <w:style w:type="paragraph" w:customStyle="1" w:styleId="RegH5G">
    <w:name w:val="Reg_H_5_G"/>
    <w:basedOn w:val="RegH4G"/>
    <w:qFormat/>
    <w:rsid w:val="000628ED"/>
    <w:pPr>
      <w:numPr>
        <w:ilvl w:val="4"/>
      </w:numPr>
    </w:pPr>
    <w:rPr>
      <w:b w:val="0"/>
      <w:i/>
    </w:rPr>
  </w:style>
  <w:style w:type="paragraph" w:customStyle="1" w:styleId="TableFootnote">
    <w:name w:val="TableFootnote"/>
    <w:basedOn w:val="FootnoteTable"/>
    <w:qFormat/>
    <w:rsid w:val="000628ED"/>
    <w:pPr>
      <w:ind w:left="1134" w:right="1134" w:firstLine="170"/>
      <w:jc w:val="left"/>
    </w:pPr>
  </w:style>
  <w:style w:type="paragraph" w:customStyle="1" w:styleId="RegSingleTxtG2">
    <w:name w:val="Reg_Single Txt_G2"/>
    <w:basedOn w:val="RegSingleTxtG"/>
    <w:qFormat/>
    <w:rsid w:val="000628ED"/>
    <w:pPr>
      <w:numPr>
        <w:ilvl w:val="6"/>
      </w:numPr>
      <w:tabs>
        <w:tab w:val="clear" w:pos="1702"/>
      </w:tabs>
    </w:pPr>
  </w:style>
  <w:style w:type="paragraph" w:customStyle="1" w:styleId="RegSingleTxtG3">
    <w:name w:val="Reg_Single Txt_G3"/>
    <w:basedOn w:val="RegSingleTxtG"/>
    <w:qFormat/>
    <w:rsid w:val="000628ED"/>
    <w:pPr>
      <w:numPr>
        <w:ilvl w:val="7"/>
      </w:numPr>
    </w:pPr>
  </w:style>
  <w:style w:type="paragraph" w:customStyle="1" w:styleId="AtxtHdgs">
    <w:name w:val="Atxt_Hdgs"/>
    <w:basedOn w:val="Normal"/>
    <w:rsid w:val="000628ED"/>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0628ED"/>
    <w:rPr>
      <w:b/>
      <w:bCs/>
    </w:rPr>
  </w:style>
  <w:style w:type="paragraph" w:styleId="TOC4">
    <w:name w:val="toc 4"/>
    <w:basedOn w:val="Normal"/>
    <w:next w:val="Normal"/>
    <w:autoRedefine/>
    <w:semiHidden/>
    <w:unhideWhenUsed/>
    <w:rsid w:val="000628ED"/>
    <w:pPr>
      <w:ind w:left="600"/>
    </w:pPr>
  </w:style>
  <w:style w:type="paragraph" w:styleId="TOC5">
    <w:name w:val="toc 5"/>
    <w:basedOn w:val="Normal"/>
    <w:next w:val="Normal"/>
    <w:autoRedefine/>
    <w:semiHidden/>
    <w:unhideWhenUsed/>
    <w:rsid w:val="000628ED"/>
    <w:pPr>
      <w:ind w:left="800"/>
    </w:pPr>
  </w:style>
  <w:style w:type="paragraph" w:styleId="TOC6">
    <w:name w:val="toc 6"/>
    <w:basedOn w:val="Normal"/>
    <w:next w:val="Normal"/>
    <w:autoRedefine/>
    <w:semiHidden/>
    <w:unhideWhenUsed/>
    <w:rsid w:val="000628ED"/>
    <w:pPr>
      <w:ind w:left="1000"/>
    </w:pPr>
  </w:style>
  <w:style w:type="paragraph" w:styleId="TOC7">
    <w:name w:val="toc 7"/>
    <w:basedOn w:val="Normal"/>
    <w:next w:val="Normal"/>
    <w:autoRedefine/>
    <w:semiHidden/>
    <w:unhideWhenUsed/>
    <w:rsid w:val="000628ED"/>
    <w:pPr>
      <w:ind w:left="1200"/>
    </w:pPr>
  </w:style>
  <w:style w:type="paragraph" w:styleId="TOC8">
    <w:name w:val="toc 8"/>
    <w:basedOn w:val="Normal"/>
    <w:next w:val="Normal"/>
    <w:autoRedefine/>
    <w:semiHidden/>
    <w:unhideWhenUsed/>
    <w:rsid w:val="000628ED"/>
    <w:pPr>
      <w:ind w:left="1400"/>
    </w:pPr>
  </w:style>
  <w:style w:type="paragraph" w:styleId="TOC9">
    <w:name w:val="toc 9"/>
    <w:basedOn w:val="Normal"/>
    <w:next w:val="Normal"/>
    <w:autoRedefine/>
    <w:semiHidden/>
    <w:unhideWhenUsed/>
    <w:rsid w:val="000628ED"/>
    <w:pPr>
      <w:ind w:left="1600"/>
    </w:pPr>
  </w:style>
  <w:style w:type="paragraph" w:customStyle="1" w:styleId="FC1">
    <w:name w:val="FC1"/>
    <w:basedOn w:val="RegSingleTxtG"/>
    <w:qFormat/>
    <w:rsid w:val="000628ED"/>
    <w:pPr>
      <w:numPr>
        <w:ilvl w:val="0"/>
        <w:numId w:val="0"/>
      </w:numPr>
      <w:ind w:left="1134"/>
      <w:jc w:val="left"/>
    </w:pPr>
  </w:style>
  <w:style w:type="paragraph" w:customStyle="1" w:styleId="SourcesFootnote">
    <w:name w:val="SourcesFootnote"/>
    <w:basedOn w:val="TableFootnote"/>
    <w:qFormat/>
    <w:rsid w:val="000628ED"/>
    <w:rPr>
      <w:i/>
    </w:rPr>
  </w:style>
  <w:style w:type="paragraph" w:customStyle="1" w:styleId="FC2">
    <w:name w:val="FC2"/>
    <w:basedOn w:val="FC1"/>
    <w:qFormat/>
    <w:rsid w:val="000628ED"/>
    <w:pPr>
      <w:keepNext/>
    </w:pPr>
  </w:style>
  <w:style w:type="numbering" w:customStyle="1" w:styleId="FCCCBoxfootnote">
    <w:name w:val="FCCC_Box_footnote"/>
    <w:uiPriority w:val="99"/>
    <w:rsid w:val="000628ED"/>
    <w:pPr>
      <w:numPr>
        <w:numId w:val="5"/>
      </w:numPr>
    </w:pPr>
  </w:style>
  <w:style w:type="numbering" w:customStyle="1" w:styleId="FCCCTextboxfootnote">
    <w:name w:val="FCCC Textbox footnote"/>
    <w:uiPriority w:val="99"/>
    <w:rsid w:val="000628ED"/>
    <w:pPr>
      <w:numPr>
        <w:numId w:val="6"/>
      </w:numPr>
    </w:pPr>
  </w:style>
  <w:style w:type="numbering" w:customStyle="1" w:styleId="FigureFootnote">
    <w:name w:val="Figure Footnote"/>
    <w:uiPriority w:val="99"/>
    <w:rsid w:val="000628ED"/>
    <w:pPr>
      <w:numPr>
        <w:numId w:val="7"/>
      </w:numPr>
    </w:pPr>
  </w:style>
  <w:style w:type="table" w:styleId="TableGrid">
    <w:name w:val="Table Grid"/>
    <w:basedOn w:val="TableNormal"/>
    <w:rsid w:val="0006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6_G Char"/>
    <w:link w:val="Header"/>
    <w:rsid w:val="006461D0"/>
    <w:rPr>
      <w:rFonts w:eastAsia="SimSun"/>
      <w:b/>
      <w:sz w:val="18"/>
      <w:lang w:val="en-GB" w:eastAsia="zh-CN"/>
    </w:rPr>
  </w:style>
  <w:style w:type="character" w:customStyle="1" w:styleId="FooterChar">
    <w:name w:val="Footer Char"/>
    <w:aliases w:val="3_G Char"/>
    <w:link w:val="Footer"/>
    <w:rsid w:val="006461D0"/>
    <w:rPr>
      <w:rFonts w:eastAsia="SimSun"/>
      <w:sz w:val="16"/>
      <w:lang w:val="en-GB" w:eastAsia="zh-CN"/>
    </w:rPr>
  </w:style>
  <w:style w:type="character" w:customStyle="1" w:styleId="EndnoteTextChar">
    <w:name w:val="Endnote Text Char"/>
    <w:aliases w:val="2_G Char"/>
    <w:basedOn w:val="DefaultParagraphFont"/>
    <w:link w:val="EndnoteText"/>
    <w:rsid w:val="005A633E"/>
    <w:rPr>
      <w:rFonts w:eastAsia="SimSun"/>
      <w:sz w:val="18"/>
      <w:lang w:val="en-GB" w:eastAsia="zh-CN"/>
    </w:rPr>
  </w:style>
  <w:style w:type="character" w:styleId="PlaceholderText">
    <w:name w:val="Placeholder Text"/>
    <w:basedOn w:val="DefaultParagraphFont"/>
    <w:uiPriority w:val="99"/>
    <w:semiHidden/>
    <w:rsid w:val="00D44ADC"/>
    <w:rPr>
      <w:color w:val="808080"/>
    </w:rPr>
  </w:style>
  <w:style w:type="character" w:styleId="CommentReference">
    <w:name w:val="annotation reference"/>
    <w:basedOn w:val="DefaultParagraphFont"/>
    <w:uiPriority w:val="99"/>
    <w:unhideWhenUsed/>
    <w:rsid w:val="00332BDA"/>
    <w:rPr>
      <w:sz w:val="16"/>
      <w:szCs w:val="16"/>
    </w:rPr>
  </w:style>
  <w:style w:type="paragraph" w:styleId="CommentText">
    <w:name w:val="annotation text"/>
    <w:basedOn w:val="Normal"/>
    <w:link w:val="CommentTextChar"/>
    <w:uiPriority w:val="99"/>
    <w:unhideWhenUsed/>
    <w:rsid w:val="00332BDA"/>
    <w:pPr>
      <w:spacing w:line="240" w:lineRule="auto"/>
    </w:pPr>
  </w:style>
  <w:style w:type="character" w:customStyle="1" w:styleId="CommentTextChar">
    <w:name w:val="Comment Text Char"/>
    <w:basedOn w:val="DefaultParagraphFont"/>
    <w:link w:val="CommentText"/>
    <w:uiPriority w:val="99"/>
    <w:rsid w:val="00332BDA"/>
    <w:rPr>
      <w:rFonts w:eastAsia="SimSun"/>
      <w:lang w:val="en-GB" w:eastAsia="zh-CN"/>
    </w:rPr>
  </w:style>
  <w:style w:type="paragraph" w:styleId="CommentSubject">
    <w:name w:val="annotation subject"/>
    <w:basedOn w:val="CommentText"/>
    <w:next w:val="CommentText"/>
    <w:link w:val="CommentSubjectChar"/>
    <w:semiHidden/>
    <w:unhideWhenUsed/>
    <w:rsid w:val="00332BDA"/>
    <w:rPr>
      <w:b/>
      <w:bCs/>
    </w:rPr>
  </w:style>
  <w:style w:type="character" w:customStyle="1" w:styleId="CommentSubjectChar">
    <w:name w:val="Comment Subject Char"/>
    <w:basedOn w:val="CommentTextChar"/>
    <w:link w:val="CommentSubject"/>
    <w:semiHidden/>
    <w:rsid w:val="00332BDA"/>
    <w:rPr>
      <w:rFonts w:eastAsia="SimSun"/>
      <w:b/>
      <w:bCs/>
      <w:lang w:val="en-GB" w:eastAsia="zh-CN"/>
    </w:rPr>
  </w:style>
  <w:style w:type="paragraph" w:customStyle="1" w:styleId="AddendumSubTitle">
    <w:name w:val="AddendumSubTitle"/>
    <w:basedOn w:val="H1G"/>
    <w:qFormat/>
    <w:rsid w:val="00AC61E9"/>
  </w:style>
  <w:style w:type="paragraph" w:customStyle="1" w:styleId="AddendumTitle">
    <w:name w:val="AddendumTitle"/>
    <w:basedOn w:val="H1G"/>
    <w:qFormat/>
    <w:rsid w:val="00AC61E9"/>
  </w:style>
  <w:style w:type="paragraph" w:customStyle="1" w:styleId="AgendaItemHeading">
    <w:name w:val="AgendaItemHeading"/>
    <w:basedOn w:val="Normal"/>
    <w:qFormat/>
    <w:rsid w:val="00AC61E9"/>
    <w:pPr>
      <w:ind w:left="-105"/>
    </w:pPr>
    <w:rPr>
      <w:bCs/>
    </w:rPr>
  </w:style>
  <w:style w:type="paragraph" w:customStyle="1" w:styleId="BodyHeading">
    <w:name w:val="BodyHeading"/>
    <w:basedOn w:val="Normal"/>
    <w:qFormat/>
    <w:rsid w:val="00AC61E9"/>
    <w:pPr>
      <w:spacing w:before="120"/>
      <w:ind w:left="-105"/>
    </w:pPr>
    <w:rPr>
      <w:b/>
      <w:sz w:val="24"/>
      <w:szCs w:val="24"/>
    </w:rPr>
  </w:style>
  <w:style w:type="paragraph" w:customStyle="1" w:styleId="MainSubTitle">
    <w:name w:val="MainSubTitle"/>
    <w:basedOn w:val="H1G"/>
    <w:qFormat/>
    <w:rsid w:val="00AC61E9"/>
  </w:style>
  <w:style w:type="paragraph" w:customStyle="1" w:styleId="MainTitle">
    <w:name w:val="MainTitle"/>
    <w:basedOn w:val="HChG"/>
    <w:qFormat/>
    <w:rsid w:val="00AC61E9"/>
  </w:style>
  <w:style w:type="character" w:customStyle="1" w:styleId="markedcontent">
    <w:name w:val="markedcontent"/>
    <w:basedOn w:val="DefaultParagraphFont"/>
    <w:rsid w:val="00F55C17"/>
  </w:style>
  <w:style w:type="paragraph" w:customStyle="1" w:styleId="Cornernotation">
    <w:name w:val="Corner notation"/>
    <w:basedOn w:val="Normal"/>
    <w:qFormat/>
    <w:rsid w:val="006371C5"/>
    <w:pPr>
      <w:spacing w:before="120"/>
      <w:ind w:left="-105"/>
    </w:pPr>
    <w:rPr>
      <w:b/>
      <w:sz w:val="24"/>
      <w:szCs w:val="24"/>
    </w:rPr>
  </w:style>
  <w:style w:type="character" w:styleId="Mention">
    <w:name w:val="Mention"/>
    <w:basedOn w:val="DefaultParagraphFont"/>
    <w:uiPriority w:val="99"/>
    <w:unhideWhenUsed/>
    <w:rsid w:val="00D13AE2"/>
    <w:rPr>
      <w:color w:val="2B579A"/>
      <w:shd w:val="clear" w:color="auto" w:fill="E1DFDD"/>
    </w:rPr>
  </w:style>
  <w:style w:type="character" w:styleId="Hyperlink">
    <w:name w:val="Hyperlink"/>
    <w:basedOn w:val="DefaultParagraphFont"/>
    <w:unhideWhenUsed/>
    <w:rsid w:val="00C22574"/>
    <w:rPr>
      <w:color w:val="0000FF"/>
      <w:u w:val="single"/>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link w:val="FootnoteText"/>
    <w:locked/>
    <w:rsid w:val="00C22574"/>
    <w:rPr>
      <w:rFonts w:eastAsia="SimSun"/>
      <w:sz w:val="18"/>
      <w:lang w:val="en-GB" w:eastAsia="zh-CN"/>
    </w:rPr>
  </w:style>
  <w:style w:type="paragraph" w:customStyle="1" w:styleId="Recompara">
    <w:name w:val="Recom_para"/>
    <w:basedOn w:val="SingleTxtG"/>
    <w:qFormat/>
    <w:rsid w:val="004170E1"/>
    <w:pPr>
      <w:ind w:firstLine="567"/>
    </w:pPr>
  </w:style>
  <w:style w:type="character" w:customStyle="1" w:styleId="H1GChar">
    <w:name w:val="_ H_1_G Char"/>
    <w:link w:val="H1G"/>
    <w:locked/>
    <w:rsid w:val="004170E1"/>
    <w:rPr>
      <w:rFonts w:eastAsia="SimSun"/>
      <w:b/>
      <w:sz w:val="24"/>
      <w:lang w:val="en-GB" w:eastAsia="zh-CN"/>
    </w:rPr>
  </w:style>
  <w:style w:type="character" w:customStyle="1" w:styleId="HChGChar">
    <w:name w:val="_ H _Ch_G Char"/>
    <w:link w:val="HChG"/>
    <w:rsid w:val="004170E1"/>
    <w:rPr>
      <w:rFonts w:eastAsia="SimSun"/>
      <w:b/>
      <w:sz w:val="28"/>
      <w:lang w:val="en-GB" w:eastAsia="zh-CN"/>
    </w:rPr>
  </w:style>
  <w:style w:type="character" w:customStyle="1" w:styleId="ui-provider">
    <w:name w:val="ui-provider"/>
    <w:basedOn w:val="DefaultParagraphFont"/>
    <w:rsid w:val="0081511B"/>
  </w:style>
  <w:style w:type="character" w:customStyle="1" w:styleId="RegHChGChar">
    <w:name w:val="Reg_H__Ch_G Char"/>
    <w:link w:val="RegHChG"/>
    <w:rsid w:val="0081511B"/>
    <w:rPr>
      <w:rFonts w:eastAsia="SimSun"/>
      <w:b/>
      <w:sz w:val="28"/>
      <w:lang w:val="en-GB" w:eastAsia="zh-CN"/>
    </w:rPr>
  </w:style>
  <w:style w:type="character" w:customStyle="1" w:styleId="StyleEndnoteReference1GNotItalic">
    <w:name w:val="Style Endnote Reference1_G + Not Italic"/>
    <w:basedOn w:val="EndnoteReference"/>
    <w:rsid w:val="0081511B"/>
    <w:rPr>
      <w:rFonts w:ascii="Times New Roman" w:hAnsi="Times New Roman"/>
      <w:i/>
      <w:sz w:val="18"/>
      <w:vertAlign w:val="superscript"/>
    </w:rPr>
  </w:style>
  <w:style w:type="paragraph" w:styleId="Revision">
    <w:name w:val="Revision"/>
    <w:hidden/>
    <w:uiPriority w:val="99"/>
    <w:semiHidden/>
    <w:rsid w:val="0081511B"/>
    <w:rPr>
      <w:rFonts w:eastAsia="SimSun"/>
      <w:lang w:val="en-GB" w:eastAsia="zh-CN"/>
    </w:rPr>
  </w:style>
  <w:style w:type="character" w:styleId="UnresolvedMention">
    <w:name w:val="Unresolved Mention"/>
    <w:basedOn w:val="DefaultParagraphFont"/>
    <w:uiPriority w:val="99"/>
    <w:unhideWhenUsed/>
    <w:rsid w:val="0081511B"/>
    <w:rPr>
      <w:color w:val="605E5C"/>
      <w:shd w:val="clear" w:color="auto" w:fill="E1DFDD"/>
    </w:rPr>
  </w:style>
  <w:style w:type="character" w:customStyle="1" w:styleId="RegSingleTxtGChar">
    <w:name w:val="Reg_Single Txt_G Char"/>
    <w:basedOn w:val="DefaultParagraphFont"/>
    <w:link w:val="RegSingleTxtG"/>
    <w:rsid w:val="0081511B"/>
    <w:rPr>
      <w:rFonts w:eastAsia="SimSun"/>
      <w:lang w:val="en-GB" w:eastAsia="zh-CN"/>
    </w:rPr>
  </w:style>
  <w:style w:type="character" w:customStyle="1" w:styleId="normaltextrun">
    <w:name w:val="normaltextrun"/>
    <w:basedOn w:val="DefaultParagraphFont"/>
    <w:rsid w:val="0081511B"/>
  </w:style>
  <w:style w:type="character" w:customStyle="1" w:styleId="Heading1Char">
    <w:name w:val="Heading 1 Char"/>
    <w:aliases w:val="Table_G Char"/>
    <w:basedOn w:val="DefaultParagraphFont"/>
    <w:link w:val="Heading1"/>
    <w:rsid w:val="0081511B"/>
    <w:rPr>
      <w:rFonts w:eastAsia="SimSun"/>
      <w:lang w:val="en-GB" w:eastAsia="zh-CN"/>
    </w:rPr>
  </w:style>
  <w:style w:type="character" w:styleId="FollowedHyperlink">
    <w:name w:val="FollowedHyperlink"/>
    <w:basedOn w:val="DefaultParagraphFont"/>
    <w:uiPriority w:val="99"/>
    <w:semiHidden/>
    <w:unhideWhenUsed/>
    <w:rsid w:val="0081511B"/>
    <w:rPr>
      <w:color w:val="800080" w:themeColor="followedHyperlink"/>
      <w:u w:val="single"/>
    </w:rPr>
  </w:style>
  <w:style w:type="paragraph" w:styleId="NormalWeb">
    <w:name w:val="Normal (Web)"/>
    <w:basedOn w:val="Normal"/>
    <w:uiPriority w:val="99"/>
    <w:unhideWhenUsed/>
    <w:rsid w:val="0081511B"/>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81511B"/>
    <w:pPr>
      <w:autoSpaceDE w:val="0"/>
      <w:autoSpaceDN w:val="0"/>
      <w:adjustRightInd w:val="0"/>
    </w:pPr>
    <w:rPr>
      <w:color w:val="000000"/>
      <w:sz w:val="24"/>
      <w:szCs w:val="24"/>
    </w:rPr>
  </w:style>
  <w:style w:type="character" w:styleId="Emphasis">
    <w:name w:val="Emphasis"/>
    <w:basedOn w:val="DefaultParagraphFont"/>
    <w:uiPriority w:val="20"/>
    <w:qFormat/>
    <w:rsid w:val="0081511B"/>
    <w:rPr>
      <w:i/>
      <w:iC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1511B"/>
    <w:pPr>
      <w:suppressAutoHyphens w:val="0"/>
      <w:spacing w:after="160" w:line="240" w:lineRule="exact"/>
    </w:pPr>
    <w:rPr>
      <w:rFonts w:eastAsia="Times New Roman"/>
      <w:sz w:val="18"/>
      <w:vertAlign w:val="superscript"/>
      <w:lang w:val="en-US" w:eastAsia="en-US"/>
    </w:rPr>
  </w:style>
  <w:style w:type="character" w:customStyle="1" w:styleId="eop">
    <w:name w:val="eop"/>
    <w:basedOn w:val="DefaultParagraphFont"/>
    <w:rsid w:val="0081511B"/>
  </w:style>
  <w:style w:type="paragraph" w:customStyle="1" w:styleId="xmsonormal">
    <w:name w:val="x_msonormal"/>
    <w:basedOn w:val="Normal"/>
    <w:rsid w:val="003670E8"/>
    <w:pPr>
      <w:suppressAutoHyphens w:val="0"/>
      <w:spacing w:before="100" w:beforeAutospacing="1" w:after="100" w:afterAutospacing="1" w:line="240" w:lineRule="auto"/>
    </w:pPr>
    <w:rPr>
      <w:rFonts w:eastAsia="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9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unfccc.int/sites/default/files/resource/AEF_SB_61_first_iter.xlsx"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oter" Target="footer5.xml"/><Relationship Id="rId29" Type="http://schemas.openxmlformats.org/officeDocument/2006/relationships/fontTable" Target="fontTable.xml"/><Relationship Id="rId16" Type="http://schemas.openxmlformats.org/officeDocument/2006/relationships/footer" Target="footer2.xml"/><Relationship Id="rId20" Type="http://schemas.openxmlformats.org/officeDocument/2006/relationships/header" Target="header5.xml"/><Relationship Id="rId24" Type="http://schemas.openxmlformats.org/officeDocument/2006/relationships/footer" Target="footer4.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nfccc.int/documents/634354" TargetMode="External"/><Relationship Id="rId2" Type="http://schemas.openxmlformats.org/officeDocument/2006/relationships/hyperlink" Target="https://www4.unfccc.int/sites/submissionsstaging/Pages/Home.aspx" TargetMode="External"/><Relationship Id="rId1"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DraftTex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In-session document" ma:contentTypeID="0x010100FBF3CCE9969B6749B3CE13949E44C4B50400250AE69DAEF5F04484B4D30AFC8BFC6B" ma:contentTypeVersion="151" ma:contentTypeDescription="" ma:contentTypeScope="" ma:versionID="59db3e35586a84348445beed49dd79c4">
  <xsd:schema xmlns:xsd="http://www.w3.org/2001/XMLSchema" xmlns:xs="http://www.w3.org/2001/XMLSchema" xmlns:p="http://schemas.microsoft.com/office/2006/metadata/properties" xmlns:ns2="eb4559c4-8463-4985-927f-f0d558bff8f0" xmlns:ns3="0d8f00d2-86fc-4eff-afef-8f73dd50878e" xmlns:ns4="38734451-5aa3-46b3-aa01-db3e7878d212" targetNamespace="http://schemas.microsoft.com/office/2006/metadata/properties" ma:root="true" ma:fieldsID="9a4420ef05c76914bb29f4f196d0b246" ns2:_="" ns3:_="" ns4:_="">
    <xsd:import namespace="eb4559c4-8463-4985-927f-f0d558bff8f0"/>
    <xsd:import namespace="0d8f00d2-86fc-4eff-afef-8f73dd50878e"/>
    <xsd:import namespace="38734451-5aa3-46b3-aa01-db3e7878d212"/>
    <xsd:element name="properties">
      <xsd:complexType>
        <xsd:sequence>
          <xsd:element name="documentManagement">
            <xsd:complexType>
              <xsd:all>
                <xsd:element ref="ns2:fccc_doc_symbol"/>
                <xsd:element ref="ns2:Short_x0020_Title"/>
                <xsd:element ref="ns2:Agenda_x0020_Item" minOccurs="0"/>
                <xsd:element ref="ns2:Document_x0020_type"/>
                <xsd:element ref="ns2:fccc_contact"/>
                <xsd:element ref="ns2:Web_x0020_posting_x0020_clearance_x0020_officer_x0028_s_x0029_"/>
                <xsd:element ref="ns2:Submission_x0020_clearance_x0020_officer_x0028_s_x0029_"/>
                <xsd:element ref="ns2:fccc_submission_date"/>
                <xsd:element ref="ns2:fccc_pages_total"/>
                <xsd:element ref="ns2:fccc_pages_for_translation"/>
                <xsd:element ref="ns2:fccc_notes" minOccurs="0"/>
                <xsd:element ref="ns2:Embargo" minOccurs="0"/>
                <xsd:element ref="ns4:Template_x003f_" minOccurs="0"/>
                <xsd:element ref="ns3:CMS_x0020_doc_x0020_type" minOccurs="0"/>
                <xsd:element ref="ns3:Abstract" minOccurs="0"/>
                <xsd:element ref="ns3:CMS_x0020_notes" minOccurs="0"/>
                <xsd:element ref="ns3:Publication_x0020_date" minOccurs="0"/>
                <xsd:element ref="ns3:Document_x0020_highlight" minOccurs="0"/>
                <xsd:element ref="ns3:_dlc_DocIdUrl" minOccurs="0"/>
                <xsd:element ref="ns3:ES_x0020_clearance_x0020_required" minOccurs="0"/>
                <xsd:element ref="ns3:Anyone_x0020_to_x0020_clear_x0020_before_x0020_the_x0020_ES" minOccurs="0"/>
                <xsd:element ref="ns3:_dlc_DocId" minOccurs="0"/>
                <xsd:element ref="ns3:_dlc_DocIdPersistId" minOccurs="0"/>
                <xsd:element ref="ns2:i961c1f3d95e40d19f5413b53439d186" minOccurs="0"/>
                <xsd:element ref="ns3:c51c080fb2d149e1934818200981989c" minOccurs="0"/>
                <xsd:element ref="ns3:l6e091cbada04ed4b01f309d1d8edbb4" minOccurs="0"/>
                <xsd:element ref="ns2:ecb85f88989e4f11bfedb6318c1ed337" minOccurs="0"/>
                <xsd:element ref="ns2:TaxCatchAllLabel" minOccurs="0"/>
                <xsd:element ref="ns2:TaxCatchAll" minOccurs="0"/>
                <xsd:element ref="ns2:oa198490080c4764bc1f8325a2b96d35" minOccurs="0"/>
                <xsd:element ref="ns2:mb2653527eb04114b1d23d229a13893d" minOccurs="0"/>
                <xsd:element ref="ns3:mc8c0c91454a4efc97cb5a2e90a99718" minOccurs="0"/>
                <xsd:element ref="ns4:MediaServiceObjectDetectorVersions" minOccurs="0"/>
                <xsd:element ref="ns4:MediaServiceLocation" minOccurs="0"/>
                <xsd:element ref="ns4:ReadyforLA_x002f_IS_x002f_OES" minOccurs="0"/>
                <xsd:element ref="ns4:readyforgDo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fccc_doc_symbol" ma:index="1" ma:displayName="Symbol" ma:description="Official symbol (Docs use only)" ma:internalName="fccc_doc_symbol">
      <xsd:simpleType>
        <xsd:restriction base="dms:Text">
          <xsd:maxLength value="75"/>
        </xsd:restriction>
      </xsd:simpleType>
    </xsd:element>
    <xsd:element name="Short_x0020_Title" ma:index="3" ma:displayName="Short title" ma:indexed="true" ma:internalName="Short_x0020_Title">
      <xsd:simpleType>
        <xsd:restriction base="dms:Text">
          <xsd:maxLength value="255"/>
        </xsd:restriction>
      </xsd:simpleType>
    </xsd:element>
    <xsd:element name="Agenda_x0020_Item" ma:index="6" nillable="true" ma:displayName="Agenda Item" ma:internalName="Agenda_x0020_Item" ma:readOnly="false" ma:requiredMultiChoice="true">
      <xsd:complexType>
        <xsd:complexContent>
          <xsd:extension base="dms:MultiChoice">
            <xsd:sequence>
              <xsd:element name="Value" maxOccurs="unbounded" minOccurs="0" nillable="true">
                <xsd:simpleType>
                  <xsd:restriction base="dms:Choice">
                    <xsd:enumeration value="SBI 2(a) Agenda adoption"/>
                    <xsd:enumeration value="SBI 3(a) Status and review NCs and BRs"/>
                    <xsd:enumeration value="SBI 3(b) CnS of BRs"/>
                    <xsd:enumeration value="SBI 3(c) GHG inventory data"/>
                    <xsd:enumeration value="SBI 4(a) Non-Annex I Parties NCs"/>
                    <xsd:enumeration value="SBI 4(b) FTS"/>
                    <xsd:enumeration value="SBI 4(c) Non-Annex I Parties BURs"/>
                    <xsd:enumeration value="SBI 4(d) CGE report"/>
                    <xsd:enumeration value="SBI 5(a) - SBSTA 3 GST elements"/>
                    <xsd:enumeration value="SBI 5(b) GST dialogue"/>
                    <xsd:enumeration value="SBI 6 ITL report"/>
                    <xsd:enumeration value="SBI 7 - SBSTA 7 Mitigation WP"/>
                    <xsd:enumeration value="SBI 8 - SBSTA 8 Just transition WP"/>
                    <xsd:enumeration value="SBI 9 - SBSTA 9 RM"/>
                    <xsd:enumeration value="SBI 10 - SBSTA 10 Agriculture food security JW"/>
                    <xsd:enumeration value="SBI 11(a) - SBSTA 5(a) GGA"/>
                    <xsd:enumeration value="SBI 11(b) - SBSTA 5(b) AC report"/>
                    <xsd:enumeration value="SBI 11(c) - SBSTA 5(c) AC review"/>
                    <xsd:enumeration value="SBI 11(d) NAPs"/>
                    <xsd:enumeration value="SBI 12 LDCs"/>
                    <xsd:enumeration value="SBI 13(a) - SBSTA 6(a) WIM ExCom-SN joint report"/>
                    <xsd:enumeration value="SBI 13(b) - SBSTA 6(b) WIM review"/>
                    <xsd:enumeration value="SBI 14(a) - SBSTA 11 TEC-CTCN joint report"/>
                    <xsd:enumeration value="SBI 14(b) TM FM"/>
                    <xsd:enumeration value="SBI 14(c) PSP"/>
                    <xsd:enumeration value="SBI 15(a) AF"/>
                    <xsd:enumeration value="SBI 15(b) SCF review"/>
                    <xsd:enumeration value="SBI 16 CB"/>
                    <xsd:enumeration value="SBI 17 Gender"/>
                    <xsd:enumeration value="SBI 18 ACE"/>
                    <xsd:enumeration value="SBI 19 PA Art. 13 FTS"/>
                    <xsd:enumeration value="SBI 20 AFI"/>
                    <xsd:enumeration value="SBI 22 Closure and report"/>
                    <xsd:enumeration value="SBSTA 2(a) Agenda adoption"/>
                    <xsd:enumeration value="SBSTA 4 RSO"/>
                    <xsd:enumeration value="SBSTA 12 CDM"/>
                    <xsd:enumeration value="SBSTA 13(a) PA Art. 6.2 cooperative approaches"/>
                    <xsd:enumeration value="SBSTA 13(b) PA Art. 6.4 mechanism"/>
                    <xsd:enumeration value="SBSTA 13(c) PA Art. 6.8 NMA framework"/>
                    <xsd:enumeration value="SBSTA 14(a) GHG interface"/>
                    <xsd:enumeration value="SBSTA 14(b) Bunkers"/>
                    <xsd:enumeration value="SBSTA 14(c) ETF reporting tools"/>
                    <xsd:enumeration value="SBSTA 15(a) Tech. review BRs/NCs"/>
                    <xsd:enumeration value="SBSTA 15(b) Tech. review GHG Convention"/>
                    <xsd:enumeration value="SBSTA 15(c) Tech. review GHG KP"/>
                    <xsd:enumeration value="SBSTA 17 Closure and report"/>
                    <xsd:enumeration value="COP 2(c) Agenda adoption"/>
                    <xsd:enumeration value="COP 2(g) Dates and venues"/>
                    <xsd:enumeration value="COP 2(h) - CMA 2(d) - CMP 2(d) Credentials"/>
                    <xsd:enumeration value="COP 3(a) SBSTA report"/>
                    <xsd:enumeration value="COP 3(b) SBI report"/>
                    <xsd:enumeration value="COP 4 Reporting AI Parties"/>
                    <xsd:enumeration value="COP 5 Reporting NAI Parties"/>
                    <xsd:enumeration value="COP 6(a) - CMA 9(b) AC report"/>
                    <xsd:enumeration value="COP 6(b) - CMA 9(c) AC review"/>
                    <xsd:enumeration value="COP 7 - CMA 10 WIM and joint ExCom-SN report"/>
                    <xsd:enumeration value="COP 8(a) LTF"/>
                    <xsd:enumeration value="COP 8(b) - CMA 11(b) SCF"/>
                    <xsd:enumeration value="COP 8(c) - CMA 11(c) GCF"/>
                    <xsd:enumeration value="COP 8(d) - CMA 11(d) GEF"/>
                    <xsd:enumeration value="COP 8(e) - CMA 11(e) LnDF"/>
                    <xsd:enumeration value="COP 8(f) - CMA 11(f) COP-CMA-LnDF arrangements"/>
                    <xsd:enumeration value="COP 8(g) FM review"/>
                    <xsd:enumeration value="COP 9(a) - CMA 12(a) TEC-CTCN JAR"/>
                    <xsd:enumeration value="COP 9(b) TM FM"/>
                    <xsd:enumeration value="COP 10 - CMA 13 CB"/>
                    <xsd:enumeration value="COP 11 LDCs"/>
                    <xsd:enumeration value="COP 12 - CMA 14 - CMP 8 RM"/>
                    <xsd:enumeration value="COP 13 LTGG"/>
                    <xsd:enumeration value="COP 14 Gender"/>
                    <xsd:enumeration value="COP 17(a) AFI budget"/>
                    <xsd:enumeration value="COP 17(b) AFI UNFCCC process"/>
                    <xsd:enumeration value="COP 20 Conclusion"/>
                    <xsd:enumeration value="CMA 2(a) Agenda adoption"/>
                    <xsd:enumeration value="CMA 3(a) SBSTA report"/>
                    <xsd:enumeration value="CMA 3(b) SBI report"/>
                    <xsd:enumeration value="CMA 4(a) GST process"/>
                    <xsd:enumeration value="CMA 4(b) GST dialogue"/>
                    <xsd:enumeration value="CMA 5 Just transition WP"/>
                    <xsd:enumeration value="CMA 6 Mitigation WP"/>
                    <xsd:enumeration value="CMA 7 NDCs"/>
                    <xsd:enumeration value="CMA 8 PA Art. 13 FTS"/>
                    <xsd:enumeration value="CMA 9(a) GGA"/>
                    <xsd:enumeration value="CMA 11(a) NCQG"/>
                    <xsd:enumeration value="CMA 11(g) - CMP 6 AF"/>
                    <xsd:enumeration value="CMA 11(h) SES dialogue"/>
                    <xsd:enumeration value="CMA 11(i) Doubling adaptation finance"/>
                    <xsd:enumeration value="CMA 11(j) GST dialogue"/>
                    <xsd:enumeration value="CMA 12(b) Tech implementation programme"/>
                    <xsd:enumeration value="CMA 15(a) PA Art. 6.2 cooperative approaches"/>
                    <xsd:enumeration value="CMA 15(b) PA Art. 6.4 mechanism"/>
                    <xsd:enumeration value="CMA 15(c) PA Art. 6.8 NMA framework"/>
                    <xsd:enumeration value="CMA 16 PAICC"/>
                    <xsd:enumeration value="CMA 18 AFI"/>
                    <xsd:enumeration value="CMA 21 Conclusion"/>
                    <xsd:enumeration value="CMP 2(a) Agenda adoption"/>
                    <xsd:enumeration value="CMP 3(a) SBSTA report"/>
                    <xsd:enumeration value="CMP 3(b) SBI report"/>
                    <xsd:enumeration value="CMP 4(a) NCs"/>
                    <xsd:enumeration value="CMP 4(b) CAR"/>
                    <xsd:enumeration value="CMP 5 CDM"/>
                    <xsd:enumeration value="CMP 6 AF matters"/>
                    <xsd:enumeration value="CMP 7 CB"/>
                    <xsd:enumeration value="CMP 9 KP CC"/>
                    <xsd:enumeration value="CMP 10 HLMRT"/>
                    <xsd:enumeration value="CMP 11 AFI"/>
                    <xsd:enumeration value="CMP 14 Conclusion"/>
                    <xsd:enumeration value="CMP 22 Test CONDAs"/>
                  </xsd:restriction>
                </xsd:simpleType>
              </xsd:element>
            </xsd:sequence>
          </xsd:extension>
        </xsd:complexContent>
      </xsd:complexType>
    </xsd:element>
    <xsd:element name="Document_x0020_type" ma:index="7" ma:displayName="Doc description" ma:format="Dropdown" ma:internalName="Document_x0020_type" ma:readOnly="false">
      <xsd:simpleType>
        <xsd:restriction base="dms:Choice">
          <xsd:enumeration value="conclusions"/>
          <xsd:enumeration value="decision COP"/>
          <xsd:enumeration value="decision CMP"/>
          <xsd:enumeration value="decision CMA"/>
          <xsd:enumeration value="decision COP-CMA"/>
          <xsd:enumeration value="decision COP-CMP"/>
          <xsd:enumeration value="decision CMP-CMA"/>
          <xsd:enumeration value="decision COP-CMP-CMA"/>
          <xsd:enumeration value="conclusions - decision COP-CMP"/>
          <xsd:enumeration value="informal note"/>
          <xsd:enumeration value="in-session submission"/>
          <xsd:enumeration value="other"/>
        </xsd:restriction>
      </xsd:simpleType>
    </xsd:element>
    <xsd:element name="fccc_contact" ma:index="8" ma:displayName="Drafting team members" ma:description="Enter names of those who need to be able to run the flows and who should get notifications about this document." ma:list="UserInfo" ma:SharePointGroup="0" ma:internalName="fccc_contac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Web_x0020_posting_x0020_clearance_x0020_officer_x0028_s_x0029_" ma:index="9" ma:displayName="Web posting clearance officer(s)" ma:description="Usually the manager and the lead officer." ma:list="UserInfo" ma:SharePointGroup="0" ma:internalName="Web_x0020_posting_x0020_clearance_x0020_officer_x0028_s_x0029_"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ubmission_x0020_clearance_x0020_officer_x0028_s_x0029_" ma:index="10" ma:displayName="Submission clearance officer(s)" ma:description="For pre-session docs usually director; for in-session docs usually director and body coordinator.]" ma:list="UserInfo" ma:SharePointGroup="0" ma:internalName="Submission_x0020_clearance_x0020_officer_x0028_s_x0029_"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fccc_submission_date" ma:index="11" ma:displayName="Submit by date" ma:description="Date document will be finalized and cleared" ma:format="DateOnly" ma:indexed="true" ma:internalName="fccc_submission_date">
      <xsd:simpleType>
        <xsd:restriction base="dms:DateTime"/>
      </xsd:simpleType>
    </xsd:element>
    <xsd:element name="fccc_pages_total" ma:index="12" ma:displayName="Total pages" ma:decimals="0" ma:description="Total number of pages" ma:internalName="fccc_pages_total" ma:readOnly="false" ma:percentage="FALSE">
      <xsd:simpleType>
        <xsd:restriction base="dms:Number">
          <xsd:maxInclusive value="999"/>
        </xsd:restriction>
      </xsd:simpleType>
    </xsd:element>
    <xsd:element name="fccc_pages_for_translation" ma:index="13" ma:displayName="Pages for translation" ma:decimals="0" ma:description="The translation word limit for CB, SB and governing body reports is 10,700 (the main document and addenda are counted together). For secretariat documents, the limit is 8,500." ma:internalName="fccc_pages_for_translation" ma:readOnly="false" ma:percentage="FALSE">
      <xsd:simpleType>
        <xsd:restriction base="dms:Number">
          <xsd:maxInclusive value="21"/>
        </xsd:restriction>
      </xsd:simpleType>
    </xsd:element>
    <xsd:element name="fccc_notes" ma:index="16" nillable="true" ma:displayName="Notes" ma:internalName="fccc_notes" ma:readOnly="false">
      <xsd:simpleType>
        <xsd:restriction base="dms:Note"/>
      </xsd:simpleType>
    </xsd:element>
    <xsd:element name="Embargo" ma:index="18" nillable="true" ma:displayName="Embargo" ma:default="No" ma:format="Dropdown" ma:internalName="Embargo" ma:readOnly="false">
      <xsd:simpleType>
        <xsd:restriction base="dms:Choice">
          <xsd:enumeration value="Yes"/>
          <xsd:enumeration value="No"/>
        </xsd:restriction>
      </xsd:simpleType>
    </xsd:element>
    <xsd:element name="i961c1f3d95e40d19f5413b53439d186" ma:index="34" ma:taxonomy="true" ma:internalName="i961c1f3d95e40d19f5413b53439d186" ma:taxonomyFieldName="fccc_body" ma:displayName="Body" ma:readOnly="false" ma:default="" ma:fieldId="{2961c1f3-d95e-40d1-9f54-13b53439d186}" ma:taxonomyMulti="true" ma:sspId="9d8c265a-5436-43a7-80c1-713d2827ffde" ma:termSetId="7e6d52d6-747c-49c0-a8e9-ad4b794c156e" ma:anchorId="00000000-0000-0000-0000-000000000000" ma:open="false" ma:isKeyword="false">
      <xsd:complexType>
        <xsd:sequence>
          <xsd:element ref="pc:Terms" minOccurs="0" maxOccurs="1"/>
        </xsd:sequence>
      </xsd:complexType>
    </xsd:element>
    <xsd:element name="ecb85f88989e4f11bfedb6318c1ed337" ma:index="38" ma:taxonomy="true" ma:internalName="ecb85f88989e4f11bfedb6318c1ed337" ma:taxonomyFieldName="fccc_Keywords" ma:displayName="Keyword(s)" ma:readOnly="false" ma:default="" ma:fieldId="{ecb85f88-989e-4f11-bfed-b6318c1ed337}" ma:taxonomyMulti="true" ma:sspId="9d8c265a-5436-43a7-80c1-713d2827ffde" ma:termSetId="ce16d9c3-1be4-4022-9de2-d4e314b4b7b7" ma:anchorId="00000000-0000-0000-0000-000000000000" ma:open="false" ma:isKeyword="false">
      <xsd:complexType>
        <xsd:sequence>
          <xsd:element ref="pc:Terms" minOccurs="0" maxOccurs="1"/>
        </xsd:sequence>
      </xsd:complexType>
    </xsd:element>
    <xsd:element name="TaxCatchAllLabel" ma:index="39" nillable="true" ma:displayName="Taxonomy Catch All Column1" ma:hidden="true" ma:list="{89b258cd-c887-4e09-be29-74285c311572}" ma:internalName="TaxCatchAllLabel" ma:readOnly="false" ma:showField="CatchAllDataLabel" ma:web="0d8f00d2-86fc-4eff-afef-8f73dd50878e">
      <xsd:complexType>
        <xsd:complexContent>
          <xsd:extension base="dms:MultiChoiceLookup">
            <xsd:sequence>
              <xsd:element name="Value" type="dms:Lookup" maxOccurs="unbounded" minOccurs="0" nillable="true"/>
            </xsd:sequence>
          </xsd:extension>
        </xsd:complexContent>
      </xsd:complexType>
    </xsd:element>
    <xsd:element name="TaxCatchAll" ma:index="40" nillable="true" ma:displayName="Taxonomy Catch All Column" ma:hidden="true" ma:list="{89b258cd-c887-4e09-be29-74285c311572}" ma:internalName="TaxCatchAll" ma:readOnly="false" ma:showField="CatchAllData" ma:web="0d8f00d2-86fc-4eff-afef-8f73dd50878e">
      <xsd:complexType>
        <xsd:complexContent>
          <xsd:extension base="dms:MultiChoiceLookup">
            <xsd:sequence>
              <xsd:element name="Value" type="dms:Lookup" maxOccurs="unbounded" minOccurs="0" nillable="true"/>
            </xsd:sequence>
          </xsd:extension>
        </xsd:complexContent>
      </xsd:complexType>
    </xsd:element>
    <xsd:element name="oa198490080c4764bc1f8325a2b96d35" ma:index="42" ma:taxonomy="true" ma:internalName="oa198490080c4764bc1f8325a2b96d35" ma:taxonomyFieldName="fccc_session" ma:displayName="Session" ma:indexed="true" ma:readOnly="false" ma:default="" ma:fieldId="{8a198490-080c-4764-bc1f-8325a2b96d35}" ma:sspId="9d8c265a-5436-43a7-80c1-713d2827ffde" ma:termSetId="1611a8e0-6649-410b-8f06-808e5a09613d" ma:anchorId="00000000-0000-0000-0000-000000000000" ma:open="false" ma:isKeyword="false">
      <xsd:complexType>
        <xsd:sequence>
          <xsd:element ref="pc:Terms" minOccurs="0" maxOccurs="1"/>
        </xsd:sequence>
      </xsd:complexType>
    </xsd:element>
    <xsd:element name="mb2653527eb04114b1d23d229a13893d" ma:index="43" ma:taxonomy="true" ma:internalName="mb2653527eb04114b1d23d229a13893d" ma:taxonomyFieldName="fccc_substantive_topic" ma:displayName="Substantive topic" ma:readOnly="false" ma:default="" ma:fieldId="{6b265352-7eb0-4114-b1d2-3d229a13893d}" ma:taxonomyMulti="true" ma:sspId="9d8c265a-5436-43a7-80c1-713d2827ffde" ma:termSetId="6d73896b-a30d-450f-931e-bcec54fbb456" ma:anchorId="54ce9e4c-7f03-4b3d-9454-fdad40c853d4"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8f00d2-86fc-4eff-afef-8f73dd50878e" elementFormDefault="qualified">
    <xsd:import namespace="http://schemas.microsoft.com/office/2006/documentManagement/types"/>
    <xsd:import namespace="http://schemas.microsoft.com/office/infopath/2007/PartnerControls"/>
    <xsd:element name="CMS_x0020_doc_x0020_type" ma:index="20" nillable="true" ma:displayName="CMS doc type" ma:default="Enter Choice #1" ma:format="Dropdown" ma:internalName="CMS_x0020_doc_x0020_type" ma:readOnly="false">
      <xsd:simpleType>
        <xsd:restriction base="dms:Choice">
          <xsd:enumeration value="Enter Choice #1"/>
          <xsd:enumeration value="Enter Choice #2"/>
          <xsd:enumeration value="Enter Choice #3"/>
        </xsd:restriction>
      </xsd:simpleType>
    </xsd:element>
    <xsd:element name="Abstract" ma:index="21" nillable="true" ma:displayName="Abstract" ma:internalName="Abstract" ma:readOnly="false">
      <xsd:simpleType>
        <xsd:restriction base="dms:Note">
          <xsd:maxLength value="255"/>
        </xsd:restriction>
      </xsd:simpleType>
    </xsd:element>
    <xsd:element name="CMS_x0020_notes" ma:index="24" nillable="true" ma:displayName="CMS notes" ma:internalName="CMS_x0020_notes" ma:readOnly="false">
      <xsd:simpleType>
        <xsd:restriction base="dms:Note">
          <xsd:maxLength value="255"/>
        </xsd:restriction>
      </xsd:simpleType>
    </xsd:element>
    <xsd:element name="Publication_x0020_date" ma:index="25" nillable="true" ma:displayName="Publication date" ma:format="DateOnly" ma:internalName="Publication_x0020_date" ma:readOnly="false">
      <xsd:simpleType>
        <xsd:restriction base="dms:DateTime"/>
      </xsd:simpleType>
    </xsd:element>
    <xsd:element name="Document_x0020_highlight" ma:index="26" nillable="true" ma:displayName="Document highlight" ma:default="0" ma:internalName="Document_x0020_highlight" ma:readOnly="false">
      <xsd:simpleType>
        <xsd:restriction base="dms:Boolean"/>
      </xsd:simpleType>
    </xsd:element>
    <xsd:element name="_dlc_DocIdUrl" ma:index="27"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S_x0020_clearance_x0020_required" ma:index="28" nillable="true" ma:displayName="ES clearance required" ma:default="0" ma:internalName="ES_x0020_clearance_x0020_required">
      <xsd:simpleType>
        <xsd:restriction base="dms:Boolean"/>
      </xsd:simpleType>
    </xsd:element>
    <xsd:element name="Anyone_x0020_to_x0020_clear_x0020_before_x0020_the_x0020_ES" ma:index="29" nillable="true" ma:displayName="Anyone to clear before the ES" ma:list="UserInfo" ma:SharePointGroup="0" ma:internalName="Anyone_x0020_to_x0020_clear_x0020_before_x0020_the_x0020_E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31" nillable="true" ma:displayName="Document ID Value" ma:description="The value of the document ID assigned to this item." ma:hidden="true" ma:internalName="_dlc_DocId" ma:readOnly="false">
      <xsd:simpleType>
        <xsd:restriction base="dms:Text"/>
      </xsd:simpleType>
    </xsd:element>
    <xsd:element name="_dlc_DocIdPersistId" ma:index="33" nillable="true" ma:displayName="Persist ID" ma:description="Keep ID on add." ma:hidden="true" ma:internalName="_dlc_DocIdPersistId" ma:readOnly="false">
      <xsd:simpleType>
        <xsd:restriction base="dms:Boolean"/>
      </xsd:simpleType>
    </xsd:element>
    <xsd:element name="c51c080fb2d149e1934818200981989c" ma:index="35" nillable="true" ma:taxonomy="true" ma:internalName="c51c080fb2d149e1934818200981989c" ma:taxonomyFieldName="Corporate_x0020_author" ma:displayName="Corporate author" ma:readOnly="false" ma:fieldId="{c51c080f-b2d1-49e1-9348-18200981989c}" ma:sspId="9d8c265a-5436-43a7-80c1-713d2827ffde" ma:termSetId="b947cb12-111a-4f80-866c-224331aefa1b" ma:anchorId="00000000-0000-0000-0000-000000000000" ma:open="false" ma:isKeyword="false">
      <xsd:complexType>
        <xsd:sequence>
          <xsd:element ref="pc:Terms" minOccurs="0" maxOccurs="1"/>
        </xsd:sequence>
      </xsd:complexType>
    </xsd:element>
    <xsd:element name="l6e091cbada04ed4b01f309d1d8edbb4" ma:index="37" nillable="true" ma:taxonomy="true" ma:internalName="l6e091cbada04ed4b01f309d1d8edbb4" ma:taxonomyFieldName="Conference" ma:displayName="Conference" ma:readOnly="false" ma:fieldId="{56e091cb-ada0-4ed4-b01f-309d1d8edbb4}" ma:sspId="9d8c265a-5436-43a7-80c1-713d2827ffde" ma:termSetId="1611a8e0-6649-410b-8f06-808e5a09613d" ma:anchorId="00000000-0000-0000-0000-000000000000" ma:open="false" ma:isKeyword="false">
      <xsd:complexType>
        <xsd:sequence>
          <xsd:element ref="pc:Terms" minOccurs="0" maxOccurs="1"/>
        </xsd:sequence>
      </xsd:complexType>
    </xsd:element>
    <xsd:element name="mc8c0c91454a4efc97cb5a2e90a99718" ma:index="45" nillable="true" ma:taxonomy="true" ma:internalName="mc8c0c91454a4efc97cb5a2e90a99718" ma:taxonomyFieldName="Document_x0020_Group" ma:displayName="Document Group" ma:default="" ma:fieldId="{6c8c0c91-454a-4efc-97cb-5a2e90a99718}" ma:sspId="9d8c265a-5436-43a7-80c1-713d2827ffde" ma:termSetId="402d845c-ea89-4587-b9cd-118b35296e9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734451-5aa3-46b3-aa01-db3e7878d212" elementFormDefault="qualified">
    <xsd:import namespace="http://schemas.microsoft.com/office/2006/documentManagement/types"/>
    <xsd:import namespace="http://schemas.microsoft.com/office/infopath/2007/PartnerControls"/>
    <xsd:element name="Template_x003f_" ma:index="19" nillable="true" ma:displayName="Template?" ma:default="0" ma:description="To indicate whether doc is a template (Docs unit use only)" ma:indexed="true" ma:internalName="Template_x003f_">
      <xsd:simpleType>
        <xsd:restriction base="dms:Boolean"/>
      </xsd:simpleType>
    </xsd:element>
    <xsd:element name="MediaServiceObjectDetectorVersions" ma:index="47" nillable="true" ma:displayName="MediaServiceObjectDetectorVersions" ma:hidden="true" ma:indexed="true" ma:internalName="MediaServiceObjectDetectorVersions" ma:readOnly="true">
      <xsd:simpleType>
        <xsd:restriction base="dms:Text"/>
      </xsd:simpleType>
    </xsd:element>
    <xsd:element name="MediaServiceLocation" ma:index="48" nillable="true" ma:displayName="Location" ma:indexed="true" ma:internalName="MediaServiceLocation" ma:readOnly="true">
      <xsd:simpleType>
        <xsd:restriction base="dms:Text"/>
      </xsd:simpleType>
    </xsd:element>
    <xsd:element name="ReadyforLA_x002f_IS_x002f_OES" ma:index="49" nillable="true" ma:displayName="Ready for LA/IS/OES" ma:default="0" ma:description="Ready for LA/IS/OES review" ma:format="Dropdown" ma:internalName="ReadyforLA_x002f_IS_x002f_OES">
      <xsd:simpleType>
        <xsd:restriction base="dms:Boolean"/>
      </xsd:simpleType>
    </xsd:element>
    <xsd:element name="readyforgDoc" ma:index="50" nillable="true" ma:displayName="ready for gDoc" ma:default="0" ma:format="Dropdown" ma:indexed="true" ma:internalName="readyforgDoc">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d8c265a-5436-43a7-80c1-713d2827ffde" ContentTypeId="0x010100FBF3CCE9969B6749B3CE13949E44C4B504" PreviousValue="true"/>
</file>

<file path=customXml/item3.xml><?xml version="1.0" encoding="utf-8"?>
<ct:contentTypeSchema xmlns:ct="http://schemas.microsoft.com/office/2006/metadata/contentType" xmlns:ma="http://schemas.microsoft.com/office/2006/metadata/properties/metaAttributes" ct:_="" ma:_="" ma:contentTypeName="Document" ma:contentTypeID="0x0101008AC43BD3B1C32345B64B93C0E2E6DE77" ma:contentTypeVersion="17" ma:contentTypeDescription="Create a new document." ma:contentTypeScope="" ma:versionID="665326ab6ffad1d8e16edad39caf098a">
  <xsd:schema xmlns:xsd="http://www.w3.org/2001/XMLSchema" xmlns:xs="http://www.w3.org/2001/XMLSchema" xmlns:p="http://schemas.microsoft.com/office/2006/metadata/properties" xmlns:ns2="53f5a02c-1be6-4c82-aa75-9e9b6c14122e" xmlns:ns3="03882b7b-f27e-4a6f-b3bf-911600743e5d" targetNamespace="http://schemas.microsoft.com/office/2006/metadata/properties" ma:root="true" ma:fieldsID="59bd6518f262166ebfafa5b8f8f4c78d" ns2:_="" ns3:_="">
    <xsd:import namespace="53f5a02c-1be6-4c82-aa75-9e9b6c14122e"/>
    <xsd:import namespace="03882b7b-f27e-4a6f-b3bf-911600743e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Group_x002f_Party"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5a02c-1be6-4c82-aa75-9e9b6c141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roup_x002f_Party" ma:index="20" nillable="true" ma:displayName="Group/Party" ma:internalName="Group_x002f_Party">
      <xsd:simpleType>
        <xsd:restriction base="dms:Text">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882b7b-f27e-4a6f-b3bf-911600743e5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059ef3-73ba-419b-807e-f501a960f107}" ma:internalName="TaxCatchAll" ma:showField="CatchAllData" ma:web="03882b7b-f27e-4a6f-b3bf-911600743e5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3882b7b-f27e-4a6f-b3bf-911600743e5d" xsi:nil="true"/>
    <Group_x002f_Party xmlns="53f5a02c-1be6-4c82-aa75-9e9b6c14122e" xsi:nil="true"/>
    <lcf76f155ced4ddcb4097134ff3c332f xmlns="53f5a02c-1be6-4c82-aa75-9e9b6c14122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054685-07E5-49D6-87BB-6C7A9B1F7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559c4-8463-4985-927f-f0d558bff8f0"/>
    <ds:schemaRef ds:uri="0d8f00d2-86fc-4eff-afef-8f73dd50878e"/>
    <ds:schemaRef ds:uri="38734451-5aa3-46b3-aa01-db3e7878d2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AC7D5-925A-4686-80D0-1424372F6A6B}">
  <ds:schemaRefs>
    <ds:schemaRef ds:uri="Microsoft.SharePoint.Taxonomy.ContentTypeSync"/>
  </ds:schemaRefs>
</ds:datastoreItem>
</file>

<file path=customXml/itemProps3.xml><?xml version="1.0" encoding="utf-8"?>
<ds:datastoreItem xmlns:ds="http://schemas.openxmlformats.org/officeDocument/2006/customXml" ds:itemID="{9A4D0631-B4D1-425C-850C-8ADA5349765B}"/>
</file>

<file path=customXml/itemProps4.xml><?xml version="1.0" encoding="utf-8"?>
<ds:datastoreItem xmlns:ds="http://schemas.openxmlformats.org/officeDocument/2006/customXml" ds:itemID="{5101CDF3-4142-4C6C-A269-A08AB87E04CB}">
  <ds:schemaRefs>
    <ds:schemaRef ds:uri="http://schemas.microsoft.com/office/2006/metadata/properties"/>
    <ds:schemaRef ds:uri="http://schemas.microsoft.com/office/infopath/2007/PartnerControls"/>
    <ds:schemaRef ds:uri="eb4559c4-8463-4985-927f-f0d558bff8f0"/>
    <ds:schemaRef ds:uri="0d8f00d2-86fc-4eff-afef-8f73dd50878e"/>
    <ds:schemaRef ds:uri="38734451-5aa3-46b3-aa01-db3e7878d212"/>
  </ds:schemaRefs>
</ds:datastoreItem>
</file>

<file path=customXml/itemProps5.xml><?xml version="1.0" encoding="utf-8"?>
<ds:datastoreItem xmlns:ds="http://schemas.openxmlformats.org/officeDocument/2006/customXml" ds:itemID="{5230DBF1-FD54-4F4F-A91A-B911D252084E}">
  <ds:schemaRefs>
    <ds:schemaRef ds:uri="http://schemas.openxmlformats.org/officeDocument/2006/bibliography"/>
  </ds:schemaRefs>
</ds:datastoreItem>
</file>

<file path=customXml/itemProps6.xml><?xml version="1.0" encoding="utf-8"?>
<ds:datastoreItem xmlns:ds="http://schemas.openxmlformats.org/officeDocument/2006/customXml" ds:itemID="{0CBBB20F-428D-47CB-8A3F-5023031AAD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DraftText.dotm</Template>
  <TotalTime>75</TotalTime>
  <Pages>43</Pages>
  <Words>15271</Words>
  <Characters>87045</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Guidance on cooperative approaches referred to in Article 6, paragraph 2, of the Paris Agreement and in decision 2/CMA.3</vt:lpstr>
    </vt:vector>
  </TitlesOfParts>
  <Company>UNFCCC</Company>
  <LinksUpToDate>false</LinksUpToDate>
  <CharactersWithSpaces>102112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on cooperative approaches referred to in Article 6, paragraph 2, of the Paris Agreement and in decision 2/CMA.3</dc:title>
  <dc:subject/>
  <dc:creator>Aisulu Aldasheva</dc:creator>
  <cp:keywords/>
  <dc:description>Updated for SB60</dc:description>
  <cp:lastModifiedBy>Gaye Dare-Flores</cp:lastModifiedBy>
  <cp:revision>46</cp:revision>
  <cp:lastPrinted>2024-11-14T10:28:00Z</cp:lastPrinted>
  <dcterms:created xsi:type="dcterms:W3CDTF">2024-08-16T14:03:00Z</dcterms:created>
  <dcterms:modified xsi:type="dcterms:W3CDTF">2024-11-14T10:35:00Z</dcterms:modified>
  <cp:category>DraftText Template 2024</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DraftText</vt:lpwstr>
  </property>
  <property fmtid="{D5CDD505-2E9C-101B-9397-08002B2CF9AE}" pid="3" name="ContentTypeId">
    <vt:lpwstr>0x0101008AC43BD3B1C32345B64B93C0E2E6DE77</vt:lpwstr>
  </property>
  <property fmtid="{D5CDD505-2E9C-101B-9397-08002B2CF9AE}" pid="4" name="MediaServiceImageTags">
    <vt:lpwstr/>
  </property>
  <property fmtid="{D5CDD505-2E9C-101B-9397-08002B2CF9AE}" pid="5" name="_dlc_DocIdItemGuid">
    <vt:lpwstr>6dee3b92-775f-4e1e-a83b-d63a74298b81</vt:lpwstr>
  </property>
  <property fmtid="{D5CDD505-2E9C-101B-9397-08002B2CF9AE}" pid="6" name="fccc_body">
    <vt:lpwstr>11;#Subsidiary Body for Scientific and Technological Advice (SBSTA)|1180ba09-8201-4eaa-b845-b5097c22079f</vt:lpwstr>
  </property>
  <property fmtid="{D5CDD505-2E9C-101B-9397-08002B2CF9AE}" pid="7" name="kb2e315405fe407aa7f85ff4a1d5bcda">
    <vt:lpwstr/>
  </property>
  <property fmtid="{D5CDD505-2E9C-101B-9397-08002B2CF9AE}" pid="8" name="fccc_substantive_topic">
    <vt:lpwstr>836;#Article 6 of the Paris Agreement|8669c32e-3a18-4e1c-a981-90ae8787354c</vt:lpwstr>
  </property>
  <property fmtid="{D5CDD505-2E9C-101B-9397-08002B2CF9AE}" pid="9" name="fccc_Keywords">
    <vt:lpwstr>36;#mitigation|6806ae30-088f-4048-b131-3e3ac7c4e5cd</vt:lpwstr>
  </property>
  <property fmtid="{D5CDD505-2E9C-101B-9397-08002B2CF9AE}" pid="10" name="fccc_session">
    <vt:lpwstr>832;#SBSTA 61|e2174d86-8fec-4863-a513-bc0d0081b94d</vt:lpwstr>
  </property>
  <property fmtid="{D5CDD505-2E9C-101B-9397-08002B2CF9AE}" pid="11" name="Web_x0020_doc_x0020_type">
    <vt:lpwstr/>
  </property>
  <property fmtid="{D5CDD505-2E9C-101B-9397-08002B2CF9AE}" pid="12" name="Conference">
    <vt:lpwstr/>
  </property>
  <property fmtid="{D5CDD505-2E9C-101B-9397-08002B2CF9AE}" pid="13" name="Corporate author">
    <vt:lpwstr/>
  </property>
  <property fmtid="{D5CDD505-2E9C-101B-9397-08002B2CF9AE}" pid="14" name="Document Group">
    <vt:lpwstr/>
  </property>
  <property fmtid="{D5CDD505-2E9C-101B-9397-08002B2CF9AE}" pid="15" name="lcf76f155ced4ddcb4097134ff3c332f">
    <vt:lpwstr/>
  </property>
  <property fmtid="{D5CDD505-2E9C-101B-9397-08002B2CF9AE}" pid="16" name="Web doc type">
    <vt:lpwstr/>
  </property>
  <property fmtid="{D5CDD505-2E9C-101B-9397-08002B2CF9AE}" pid="17" name="LinkedUNFCCCDocumentTracker">
    <vt:lpwstr>7507</vt:lpwstr>
  </property>
  <property fmtid="{D5CDD505-2E9C-101B-9397-08002B2CF9AE}" pid="18" name="Corporate_x0020_author">
    <vt:lpwstr/>
  </property>
  <property fmtid="{D5CDD505-2E9C-101B-9397-08002B2CF9AE}" pid="19" name="Document_x0020_Group">
    <vt:lpwstr/>
  </property>
</Properties>
</file>