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C84" w:rsidRDefault="00440C84" w:rsidP="00440C84">
      <w:pPr>
        <w:pStyle w:val="a3"/>
        <w:numPr>
          <w:ilvl w:val="0"/>
          <w:numId w:val="1"/>
        </w:numPr>
        <w:ind w:leftChars="0"/>
      </w:pPr>
      <w:bookmarkStart w:id="0" w:name="OLE_LINK1"/>
      <w:bookmarkStart w:id="1" w:name="OLE_LINK2"/>
      <w:r>
        <w:rPr>
          <w:rFonts w:hint="eastAsia"/>
        </w:rPr>
        <w:t>国民主権　基本的人権の保障　平和主義</w:t>
      </w:r>
    </w:p>
    <w:p w:rsidR="00440C84" w:rsidRDefault="009734D5" w:rsidP="00440C84">
      <w:pPr>
        <w:pStyle w:val="a3"/>
        <w:numPr>
          <w:ilvl w:val="0"/>
          <w:numId w:val="1"/>
        </w:numPr>
        <w:ind w:leftChars="0"/>
      </w:pPr>
      <w:r>
        <w:rPr>
          <w:rFonts w:hint="eastAsia"/>
        </w:rPr>
        <w:t>公務員</w:t>
      </w:r>
    </w:p>
    <w:p w:rsidR="009734D5" w:rsidRDefault="009734D5" w:rsidP="00440C84">
      <w:pPr>
        <w:pStyle w:val="a3"/>
        <w:numPr>
          <w:ilvl w:val="0"/>
          <w:numId w:val="1"/>
        </w:numPr>
        <w:ind w:leftChars="0"/>
      </w:pPr>
      <w:r>
        <w:rPr>
          <w:rFonts w:hint="eastAsia"/>
        </w:rPr>
        <w:t>憲法とは、国家権力を制限して、国民の権利、自由を守る法である。</w:t>
      </w:r>
    </w:p>
    <w:p w:rsidR="009734D5" w:rsidRDefault="009734D5" w:rsidP="009734D5">
      <w:pPr>
        <w:pStyle w:val="a3"/>
        <w:numPr>
          <w:ilvl w:val="0"/>
          <w:numId w:val="1"/>
        </w:numPr>
        <w:ind w:leftChars="0"/>
      </w:pPr>
      <w:r>
        <w:rPr>
          <w:rFonts w:hint="eastAsia"/>
        </w:rPr>
        <w:t>法の支配とは、専断的な国家権力による支配、人による支配を排斥し、権力を法で拘束することによって国民の権利を保障しようとする考え方。</w:t>
      </w:r>
    </w:p>
    <w:p w:rsidR="009734D5" w:rsidRDefault="009734D5" w:rsidP="009734D5">
      <w:pPr>
        <w:pStyle w:val="a3"/>
        <w:ind w:leftChars="0" w:left="360"/>
      </w:pPr>
      <w:r>
        <w:rPr>
          <w:rFonts w:hint="eastAsia"/>
        </w:rPr>
        <w:t>特徴：憲法が最高法規であること。</w:t>
      </w:r>
    </w:p>
    <w:p w:rsidR="009734D5" w:rsidRDefault="009734D5" w:rsidP="009734D5">
      <w:pPr>
        <w:pStyle w:val="a3"/>
        <w:ind w:leftChars="0" w:left="360"/>
      </w:pPr>
      <w:r>
        <w:tab/>
      </w:r>
      <w:r>
        <w:rPr>
          <w:rFonts w:hint="eastAsia"/>
        </w:rPr>
        <w:t>権力によっても侵されない個人の人権をしっかり保障すること</w:t>
      </w:r>
    </w:p>
    <w:p w:rsidR="009734D5" w:rsidRDefault="009734D5" w:rsidP="009734D5">
      <w:pPr>
        <w:pStyle w:val="a3"/>
        <w:ind w:leftChars="0" w:left="360"/>
      </w:pPr>
      <w:r>
        <w:tab/>
      </w:r>
      <w:r w:rsidR="007F43EB">
        <w:rPr>
          <w:rFonts w:hint="eastAsia"/>
        </w:rPr>
        <w:t>法の内容の正しさおよび手続きの公正さを要求すること。</w:t>
      </w:r>
    </w:p>
    <w:p w:rsidR="007F43EB" w:rsidRDefault="007F43EB" w:rsidP="009734D5">
      <w:pPr>
        <w:pStyle w:val="a3"/>
        <w:ind w:leftChars="0" w:left="360"/>
      </w:pPr>
      <w:r>
        <w:tab/>
      </w:r>
      <w:r>
        <w:rPr>
          <w:rFonts w:hint="eastAsia"/>
        </w:rPr>
        <w:t>裁判所の役割を重視する。</w:t>
      </w:r>
    </w:p>
    <w:p w:rsidR="007F43EB" w:rsidRDefault="007F43EB" w:rsidP="007F43EB">
      <w:r>
        <w:rPr>
          <w:rFonts w:hint="eastAsia"/>
        </w:rPr>
        <w:t>５．法文が不明確かどうかの判断基準：「通常の判断能力を有する一般人の理解において、具体的場合</w:t>
      </w:r>
      <w:r w:rsidR="00BB2B7D">
        <w:rPr>
          <w:rFonts w:hint="eastAsia"/>
        </w:rPr>
        <w:t>に当該行為がその適用を受けるものかどうかの判断を可能ならしめるような基準が読み取れるかどうか」</w:t>
      </w:r>
    </w:p>
    <w:p w:rsidR="00BB2B7D" w:rsidRDefault="00BB2B7D" w:rsidP="007F43EB">
      <w:r>
        <w:rPr>
          <w:rFonts w:hint="eastAsia"/>
        </w:rPr>
        <w:t>６．公共の福祉とは、人権相互の矛盾、衝突を調整するための実質的公平の原理である。</w:t>
      </w:r>
    </w:p>
    <w:p w:rsidR="00BB2B7D" w:rsidRDefault="00BB2B7D" w:rsidP="00BB2B7D">
      <w:pPr>
        <w:widowControl/>
        <w:jc w:val="left"/>
        <w:rPr>
          <w:rFonts w:asciiTheme="minorEastAsia" w:hAnsiTheme="minorEastAsia" w:cs="ＭＳ Ｐゴシック"/>
          <w:kern w:val="0"/>
          <w:szCs w:val="21"/>
        </w:rPr>
      </w:pPr>
      <w:r>
        <w:rPr>
          <w:rFonts w:hint="eastAsia"/>
        </w:rPr>
        <w:t>７．（１）「</w:t>
      </w:r>
      <w:r w:rsidRPr="00BB2B7D">
        <w:rPr>
          <w:rFonts w:asciiTheme="minorEastAsia" w:hAnsiTheme="minorEastAsia" w:cs="ＭＳ Ｐゴシック"/>
          <w:kern w:val="0"/>
          <w:szCs w:val="21"/>
        </w:rPr>
        <w:t>憲法上、外国人は、わが国に入国する自由を 保障されているものでないことはもちろん、所論のように在留の権利ないし引き続き在留することを要求しうる 権利を保障されているものでもないと解すべきである</w:t>
      </w:r>
      <w:r>
        <w:rPr>
          <w:rFonts w:asciiTheme="minorEastAsia" w:hAnsiTheme="minorEastAsia" w:cs="ＭＳ Ｐゴシック" w:hint="eastAsia"/>
          <w:kern w:val="0"/>
          <w:szCs w:val="21"/>
        </w:rPr>
        <w:t>」</w:t>
      </w:r>
      <w:bookmarkStart w:id="2" w:name="_GoBack"/>
      <w:bookmarkEnd w:id="2"/>
    </w:p>
    <w:p w:rsidR="00BB2B7D" w:rsidRDefault="00BB2B7D" w:rsidP="00BB2B7D">
      <w:pPr>
        <w:widowControl/>
        <w:jc w:val="left"/>
        <w:rPr>
          <w:rFonts w:asciiTheme="minorEastAsia" w:hAnsiTheme="minorEastAsia" w:cs="ＭＳ Ｐゴシック"/>
          <w:kern w:val="0"/>
          <w:szCs w:val="21"/>
        </w:rPr>
      </w:pPr>
      <w:r>
        <w:rPr>
          <w:rFonts w:asciiTheme="minorEastAsia" w:hAnsiTheme="minorEastAsia" w:cs="ＭＳ Ｐゴシック" w:hint="eastAsia"/>
          <w:kern w:val="0"/>
          <w:szCs w:val="21"/>
        </w:rPr>
        <w:t>（２）選挙権、被選挙権</w:t>
      </w:r>
    </w:p>
    <w:p w:rsidR="00543A0F" w:rsidRDefault="00BB2B7D" w:rsidP="00BB2B7D">
      <w:pPr>
        <w:widowControl/>
        <w:jc w:val="left"/>
        <w:rPr>
          <w:rFonts w:asciiTheme="minorEastAsia" w:hAnsiTheme="minorEastAsia" w:cs="ＭＳ Ｐゴシック"/>
          <w:kern w:val="0"/>
          <w:szCs w:val="21"/>
        </w:rPr>
      </w:pPr>
      <w:r>
        <w:rPr>
          <w:rFonts w:asciiTheme="minorEastAsia" w:hAnsiTheme="minorEastAsia" w:cs="ＭＳ Ｐゴシック" w:hint="eastAsia"/>
          <w:kern w:val="0"/>
          <w:szCs w:val="21"/>
        </w:rPr>
        <w:t>８．</w:t>
      </w:r>
      <w:bookmarkEnd w:id="0"/>
      <w:bookmarkEnd w:id="1"/>
      <w:r w:rsidR="00543A0F">
        <w:rPr>
          <w:rFonts w:asciiTheme="minorEastAsia" w:hAnsiTheme="minorEastAsia" w:cs="ＭＳ Ｐゴシック" w:hint="eastAsia"/>
          <w:kern w:val="0"/>
          <w:szCs w:val="21"/>
        </w:rPr>
        <w:t>（１）二重の基準論とは、精神的自由権を規制する法律に対しては厳格な審査基準でのぞみ、経済的自由権を規制する法律に関しては緩やかな審査基準でのぞむ。ということである。</w:t>
      </w:r>
    </w:p>
    <w:p w:rsidR="00543A0F" w:rsidRDefault="00543A0F" w:rsidP="00BB2B7D">
      <w:pPr>
        <w:widowControl/>
        <w:jc w:val="left"/>
        <w:rPr>
          <w:rFonts w:asciiTheme="minorEastAsia" w:hAnsiTheme="minorEastAsia" w:cs="ＭＳ Ｐゴシック"/>
          <w:kern w:val="0"/>
          <w:szCs w:val="21"/>
        </w:rPr>
      </w:pPr>
      <w:r>
        <w:rPr>
          <w:rFonts w:asciiTheme="minorEastAsia" w:hAnsiTheme="minorEastAsia" w:cs="ＭＳ Ｐゴシック" w:hint="eastAsia"/>
          <w:kern w:val="0"/>
          <w:szCs w:val="21"/>
        </w:rPr>
        <w:t>（２）</w:t>
      </w:r>
      <w:r w:rsidR="00C31284">
        <w:rPr>
          <w:rFonts w:asciiTheme="minorEastAsia" w:hAnsiTheme="minorEastAsia" w:cs="ＭＳ Ｐゴシック" w:hint="eastAsia"/>
          <w:kern w:val="0"/>
          <w:szCs w:val="21"/>
        </w:rPr>
        <w:t>事前抑制禁止の理論</w:t>
      </w:r>
    </w:p>
    <w:p w:rsidR="00C31284" w:rsidRDefault="00C31284" w:rsidP="00BB2B7D">
      <w:pPr>
        <w:widowControl/>
        <w:jc w:val="left"/>
        <w:rPr>
          <w:rFonts w:asciiTheme="minorEastAsia" w:hAnsiTheme="minorEastAsia" w:cs="ＭＳ Ｐゴシック"/>
          <w:kern w:val="0"/>
          <w:szCs w:val="21"/>
        </w:rPr>
      </w:pPr>
      <w:r>
        <w:rPr>
          <w:rFonts w:asciiTheme="minorEastAsia" w:hAnsiTheme="minorEastAsia" w:cs="ＭＳ Ｐゴシック"/>
          <w:kern w:val="0"/>
          <w:szCs w:val="21"/>
        </w:rPr>
        <w:tab/>
      </w:r>
      <w:r>
        <w:rPr>
          <w:rFonts w:asciiTheme="minorEastAsia" w:hAnsiTheme="minorEastAsia" w:cs="ＭＳ Ｐゴシック" w:hint="eastAsia"/>
          <w:kern w:val="0"/>
          <w:szCs w:val="21"/>
        </w:rPr>
        <w:t>明確性の理論</w:t>
      </w:r>
    </w:p>
    <w:p w:rsidR="00C31284" w:rsidRDefault="00C31284" w:rsidP="00BB2B7D">
      <w:pPr>
        <w:widowControl/>
        <w:jc w:val="left"/>
        <w:rPr>
          <w:rFonts w:asciiTheme="minorEastAsia" w:hAnsiTheme="minorEastAsia" w:cs="ＭＳ Ｐゴシック"/>
          <w:kern w:val="0"/>
          <w:szCs w:val="21"/>
        </w:rPr>
      </w:pPr>
      <w:r>
        <w:rPr>
          <w:rFonts w:asciiTheme="minorEastAsia" w:hAnsiTheme="minorEastAsia" w:cs="ＭＳ Ｐゴシック"/>
          <w:kern w:val="0"/>
          <w:szCs w:val="21"/>
        </w:rPr>
        <w:tab/>
      </w:r>
      <w:r>
        <w:rPr>
          <w:rFonts w:asciiTheme="minorEastAsia" w:hAnsiTheme="minorEastAsia" w:cs="ＭＳ Ｐゴシック" w:hint="eastAsia"/>
          <w:kern w:val="0"/>
          <w:szCs w:val="21"/>
        </w:rPr>
        <w:t>「明白かつ現在の危険」の基準</w:t>
      </w:r>
    </w:p>
    <w:p w:rsidR="00C31284" w:rsidRPr="00BB2B7D" w:rsidRDefault="00C31284" w:rsidP="00BB2B7D">
      <w:pPr>
        <w:widowControl/>
        <w:jc w:val="left"/>
        <w:rPr>
          <w:rFonts w:asciiTheme="minorEastAsia" w:hAnsiTheme="minorEastAsia" w:cs="ＭＳ Ｐゴシック"/>
          <w:kern w:val="0"/>
          <w:szCs w:val="21"/>
        </w:rPr>
      </w:pPr>
      <w:r>
        <w:rPr>
          <w:rFonts w:asciiTheme="minorEastAsia" w:hAnsiTheme="minorEastAsia" w:cs="ＭＳ Ｐゴシック"/>
          <w:kern w:val="0"/>
          <w:szCs w:val="21"/>
        </w:rPr>
        <w:tab/>
      </w:r>
      <w:r>
        <w:rPr>
          <w:rFonts w:asciiTheme="minorEastAsia" w:hAnsiTheme="minorEastAsia" w:cs="ＭＳ Ｐゴシック" w:hint="eastAsia"/>
          <w:kern w:val="0"/>
          <w:szCs w:val="21"/>
        </w:rPr>
        <w:t>LRAの基準</w:t>
      </w:r>
      <w:r w:rsidR="00E32BA5">
        <w:rPr>
          <w:rFonts w:asciiTheme="minorEastAsia" w:hAnsiTheme="minorEastAsia" w:cs="ＭＳ Ｐゴシック" w:hint="eastAsia"/>
          <w:kern w:val="0"/>
          <w:szCs w:val="21"/>
        </w:rPr>
        <w:t>（より制限的でない他の選びうる基準）</w:t>
      </w:r>
    </w:p>
    <w:sectPr w:rsidR="00C31284" w:rsidRPr="00BB2B7D" w:rsidSect="009F491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25563"/>
    <w:multiLevelType w:val="hybridMultilevel"/>
    <w:tmpl w:val="88CC5D02"/>
    <w:lvl w:ilvl="0" w:tplc="7A7AF94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A2"/>
    <w:rsid w:val="00214B90"/>
    <w:rsid w:val="00440C84"/>
    <w:rsid w:val="00543A0F"/>
    <w:rsid w:val="007A3280"/>
    <w:rsid w:val="007F43EB"/>
    <w:rsid w:val="009734D5"/>
    <w:rsid w:val="009F4918"/>
    <w:rsid w:val="00B74AE3"/>
    <w:rsid w:val="00BB2B7D"/>
    <w:rsid w:val="00BE0E57"/>
    <w:rsid w:val="00C31284"/>
    <w:rsid w:val="00E27DA2"/>
    <w:rsid w:val="00E32B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FC8FBD"/>
  <w15:chartTrackingRefBased/>
  <w15:docId w15:val="{0DA1F05E-A64A-7248-909A-992FD31E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0C8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85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90</Words>
  <Characters>519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6</cp:revision>
  <dcterms:created xsi:type="dcterms:W3CDTF">2020-01-26T16:20:00Z</dcterms:created>
  <dcterms:modified xsi:type="dcterms:W3CDTF">2020-01-29T06:45:00Z</dcterms:modified>
</cp:coreProperties>
</file>