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FD3" w:rsidRDefault="00D66FD3" w:rsidP="00F315F7">
      <w:pPr>
        <w:jc w:val="center"/>
      </w:pPr>
      <w:r>
        <w:rPr>
          <w:rFonts w:hint="eastAsia"/>
        </w:rPr>
        <w:t>情報システム概論</w:t>
      </w:r>
      <w:r w:rsidR="00F315F7">
        <w:rPr>
          <w:rFonts w:hint="eastAsia"/>
        </w:rPr>
        <w:t xml:space="preserve">　課題１</w:t>
      </w:r>
    </w:p>
    <w:p w:rsidR="00F315F7" w:rsidRDefault="00F315F7" w:rsidP="00A62D20">
      <w:pPr>
        <w:jc w:val="right"/>
      </w:pPr>
      <w:r>
        <w:rPr>
          <w:rFonts w:hint="eastAsia"/>
        </w:rPr>
        <w:t>K19093　福本光重</w:t>
      </w:r>
    </w:p>
    <w:p w:rsidR="00A62D20" w:rsidRDefault="00A62D20" w:rsidP="00A62D20">
      <w:pPr>
        <w:jc w:val="left"/>
      </w:pPr>
    </w:p>
    <w:p w:rsidR="000B2566" w:rsidRDefault="00101444" w:rsidP="00101444">
      <w:pPr>
        <w:widowControl/>
        <w:ind w:left="105" w:hangingChars="50" w:hanging="105"/>
        <w:jc w:val="left"/>
        <w:rPr>
          <w:rFonts w:eastAsiaTheme="minorHAnsi" w:cs="ＭＳ Ｐゴシック"/>
          <w:color w:val="000000" w:themeColor="text1"/>
          <w:kern w:val="0"/>
          <w:szCs w:val="21"/>
          <w:shd w:val="clear" w:color="auto" w:fill="FFFFFF"/>
        </w:rPr>
      </w:pPr>
      <w:r w:rsidRPr="00101444">
        <w:rPr>
          <w:rFonts w:eastAsiaTheme="minorHAnsi"/>
          <w:szCs w:val="21"/>
          <w:u w:val="single"/>
        </w:rPr>
        <w:t>1.</w:t>
      </w:r>
      <w:r w:rsidR="00A62D20" w:rsidRPr="00101444">
        <w:rPr>
          <w:rFonts w:eastAsiaTheme="minorHAnsi"/>
          <w:szCs w:val="21"/>
          <w:u w:val="single"/>
        </w:rPr>
        <w:t>知的財産権関連法規</w:t>
      </w:r>
      <w:r w:rsidR="00783BAD">
        <w:rPr>
          <w:rFonts w:eastAsiaTheme="minorHAnsi"/>
          <w:szCs w:val="21"/>
        </w:rPr>
        <w:br/>
      </w:r>
      <w:r w:rsidR="00A62D20" w:rsidRPr="00101444">
        <w:rPr>
          <w:rFonts w:eastAsiaTheme="minorHAnsi" w:hint="eastAsia"/>
          <w:szCs w:val="21"/>
          <w:u w:val="single"/>
        </w:rPr>
        <w:t>・独占禁止法</w:t>
      </w:r>
      <w:r w:rsidR="005205F1" w:rsidRPr="00101444">
        <w:rPr>
          <w:rFonts w:eastAsiaTheme="minorHAnsi" w:hint="eastAsia"/>
          <w:szCs w:val="21"/>
          <w:u w:val="single"/>
        </w:rPr>
        <w:t>の</w:t>
      </w:r>
      <w:r w:rsidR="00783BAD" w:rsidRPr="00101444">
        <w:rPr>
          <w:rFonts w:eastAsiaTheme="minorHAnsi" w:hint="eastAsia"/>
          <w:szCs w:val="21"/>
          <w:u w:val="single"/>
        </w:rPr>
        <w:t>概要</w:t>
      </w:r>
      <w:r w:rsidR="005205F1">
        <w:rPr>
          <w:rFonts w:eastAsiaTheme="minorHAnsi"/>
          <w:szCs w:val="21"/>
        </w:rPr>
        <w:br/>
      </w:r>
      <w:r w:rsidR="005205F1">
        <w:rPr>
          <w:rFonts w:eastAsiaTheme="minorHAnsi" w:hint="eastAsia"/>
          <w:szCs w:val="21"/>
        </w:rPr>
        <w:t>独占禁止法（私的独占の禁止及び公正取引の確保に関する法律）の目的は、</w:t>
      </w:r>
      <w:r w:rsidR="00D8282E">
        <w:rPr>
          <w:rFonts w:eastAsiaTheme="minorHAnsi" w:hint="eastAsia"/>
          <w:szCs w:val="21"/>
        </w:rPr>
        <w:t>資本主義の市場経済において</w:t>
      </w:r>
      <w:r w:rsidR="005205F1">
        <w:rPr>
          <w:rFonts w:eastAsiaTheme="minorHAnsi" w:hint="eastAsia"/>
          <w:szCs w:val="21"/>
        </w:rPr>
        <w:t>公正かつ自由な競争を促進し、事業者が自主的な判断で自由に活動できるようにすることである。</w:t>
      </w:r>
      <w:r w:rsidR="000B2566">
        <w:rPr>
          <w:rFonts w:eastAsiaTheme="minorHAnsi" w:hint="eastAsia"/>
          <w:szCs w:val="21"/>
        </w:rPr>
        <w:t>独占禁止法で規制される行為には、主に次の３つがある。</w:t>
      </w:r>
      <w:r w:rsidR="000B2566">
        <w:rPr>
          <w:rFonts w:eastAsiaTheme="minorHAnsi"/>
          <w:szCs w:val="21"/>
        </w:rPr>
        <w:br/>
      </w:r>
      <w:r w:rsidR="000B2566" w:rsidRPr="00101444">
        <w:rPr>
          <w:rFonts w:eastAsiaTheme="minorHAnsi" w:hint="eastAsia"/>
          <w:szCs w:val="21"/>
        </w:rPr>
        <w:t>・私的独占</w:t>
      </w:r>
      <w:r w:rsidR="000B2566">
        <w:rPr>
          <w:rFonts w:eastAsiaTheme="minorHAnsi"/>
          <w:szCs w:val="21"/>
        </w:rPr>
        <w:br/>
      </w:r>
      <w:r w:rsidR="00173FB5">
        <w:rPr>
          <w:rFonts w:eastAsiaTheme="minorHAnsi" w:hint="eastAsia"/>
          <w:szCs w:val="21"/>
        </w:rPr>
        <w:t>事業者が単独または他の事業者と手を組み、不当な低価格販売、差別価格による販売などの手段を用いて、新規参入者の妨害を</w:t>
      </w:r>
      <w:proofErr w:type="gramStart"/>
      <w:r w:rsidR="00173FB5">
        <w:rPr>
          <w:rFonts w:eastAsiaTheme="minorHAnsi" w:hint="eastAsia"/>
          <w:szCs w:val="21"/>
        </w:rPr>
        <w:t>したり</w:t>
      </w:r>
      <w:proofErr w:type="gramEnd"/>
      <w:r w:rsidR="00173FB5">
        <w:rPr>
          <w:rFonts w:eastAsiaTheme="minorHAnsi" w:hint="eastAsia"/>
          <w:szCs w:val="21"/>
        </w:rPr>
        <w:t>、有力な事業者が、株式の取得、役員の派遣などにより、他の事業者の活動に制約を与える等の行為</w:t>
      </w:r>
      <w:r w:rsidR="000B2566">
        <w:rPr>
          <w:rFonts w:eastAsiaTheme="minorHAnsi" w:hint="eastAsia"/>
          <w:szCs w:val="21"/>
        </w:rPr>
        <w:br/>
      </w:r>
      <w:r w:rsidR="000B2566" w:rsidRPr="00101444">
        <w:rPr>
          <w:rFonts w:eastAsiaTheme="minorHAnsi" w:hint="eastAsia"/>
          <w:szCs w:val="21"/>
        </w:rPr>
        <w:t>・不当な取引の制限</w:t>
      </w:r>
      <w:r w:rsidR="00D96E0B">
        <w:rPr>
          <w:rFonts w:eastAsiaTheme="minorHAnsi"/>
          <w:szCs w:val="21"/>
        </w:rPr>
        <w:br/>
      </w:r>
      <w:r w:rsidR="00D96E0B">
        <w:rPr>
          <w:rFonts w:eastAsiaTheme="minorHAnsi" w:hint="eastAsia"/>
          <w:szCs w:val="21"/>
        </w:rPr>
        <w:t>ある事業者と関わりのある事業者が相互に連絡を取り合い、商品の価格や販売・生産数量などを共同で決め、競争を制限する行為（カルテル）</w:t>
      </w:r>
      <w:r w:rsidR="00EC646A">
        <w:rPr>
          <w:rFonts w:eastAsiaTheme="minorHAnsi" w:hint="eastAsia"/>
          <w:szCs w:val="21"/>
        </w:rPr>
        <w:t>や、</w:t>
      </w:r>
      <w:r w:rsidR="00EC646A" w:rsidRPr="00EC646A">
        <w:rPr>
          <w:rFonts w:eastAsiaTheme="minorHAnsi" w:cs="ＭＳ Ｐゴシック" w:hint="eastAsia"/>
          <w:color w:val="000000" w:themeColor="text1"/>
          <w:kern w:val="0"/>
          <w:szCs w:val="21"/>
          <w:shd w:val="clear" w:color="auto" w:fill="FFFFFF"/>
        </w:rPr>
        <w:t>国や地方公共団体などの公共工事や物品の公共調達に関する入札の際、入札に参加する事業者たちが事前に相談して受注事業者や受注金額などを決めてしまう</w:t>
      </w:r>
      <w:r w:rsidR="00EC646A">
        <w:rPr>
          <w:rFonts w:eastAsiaTheme="minorHAnsi" w:cs="ＭＳ Ｐゴシック" w:hint="eastAsia"/>
          <w:color w:val="000000" w:themeColor="text1"/>
          <w:kern w:val="0"/>
          <w:szCs w:val="21"/>
          <w:shd w:val="clear" w:color="auto" w:fill="FFFFFF"/>
        </w:rPr>
        <w:t>行為（</w:t>
      </w:r>
      <w:r w:rsidR="00EC646A" w:rsidRPr="00EC646A">
        <w:rPr>
          <w:rFonts w:eastAsiaTheme="minorHAnsi" w:cs="ＭＳ Ｐゴシック" w:hint="eastAsia"/>
          <w:color w:val="000000" w:themeColor="text1"/>
          <w:kern w:val="0"/>
          <w:szCs w:val="21"/>
          <w:shd w:val="clear" w:color="auto" w:fill="FFFFFF"/>
        </w:rPr>
        <w:t>入札談合</w:t>
      </w:r>
      <w:r w:rsidR="00EC646A">
        <w:rPr>
          <w:rFonts w:eastAsiaTheme="minorHAnsi" w:cs="ＭＳ Ｐゴシック" w:hint="eastAsia"/>
          <w:color w:val="000000" w:themeColor="text1"/>
          <w:kern w:val="0"/>
          <w:szCs w:val="21"/>
          <w:shd w:val="clear" w:color="auto" w:fill="FFFFFF"/>
        </w:rPr>
        <w:t>）</w:t>
      </w:r>
      <w:r w:rsidR="00D96E0B">
        <w:rPr>
          <w:rFonts w:eastAsiaTheme="minorHAnsi" w:hint="eastAsia"/>
          <w:szCs w:val="21"/>
        </w:rPr>
        <w:br/>
      </w:r>
      <w:r w:rsidR="000B2566" w:rsidRPr="00D96E0B">
        <w:rPr>
          <w:rFonts w:eastAsiaTheme="minorHAnsi" w:hint="eastAsia"/>
          <w:szCs w:val="21"/>
        </w:rPr>
        <w:t>・不公正な取引方法</w:t>
      </w:r>
      <w:r w:rsidR="00C820B4">
        <w:rPr>
          <w:rFonts w:eastAsiaTheme="minorHAnsi"/>
          <w:szCs w:val="21"/>
        </w:rPr>
        <w:br/>
      </w:r>
      <w:r w:rsidR="00C820B4">
        <w:rPr>
          <w:rFonts w:eastAsiaTheme="minorHAnsi" w:cs="ＭＳ Ｐゴシック" w:hint="eastAsia"/>
          <w:color w:val="000000" w:themeColor="text1"/>
          <w:kern w:val="0"/>
          <w:szCs w:val="21"/>
          <w:shd w:val="clear" w:color="auto" w:fill="FFFFFF"/>
        </w:rPr>
        <w:t>自由な競争を滅殺する行為、競争の基盤を侵害するような行為</w:t>
      </w:r>
      <w:r w:rsidR="0002760D">
        <w:rPr>
          <w:rFonts w:eastAsiaTheme="minorHAnsi" w:cs="ＭＳ Ｐゴシック" w:hint="eastAsia"/>
          <w:color w:val="000000" w:themeColor="text1"/>
          <w:kern w:val="0"/>
          <w:szCs w:val="21"/>
          <w:shd w:val="clear" w:color="auto" w:fill="FFFFFF"/>
        </w:rPr>
        <w:t>。「取引拒絶」「差別対価」「不当廉売」「優越的地位の濫用」などが挙げられる。</w:t>
      </w:r>
    </w:p>
    <w:p w:rsidR="00DF6B67" w:rsidRPr="002E10C5" w:rsidRDefault="007D6CFF" w:rsidP="00DF6B67">
      <w:pPr>
        <w:widowControl/>
        <w:jc w:val="left"/>
        <w:rPr>
          <w:rFonts w:eastAsiaTheme="minorHAnsi" w:cs="ＭＳ Ｐゴシック"/>
          <w:color w:val="000000" w:themeColor="text1"/>
          <w:kern w:val="0"/>
          <w:szCs w:val="21"/>
          <w:u w:val="single"/>
          <w:shd w:val="clear" w:color="auto" w:fill="FFFFFF"/>
        </w:rPr>
      </w:pPr>
      <w:r w:rsidRPr="00101444">
        <w:rPr>
          <w:rFonts w:eastAsiaTheme="minorHAnsi" w:cs="ＭＳ Ｐゴシック" w:hint="eastAsia"/>
          <w:color w:val="000000" w:themeColor="text1"/>
          <w:kern w:val="0"/>
          <w:szCs w:val="21"/>
          <w:u w:val="single"/>
          <w:shd w:val="clear" w:color="auto" w:fill="FFFFFF"/>
        </w:rPr>
        <w:t>・法律違反となる具体例</w:t>
      </w:r>
      <w:r w:rsidR="002E10C5">
        <w:rPr>
          <w:rFonts w:eastAsiaTheme="minorHAnsi" w:cs="ＭＳ Ｐゴシック"/>
          <w:color w:val="000000" w:themeColor="text1"/>
          <w:kern w:val="0"/>
          <w:szCs w:val="21"/>
          <w:u w:val="single"/>
          <w:shd w:val="clear" w:color="auto" w:fill="FFFFFF"/>
        </w:rPr>
        <w:br/>
      </w:r>
      <w:r w:rsidR="00101444">
        <w:rPr>
          <w:rFonts w:eastAsiaTheme="minorHAnsi"/>
          <w:color w:val="000000" w:themeColor="text1"/>
          <w:szCs w:val="21"/>
        </w:rPr>
        <w:t>(1)</w:t>
      </w:r>
      <w:r w:rsidR="00C14303" w:rsidRPr="00C14303">
        <w:rPr>
          <w:rFonts w:eastAsiaTheme="minorHAnsi" w:hint="eastAsia"/>
          <w:color w:val="000000" w:themeColor="text1"/>
          <w:szCs w:val="21"/>
        </w:rPr>
        <w:t>ニチレキ，日進化成及び東亜道路工業の３社（以下「３社」という。）は，遅くとも平成２４年３月２３日以降，舗装用改質アスファルトの需要者向け販売価格の低落を防止し自社の利益の確保を図るため，共同して舗装用改質アスファルトの需要者向け販売価格を引き上げ又は維持する旨の合意の下に，舗装用改質アスファルトの原材料であるストレートアスファルトの仕入価格の大幅な変動が見込まれる場合等に，３社の営業責任者等による会合を開催するなどして，舗装用改質アスファルトの需要者向け販売価格の引上げ額又は当該価格を維持すること等を決定するなどしていた。⑵　３社は，前記⑴の合意をすることにより，公共の利益に反して，我が国における舗装用改質アスファルトの販売分野における競争を実質的に制限していた</w:t>
      </w:r>
      <w:r w:rsidR="00CC7144">
        <w:rPr>
          <w:rFonts w:eastAsiaTheme="minorHAnsi" w:hint="eastAsia"/>
          <w:color w:val="000000" w:themeColor="text1"/>
          <w:szCs w:val="21"/>
        </w:rPr>
        <w:t>。</w:t>
      </w:r>
      <w:r w:rsidR="00CC7144">
        <w:rPr>
          <w:rFonts w:eastAsiaTheme="minorHAnsi"/>
          <w:color w:val="000000" w:themeColor="text1"/>
          <w:szCs w:val="21"/>
        </w:rPr>
        <w:br/>
      </w:r>
      <w:r w:rsidR="00CC7144">
        <w:rPr>
          <w:rFonts w:eastAsiaTheme="minorHAnsi" w:hint="eastAsia"/>
          <w:color w:val="000000" w:themeColor="text1"/>
          <w:szCs w:val="21"/>
        </w:rPr>
        <w:t>上記の事例は、独占禁止法第3条（不当な取引制限の禁止）に違反しているとして、</w:t>
      </w:r>
      <w:r w:rsidR="00AE04E9" w:rsidRPr="00CC7144">
        <w:rPr>
          <w:rFonts w:eastAsiaTheme="minorHAnsi" w:hint="eastAsia"/>
          <w:color w:val="000000" w:themeColor="text1"/>
          <w:szCs w:val="21"/>
        </w:rPr>
        <w:t>ニチレキ及び日進化成の２社に対し、総額３１億４０９８万円の課徴金額の支払いを命じた</w:t>
      </w:r>
      <w:r w:rsidR="00AE04E9" w:rsidRPr="002E10C5">
        <w:rPr>
          <w:rFonts w:eastAsiaTheme="minorHAnsi" w:hint="eastAsia"/>
          <w:color w:val="000000" w:themeColor="text1"/>
          <w:szCs w:val="21"/>
        </w:rPr>
        <w:t>。</w:t>
      </w:r>
      <w:r w:rsidR="002E10C5" w:rsidRPr="002E10C5">
        <w:rPr>
          <w:rFonts w:eastAsiaTheme="minorHAnsi" w:cs="ＭＳ Ｐゴシック" w:hint="eastAsia"/>
          <w:color w:val="000000" w:themeColor="text1"/>
          <w:kern w:val="0"/>
          <w:szCs w:val="21"/>
          <w:u w:val="single"/>
          <w:shd w:val="clear" w:color="auto" w:fill="FFFFFF"/>
        </w:rPr>
        <w:t>2</w:t>
      </w:r>
      <w:r w:rsidR="002E10C5" w:rsidRPr="002E10C5">
        <w:rPr>
          <w:rFonts w:eastAsiaTheme="minorHAnsi" w:cs="ＭＳ Ｐゴシック"/>
          <w:color w:val="000000" w:themeColor="text1"/>
          <w:kern w:val="0"/>
          <w:szCs w:val="21"/>
          <w:u w:val="single"/>
          <w:shd w:val="clear" w:color="auto" w:fill="FFFFFF"/>
        </w:rPr>
        <w:t>.</w:t>
      </w:r>
      <w:r w:rsidR="00A62D20" w:rsidRPr="002E10C5">
        <w:rPr>
          <w:rFonts w:eastAsiaTheme="minorHAnsi"/>
          <w:szCs w:val="21"/>
          <w:u w:val="single"/>
        </w:rPr>
        <w:t>セキュリティ関連法規</w:t>
      </w:r>
      <w:r w:rsidR="00A62D20" w:rsidRPr="002E10C5">
        <w:rPr>
          <w:rFonts w:eastAsiaTheme="minorHAnsi"/>
          <w:szCs w:val="21"/>
          <w:u w:val="single"/>
        </w:rPr>
        <w:br/>
      </w:r>
      <w:r w:rsidR="002E10C5">
        <w:rPr>
          <w:rFonts w:eastAsiaTheme="minorHAnsi" w:hint="eastAsia"/>
          <w:szCs w:val="21"/>
        </w:rPr>
        <w:t xml:space="preserve"> </w:t>
      </w:r>
      <w:r w:rsidR="00662F2B" w:rsidRPr="002E10C5">
        <w:rPr>
          <w:rFonts w:eastAsiaTheme="minorHAnsi" w:hint="eastAsia"/>
          <w:szCs w:val="21"/>
          <w:u w:val="single"/>
        </w:rPr>
        <w:t>・個人情報保護法</w:t>
      </w:r>
      <w:r w:rsidR="00AE04E9" w:rsidRPr="002E10C5">
        <w:rPr>
          <w:rFonts w:eastAsiaTheme="minorHAnsi" w:hint="eastAsia"/>
          <w:szCs w:val="21"/>
          <w:u w:val="single"/>
        </w:rPr>
        <w:t>の概要</w:t>
      </w:r>
      <w:r w:rsidR="00054EFB" w:rsidRPr="002E10C5">
        <w:rPr>
          <w:rFonts w:eastAsiaTheme="minorHAnsi"/>
          <w:color w:val="000000" w:themeColor="text1"/>
          <w:szCs w:val="21"/>
          <w:u w:val="single"/>
        </w:rPr>
        <w:br/>
      </w:r>
      <w:r w:rsidR="00054EFB" w:rsidRPr="007125EB">
        <w:rPr>
          <w:rFonts w:eastAsiaTheme="minorHAnsi" w:hint="eastAsia"/>
          <w:color w:val="000000" w:themeColor="text1"/>
          <w:szCs w:val="21"/>
        </w:rPr>
        <w:t>個人情報保護法とは、個人の権利・利益の保護と個人情報の有用性とのバランスを図るための法律である。目的としては、高度情報通信社会において、個人情報を取り扱う</w:t>
      </w:r>
      <w:r w:rsidR="00DF6B67" w:rsidRPr="007125EB">
        <w:rPr>
          <w:rFonts w:eastAsiaTheme="minorHAnsi" w:hint="eastAsia"/>
          <w:color w:val="000000" w:themeColor="text1"/>
          <w:szCs w:val="21"/>
        </w:rPr>
        <w:t>事業者</w:t>
      </w:r>
      <w:r w:rsidR="00DF6B67" w:rsidRPr="007125EB">
        <w:rPr>
          <w:rFonts w:eastAsiaTheme="minorHAnsi" w:hint="eastAsia"/>
          <w:color w:val="000000" w:themeColor="text1"/>
          <w:szCs w:val="21"/>
        </w:rPr>
        <w:lastRenderedPageBreak/>
        <w:t>の遵守すべき義務等を定めることにより、</w:t>
      </w:r>
      <w:r w:rsidR="00DF6B67" w:rsidRPr="007125EB">
        <w:rPr>
          <w:rFonts w:eastAsiaTheme="minorHAnsi" w:cs="ＭＳ Ｐゴシック"/>
          <w:color w:val="000000" w:themeColor="text1"/>
          <w:kern w:val="0"/>
          <w:szCs w:val="21"/>
        </w:rPr>
        <w:t>個人情報の適正かつ効果的な活用が新たな産業の創出並びに活力ある経済社会及び豊かな国民生活の実現に資するものであることその他の個人情報の有用性に配慮しつつ、個人の権利利益を保護するこ</w:t>
      </w:r>
      <w:r w:rsidR="002F2410">
        <w:rPr>
          <w:rFonts w:eastAsiaTheme="minorHAnsi" w:cs="ＭＳ Ｐゴシック" w:hint="eastAsia"/>
          <w:color w:val="000000" w:themeColor="text1"/>
          <w:kern w:val="0"/>
          <w:szCs w:val="21"/>
        </w:rPr>
        <w:t>とである。</w:t>
      </w:r>
    </w:p>
    <w:p w:rsidR="00DA0178" w:rsidRPr="002E10C5" w:rsidRDefault="00AC554E" w:rsidP="002E10C5">
      <w:pPr>
        <w:pStyle w:val="Web"/>
        <w:shd w:val="clear" w:color="auto" w:fill="FFFFFF"/>
        <w:spacing w:before="0" w:beforeAutospacing="0" w:after="384" w:afterAutospacing="0"/>
        <w:textAlignment w:val="baseline"/>
        <w:rPr>
          <w:rFonts w:asciiTheme="minorHAnsi" w:eastAsiaTheme="minorHAnsi" w:hAnsiTheme="minorHAnsi"/>
          <w:color w:val="000000" w:themeColor="text1"/>
          <w:sz w:val="21"/>
          <w:szCs w:val="21"/>
        </w:rPr>
      </w:pPr>
      <w:r w:rsidRPr="002E10C5">
        <w:rPr>
          <w:rFonts w:eastAsiaTheme="minorHAnsi" w:hint="eastAsia"/>
          <w:color w:val="000000" w:themeColor="text1"/>
          <w:sz w:val="21"/>
          <w:szCs w:val="18"/>
          <w:u w:val="single"/>
        </w:rPr>
        <w:t>・法令違反となる具体例</w:t>
      </w:r>
      <w:r w:rsidR="00444A10" w:rsidRPr="002E10C5">
        <w:rPr>
          <w:rFonts w:eastAsiaTheme="minorHAnsi"/>
          <w:szCs w:val="21"/>
          <w:u w:val="single"/>
        </w:rPr>
        <w:br/>
      </w:r>
      <w:r w:rsidR="00CB29FB" w:rsidRPr="007C5233">
        <w:rPr>
          <w:rFonts w:asciiTheme="minorHAnsi" w:eastAsiaTheme="minorHAnsi" w:hAnsiTheme="minorHAnsi"/>
          <w:sz w:val="21"/>
          <w:szCs w:val="18"/>
        </w:rPr>
        <w:t>2020</w:t>
      </w:r>
      <w:r w:rsidR="00CB29FB" w:rsidRPr="007C5233">
        <w:rPr>
          <w:rFonts w:asciiTheme="minorHAnsi" w:eastAsiaTheme="minorHAnsi" w:hAnsiTheme="minorHAnsi" w:hint="eastAsia"/>
          <w:sz w:val="21"/>
          <w:szCs w:val="18"/>
        </w:rPr>
        <w:t>年電子決済サービス不正引き出し事件</w:t>
      </w:r>
      <w:r w:rsidR="00CB29FB" w:rsidRPr="007C5233">
        <w:rPr>
          <w:rFonts w:asciiTheme="minorHAnsi" w:eastAsiaTheme="minorHAnsi" w:hAnsiTheme="minorHAnsi"/>
          <w:sz w:val="21"/>
          <w:szCs w:val="18"/>
        </w:rPr>
        <w:br/>
      </w:r>
      <w:r w:rsidR="007B2CC6" w:rsidRPr="007C5233">
        <w:rPr>
          <w:rFonts w:asciiTheme="minorHAnsi" w:eastAsiaTheme="minorHAnsi" w:hAnsiTheme="minorHAnsi"/>
          <w:sz w:val="21"/>
          <w:szCs w:val="18"/>
        </w:rPr>
        <w:t>2020</w:t>
      </w:r>
      <w:r w:rsidR="007B2CC6" w:rsidRPr="007C5233">
        <w:rPr>
          <w:rFonts w:asciiTheme="minorHAnsi" w:eastAsiaTheme="minorHAnsi" w:hAnsiTheme="minorHAnsi" w:hint="eastAsia"/>
          <w:sz w:val="21"/>
          <w:szCs w:val="18"/>
        </w:rPr>
        <w:t>年９月に発覚した、ドコモ口座、</w:t>
      </w:r>
      <w:proofErr w:type="spellStart"/>
      <w:r w:rsidR="007B2CC6" w:rsidRPr="007C5233">
        <w:rPr>
          <w:rFonts w:asciiTheme="minorHAnsi" w:eastAsiaTheme="minorHAnsi" w:hAnsiTheme="minorHAnsi"/>
          <w:sz w:val="21"/>
          <w:szCs w:val="18"/>
        </w:rPr>
        <w:t>Kyash</w:t>
      </w:r>
      <w:proofErr w:type="spellEnd"/>
      <w:r w:rsidR="007B2CC6" w:rsidRPr="007C5233">
        <w:rPr>
          <w:rFonts w:asciiTheme="minorHAnsi" w:eastAsiaTheme="minorHAnsi" w:hAnsiTheme="minorHAnsi" w:hint="eastAsia"/>
          <w:sz w:val="21"/>
          <w:szCs w:val="18"/>
        </w:rPr>
        <w:t>、</w:t>
      </w:r>
      <w:proofErr w:type="spellStart"/>
      <w:r w:rsidR="007B2CC6" w:rsidRPr="007C5233">
        <w:rPr>
          <w:rFonts w:asciiTheme="minorHAnsi" w:eastAsiaTheme="minorHAnsi" w:hAnsiTheme="minorHAnsi" w:hint="eastAsia"/>
          <w:sz w:val="21"/>
          <w:szCs w:val="18"/>
        </w:rPr>
        <w:t>LINEPay</w:t>
      </w:r>
      <w:proofErr w:type="spellEnd"/>
      <w:r w:rsidR="007B2CC6" w:rsidRPr="007C5233">
        <w:rPr>
          <w:rFonts w:asciiTheme="minorHAnsi" w:eastAsiaTheme="minorHAnsi" w:hAnsiTheme="minorHAnsi" w:hint="eastAsia"/>
          <w:sz w:val="21"/>
          <w:szCs w:val="18"/>
        </w:rPr>
        <w:t>、メルペイ、PayPalな</w:t>
      </w:r>
      <w:r w:rsidR="007B2CC6">
        <w:rPr>
          <w:rFonts w:eastAsiaTheme="minorHAnsi" w:hint="eastAsia"/>
          <w:szCs w:val="21"/>
        </w:rPr>
        <w:t>ど複数の電子決済サービスを通じて、銀行口座の残高が不正に引き出された事件。</w:t>
      </w:r>
      <w:r w:rsidR="007B2CC6" w:rsidRPr="007B2CC6">
        <w:rPr>
          <w:rFonts w:asciiTheme="minorHAnsi" w:eastAsiaTheme="minorHAnsi" w:hAnsiTheme="minorHAnsi" w:cs="Arial"/>
          <w:color w:val="000000" w:themeColor="text1"/>
          <w:sz w:val="23"/>
          <w:szCs w:val="23"/>
          <w:shd w:val="clear" w:color="auto" w:fill="FFFFFF"/>
        </w:rPr>
        <w:t>被害者の銀行口座が第三者によって勝手に</w:t>
      </w:r>
      <w:r w:rsidR="007B2CC6" w:rsidRPr="007B2CC6">
        <w:rPr>
          <w:rFonts w:eastAsiaTheme="minorHAnsi" w:cs="Arial"/>
          <w:color w:val="000000" w:themeColor="text1"/>
          <w:sz w:val="23"/>
          <w:szCs w:val="23"/>
          <w:shd w:val="clear" w:color="auto" w:fill="FFFFFF"/>
        </w:rPr>
        <w:t>ドコモ口座</w:t>
      </w:r>
      <w:r w:rsidR="007B2CC6" w:rsidRPr="007B2CC6">
        <w:rPr>
          <w:rFonts w:asciiTheme="minorHAnsi" w:eastAsiaTheme="minorHAnsi" w:hAnsiTheme="minorHAnsi" w:cs="Arial"/>
          <w:color w:val="000000" w:themeColor="text1"/>
          <w:sz w:val="23"/>
          <w:szCs w:val="23"/>
          <w:shd w:val="clear" w:color="auto" w:fill="FFFFFF"/>
        </w:rPr>
        <w:t>などの電子決済サービスに登録され不正に口座残高の引き出しが行われ</w:t>
      </w:r>
      <w:r w:rsidR="00EA5147">
        <w:rPr>
          <w:rFonts w:eastAsiaTheme="minorHAnsi" w:cs="Arial" w:hint="eastAsia"/>
          <w:color w:val="000000" w:themeColor="text1"/>
          <w:sz w:val="23"/>
          <w:szCs w:val="23"/>
          <w:shd w:val="clear" w:color="auto" w:fill="FFFFFF"/>
        </w:rPr>
        <w:t>た。</w:t>
      </w:r>
      <w:r w:rsidR="007C5233" w:rsidRPr="007C5233">
        <w:rPr>
          <w:rFonts w:asciiTheme="minorHAnsi" w:eastAsiaTheme="minorHAnsi" w:hAnsiTheme="minorHAnsi" w:hint="eastAsia"/>
          <w:color w:val="000000" w:themeColor="text1"/>
          <w:sz w:val="21"/>
          <w:szCs w:val="21"/>
        </w:rPr>
        <w:t>NTTドコモは事案について、不正出金の犯人は（地銀の）銀行口座番号や暗証番号を悪用しているのであり、同社のシステムへの不正アクセスから情報が流出したものではないと</w:t>
      </w:r>
      <w:r w:rsidR="007C5233">
        <w:rPr>
          <w:rFonts w:asciiTheme="minorHAnsi" w:eastAsiaTheme="minorHAnsi" w:hAnsiTheme="minorHAnsi" w:hint="eastAsia"/>
          <w:color w:val="000000" w:themeColor="text1"/>
          <w:sz w:val="21"/>
          <w:szCs w:val="21"/>
        </w:rPr>
        <w:t>否定している</w:t>
      </w:r>
      <w:r w:rsidR="007C5233" w:rsidRPr="007C5233">
        <w:rPr>
          <w:rFonts w:asciiTheme="minorHAnsi" w:eastAsiaTheme="minorHAnsi" w:hAnsiTheme="minorHAnsi" w:hint="eastAsia"/>
          <w:color w:val="000000" w:themeColor="text1"/>
          <w:sz w:val="21"/>
          <w:szCs w:val="21"/>
        </w:rPr>
        <w:t>。</w:t>
      </w:r>
      <w:r w:rsidR="007C5233">
        <w:rPr>
          <w:rFonts w:asciiTheme="minorHAnsi" w:eastAsiaTheme="minorHAnsi" w:hAnsiTheme="minorHAnsi" w:hint="eastAsia"/>
          <w:color w:val="000000" w:themeColor="text1"/>
          <w:sz w:val="21"/>
          <w:szCs w:val="21"/>
        </w:rPr>
        <w:t>しかし、</w:t>
      </w:r>
      <w:r w:rsidR="007C5233" w:rsidRPr="007C5233">
        <w:rPr>
          <w:rFonts w:asciiTheme="minorHAnsi" w:eastAsiaTheme="minorHAnsi" w:hAnsiTheme="minorHAnsi" w:hint="eastAsia"/>
          <w:color w:val="000000" w:themeColor="text1"/>
          <w:sz w:val="21"/>
          <w:szCs w:val="21"/>
        </w:rPr>
        <w:t>地方銀行も「当行のシステムから、お客さまの口座番号やキャッシュカードの暗証番号等のお客さま情報が漏洩した事実はございません」と、調査の結果を公表し、情報流出を否定してい</w:t>
      </w:r>
      <w:r w:rsidR="002B16A1">
        <w:rPr>
          <w:rFonts w:asciiTheme="minorHAnsi" w:eastAsiaTheme="minorHAnsi" w:hAnsiTheme="minorHAnsi" w:hint="eastAsia"/>
          <w:color w:val="000000" w:themeColor="text1"/>
          <w:sz w:val="21"/>
          <w:szCs w:val="21"/>
        </w:rPr>
        <w:t>る。</w:t>
      </w:r>
      <w:r w:rsidR="00CC7144">
        <w:rPr>
          <w:rFonts w:asciiTheme="minorHAnsi" w:eastAsiaTheme="minorHAnsi" w:hAnsiTheme="minorHAnsi"/>
          <w:color w:val="000000" w:themeColor="text1"/>
          <w:sz w:val="21"/>
          <w:szCs w:val="21"/>
        </w:rPr>
        <w:br/>
      </w:r>
      <w:r w:rsidR="00CC7144">
        <w:rPr>
          <w:rFonts w:asciiTheme="minorHAnsi" w:eastAsiaTheme="minorHAnsi" w:hAnsiTheme="minorHAnsi" w:hint="eastAsia"/>
          <w:color w:val="000000" w:themeColor="text1"/>
          <w:sz w:val="21"/>
          <w:szCs w:val="21"/>
        </w:rPr>
        <w:t>上記の事例は、</w:t>
      </w:r>
      <w:r w:rsidR="002D49D2">
        <w:rPr>
          <w:rFonts w:asciiTheme="minorHAnsi" w:eastAsiaTheme="minorHAnsi" w:hAnsiTheme="minorHAnsi" w:hint="eastAsia"/>
          <w:color w:val="000000" w:themeColor="text1"/>
          <w:sz w:val="21"/>
          <w:szCs w:val="21"/>
        </w:rPr>
        <w:t>原因は確定していないが、事業者からの漏洩であれば、個人情報保護法第20条（安全管理措置）に違反すると考えられる。</w:t>
      </w:r>
      <w:r w:rsidR="002E10C5">
        <w:rPr>
          <w:rFonts w:asciiTheme="minorHAnsi" w:eastAsiaTheme="minorHAnsi" w:hAnsiTheme="minorHAnsi"/>
          <w:color w:val="000000" w:themeColor="text1"/>
          <w:sz w:val="21"/>
          <w:szCs w:val="21"/>
        </w:rPr>
        <w:br/>
      </w:r>
      <w:r w:rsidR="002E10C5" w:rsidRPr="002E10C5">
        <w:rPr>
          <w:rFonts w:asciiTheme="minorHAnsi" w:eastAsiaTheme="minorHAnsi" w:hAnsiTheme="minorHAnsi" w:hint="eastAsia"/>
          <w:color w:val="000000" w:themeColor="text1"/>
          <w:sz w:val="21"/>
          <w:szCs w:val="21"/>
          <w:u w:val="single"/>
        </w:rPr>
        <w:t>3</w:t>
      </w:r>
      <w:r w:rsidR="002E10C5" w:rsidRPr="002E10C5">
        <w:rPr>
          <w:rFonts w:asciiTheme="minorHAnsi" w:eastAsiaTheme="minorHAnsi" w:hAnsiTheme="minorHAnsi"/>
          <w:color w:val="000000" w:themeColor="text1"/>
          <w:sz w:val="21"/>
          <w:szCs w:val="21"/>
          <w:u w:val="single"/>
        </w:rPr>
        <w:t>.</w:t>
      </w:r>
      <w:r w:rsidR="00A62D20" w:rsidRPr="002E10C5">
        <w:rPr>
          <w:rFonts w:asciiTheme="minorHAnsi" w:eastAsiaTheme="minorHAnsi" w:hAnsiTheme="minorHAnsi"/>
          <w:sz w:val="21"/>
          <w:szCs w:val="21"/>
          <w:u w:val="single"/>
        </w:rPr>
        <w:t>労働／取引関連法規</w:t>
      </w:r>
      <w:r w:rsidR="00A62D20" w:rsidRPr="002E10C5">
        <w:rPr>
          <w:rFonts w:asciiTheme="minorHAnsi" w:eastAsiaTheme="minorHAnsi" w:hAnsiTheme="minorHAnsi"/>
          <w:sz w:val="21"/>
          <w:szCs w:val="21"/>
          <w:u w:val="single"/>
        </w:rPr>
        <w:br/>
      </w:r>
      <w:r w:rsidR="0065479B" w:rsidRPr="002E10C5">
        <w:rPr>
          <w:rFonts w:asciiTheme="minorHAnsi" w:eastAsiaTheme="minorHAnsi" w:hAnsiTheme="minorHAnsi" w:hint="eastAsia"/>
          <w:sz w:val="21"/>
          <w:szCs w:val="21"/>
          <w:u w:val="single"/>
        </w:rPr>
        <w:t>・男女雇用機会均等法</w:t>
      </w:r>
      <w:r w:rsidR="00CE322B" w:rsidRPr="002E10C5">
        <w:rPr>
          <w:rFonts w:asciiTheme="minorHAnsi" w:eastAsiaTheme="minorHAnsi" w:hAnsiTheme="minorHAnsi" w:hint="eastAsia"/>
          <w:sz w:val="21"/>
          <w:szCs w:val="21"/>
          <w:u w:val="single"/>
        </w:rPr>
        <w:t>の概要</w:t>
      </w:r>
      <w:r w:rsidR="00A62D20" w:rsidRPr="002E10C5">
        <w:rPr>
          <w:rFonts w:asciiTheme="minorHAnsi" w:eastAsiaTheme="minorHAnsi" w:hAnsiTheme="minorHAnsi"/>
          <w:sz w:val="21"/>
          <w:szCs w:val="21"/>
          <w:u w:val="single"/>
        </w:rPr>
        <w:br/>
      </w:r>
      <w:r w:rsidR="00CE322B">
        <w:rPr>
          <w:rFonts w:asciiTheme="minorHAnsi" w:eastAsiaTheme="minorHAnsi" w:hAnsiTheme="minorHAnsi" w:hint="eastAsia"/>
          <w:sz w:val="21"/>
          <w:szCs w:val="21"/>
        </w:rPr>
        <w:t>男女雇用機会均等法とは、職場における男女の差別を禁止し、募集、採用、昇給、昇進、教育訓練、福利厚生などの面で男女平等に扱うことを定めた法律。1985年制定、86年施行だったが、施工当初は、差別の禁止項目は努力義務だったが、1999年の改正により禁止規定となった。その後、97年に女性保護のために設けられていた時間外労働や休日出勤、深夜業務等の規制を撤廃、2007年に出産</w:t>
      </w:r>
      <w:r w:rsidR="006B6BE2">
        <w:rPr>
          <w:rFonts w:asciiTheme="minorHAnsi" w:eastAsiaTheme="minorHAnsi" w:hAnsiTheme="minorHAnsi" w:hint="eastAsia"/>
          <w:sz w:val="21"/>
          <w:szCs w:val="21"/>
        </w:rPr>
        <w:t>・育児などによる不利益取り扱いの禁止。2017年にはマタニティハラスメントに対する防止措置を講じることが事業酒の義務になり、2020年にはパワハラ防止法と合わせて、セキュシャルハラスメント防止強化について改正があった。</w:t>
      </w:r>
      <w:r w:rsidR="006B6BE2">
        <w:rPr>
          <w:rFonts w:asciiTheme="minorHAnsi" w:eastAsiaTheme="minorHAnsi" w:hAnsiTheme="minorHAnsi"/>
          <w:sz w:val="21"/>
          <w:szCs w:val="21"/>
        </w:rPr>
        <w:br/>
      </w:r>
      <w:r w:rsidR="006B6BE2" w:rsidRPr="002E10C5">
        <w:rPr>
          <w:rFonts w:asciiTheme="minorHAnsi" w:eastAsiaTheme="minorHAnsi" w:hAnsiTheme="minorHAnsi" w:hint="eastAsia"/>
          <w:sz w:val="21"/>
          <w:szCs w:val="21"/>
          <w:u w:val="single"/>
        </w:rPr>
        <w:t>・法令違反となる具体例</w:t>
      </w:r>
      <w:r w:rsidR="000B7AC6" w:rsidRPr="002E10C5">
        <w:rPr>
          <w:rFonts w:asciiTheme="minorHAnsi" w:eastAsiaTheme="minorHAnsi" w:hAnsiTheme="minorHAnsi"/>
          <w:sz w:val="21"/>
          <w:szCs w:val="21"/>
          <w:u w:val="single"/>
        </w:rPr>
        <w:br/>
      </w:r>
      <w:r w:rsidR="000B7AC6" w:rsidRPr="000B7AC6">
        <w:rPr>
          <w:rFonts w:asciiTheme="minorHAnsi" w:eastAsiaTheme="minorHAnsi" w:hAnsiTheme="minorHAnsi" w:hint="eastAsia"/>
          <w:color w:val="000000" w:themeColor="text1"/>
          <w:sz w:val="21"/>
          <w:szCs w:val="21"/>
          <w:shd w:val="clear" w:color="auto" w:fill="FFFFFF"/>
        </w:rPr>
        <w:t>A社には3交代制の深夜業務があり、男性社員は全員がその3交代制の対象となっ</w:t>
      </w:r>
      <w:r w:rsidR="000B7AC6">
        <w:rPr>
          <w:rFonts w:eastAsiaTheme="minorHAnsi" w:hint="eastAsia"/>
          <w:color w:val="000000" w:themeColor="text1"/>
          <w:szCs w:val="21"/>
          <w:shd w:val="clear" w:color="auto" w:fill="FFFFFF"/>
        </w:rPr>
        <w:t>ている</w:t>
      </w:r>
      <w:r w:rsidR="000B7AC6" w:rsidRPr="000B7AC6">
        <w:rPr>
          <w:rFonts w:asciiTheme="minorHAnsi" w:eastAsiaTheme="minorHAnsi" w:hAnsiTheme="minorHAnsi" w:hint="eastAsia"/>
          <w:color w:val="000000" w:themeColor="text1"/>
          <w:sz w:val="21"/>
          <w:szCs w:val="21"/>
          <w:shd w:val="clear" w:color="auto" w:fill="FFFFFF"/>
        </w:rPr>
        <w:t>。一方、女性社員については、希望する者だけを対象としている</w:t>
      </w:r>
      <w:r w:rsidR="000B7AC6">
        <w:rPr>
          <w:rFonts w:eastAsiaTheme="minorHAnsi" w:hint="eastAsia"/>
          <w:color w:val="000000" w:themeColor="text1"/>
          <w:szCs w:val="21"/>
          <w:shd w:val="clear" w:color="auto" w:fill="FFFFFF"/>
        </w:rPr>
        <w:t>が</w:t>
      </w:r>
      <w:r w:rsidR="000B7AC6" w:rsidRPr="000B7AC6">
        <w:rPr>
          <w:rFonts w:asciiTheme="minorHAnsi" w:eastAsiaTheme="minorHAnsi" w:hAnsiTheme="minorHAnsi" w:hint="eastAsia"/>
          <w:color w:val="000000" w:themeColor="text1"/>
          <w:sz w:val="21"/>
          <w:szCs w:val="21"/>
          <w:shd w:val="clear" w:color="auto" w:fill="FFFFFF"/>
        </w:rPr>
        <w:t>、一部の女性社員から、この制度は男女雇用機会均等法に違反するのではないかと</w:t>
      </w:r>
      <w:r w:rsidR="000B7AC6">
        <w:rPr>
          <w:rFonts w:eastAsiaTheme="minorHAnsi" w:hint="eastAsia"/>
          <w:color w:val="000000" w:themeColor="text1"/>
          <w:szCs w:val="21"/>
          <w:shd w:val="clear" w:color="auto" w:fill="FFFFFF"/>
        </w:rPr>
        <w:t>いう報告を受けた事例</w:t>
      </w:r>
      <w:r w:rsidR="000B7AC6" w:rsidRPr="000B7AC6">
        <w:rPr>
          <w:rFonts w:asciiTheme="minorHAnsi" w:eastAsiaTheme="minorHAnsi" w:hAnsiTheme="minorHAnsi" w:hint="eastAsia"/>
          <w:color w:val="000000" w:themeColor="text1"/>
          <w:sz w:val="21"/>
          <w:szCs w:val="21"/>
          <w:shd w:val="clear" w:color="auto" w:fill="FFFFFF"/>
        </w:rPr>
        <w:t>。</w:t>
      </w:r>
      <w:r w:rsidR="000B7AC6">
        <w:rPr>
          <w:rFonts w:eastAsiaTheme="minorHAnsi"/>
          <w:color w:val="000000" w:themeColor="text1"/>
          <w:szCs w:val="21"/>
          <w:shd w:val="clear" w:color="auto" w:fill="FFFFFF"/>
        </w:rPr>
        <w:br/>
      </w:r>
      <w:r w:rsidR="000B7AC6">
        <w:rPr>
          <w:rFonts w:eastAsiaTheme="minorHAnsi" w:hint="eastAsia"/>
          <w:color w:val="000000" w:themeColor="text1"/>
          <w:szCs w:val="21"/>
          <w:shd w:val="clear" w:color="auto" w:fill="FFFFFF"/>
        </w:rPr>
        <w:t>上記の事例は、</w:t>
      </w:r>
      <w:r w:rsidR="005F0419">
        <w:rPr>
          <w:rFonts w:eastAsiaTheme="minorHAnsi" w:hint="eastAsia"/>
          <w:color w:val="000000" w:themeColor="text1"/>
          <w:szCs w:val="21"/>
          <w:shd w:val="clear" w:color="auto" w:fill="FFFFFF"/>
        </w:rPr>
        <w:t>一定の職務への配置において条件が男女で異なるため、</w:t>
      </w:r>
      <w:r w:rsidR="000B7AC6">
        <w:rPr>
          <w:rFonts w:eastAsiaTheme="minorHAnsi" w:hint="eastAsia"/>
          <w:color w:val="000000" w:themeColor="text1"/>
          <w:szCs w:val="21"/>
          <w:shd w:val="clear" w:color="auto" w:fill="FFFFFF"/>
        </w:rPr>
        <w:t>男女雇用機会均等法第</w:t>
      </w:r>
      <w:r w:rsidR="000B7AC6">
        <w:rPr>
          <w:rFonts w:eastAsiaTheme="minorHAnsi" w:hint="eastAsia"/>
          <w:color w:val="000000" w:themeColor="text1"/>
          <w:szCs w:val="21"/>
          <w:shd w:val="clear" w:color="auto" w:fill="FFFFFF"/>
        </w:rPr>
        <w:t>6</w:t>
      </w:r>
      <w:r w:rsidR="000B7AC6">
        <w:rPr>
          <w:rFonts w:eastAsiaTheme="minorHAnsi" w:hint="eastAsia"/>
          <w:color w:val="000000" w:themeColor="text1"/>
          <w:szCs w:val="21"/>
          <w:shd w:val="clear" w:color="auto" w:fill="FFFFFF"/>
        </w:rPr>
        <w:t>条「配置・昇進・降格・教育訓練など」に</w:t>
      </w:r>
      <w:r w:rsidR="005F0419">
        <w:rPr>
          <w:rFonts w:eastAsiaTheme="minorHAnsi" w:hint="eastAsia"/>
          <w:color w:val="000000" w:themeColor="text1"/>
          <w:szCs w:val="21"/>
          <w:shd w:val="clear" w:color="auto" w:fill="FFFFFF"/>
        </w:rPr>
        <w:t>違反していることになる。</w:t>
      </w:r>
    </w:p>
    <w:p w:rsidR="00DA0178" w:rsidRDefault="00DA0178" w:rsidP="000B7AC6">
      <w:pPr>
        <w:widowControl/>
        <w:jc w:val="left"/>
        <w:rPr>
          <w:rFonts w:eastAsiaTheme="minorHAnsi" w:cs="ＭＳ Ｐゴシック"/>
          <w:color w:val="000000" w:themeColor="text1"/>
          <w:kern w:val="0"/>
          <w:szCs w:val="21"/>
          <w:shd w:val="clear" w:color="auto" w:fill="FFFFFF"/>
        </w:rPr>
      </w:pPr>
    </w:p>
    <w:p w:rsidR="00232480" w:rsidRDefault="002E10C5" w:rsidP="000B7AC6">
      <w:pPr>
        <w:widowControl/>
        <w:jc w:val="left"/>
        <w:rPr>
          <w:rFonts w:eastAsiaTheme="minorHAnsi"/>
          <w:szCs w:val="21"/>
        </w:rPr>
      </w:pPr>
      <w:r>
        <w:rPr>
          <w:rFonts w:eastAsiaTheme="minorHAnsi" w:cs="ＭＳ Ｐゴシック" w:hint="eastAsia"/>
          <w:color w:val="000000" w:themeColor="text1"/>
          <w:kern w:val="0"/>
          <w:szCs w:val="21"/>
          <w:shd w:val="clear" w:color="auto" w:fill="FFFFFF"/>
        </w:rPr>
        <w:t>4</w:t>
      </w:r>
      <w:r>
        <w:rPr>
          <w:rFonts w:eastAsiaTheme="minorHAnsi" w:cs="ＭＳ Ｐゴシック"/>
          <w:color w:val="000000" w:themeColor="text1"/>
          <w:kern w:val="0"/>
          <w:szCs w:val="21"/>
          <w:shd w:val="clear" w:color="auto" w:fill="FFFFFF"/>
        </w:rPr>
        <w:t>.</w:t>
      </w:r>
      <w:r w:rsidR="00DA0178">
        <w:rPr>
          <w:rFonts w:eastAsiaTheme="minorHAnsi" w:cs="ＭＳ Ｐゴシック" w:hint="eastAsia"/>
          <w:color w:val="000000" w:themeColor="text1"/>
          <w:kern w:val="0"/>
          <w:szCs w:val="21"/>
          <w:shd w:val="clear" w:color="auto" w:fill="FFFFFF"/>
        </w:rPr>
        <w:t>感想</w:t>
      </w:r>
      <w:r w:rsidR="00DA0178">
        <w:rPr>
          <w:rFonts w:eastAsiaTheme="minorHAnsi" w:cs="ＭＳ Ｐゴシック"/>
          <w:color w:val="000000" w:themeColor="text1"/>
          <w:kern w:val="0"/>
          <w:szCs w:val="21"/>
          <w:shd w:val="clear" w:color="auto" w:fill="FFFFFF"/>
        </w:rPr>
        <w:br/>
      </w:r>
      <w:r w:rsidR="00427518">
        <w:rPr>
          <w:rFonts w:eastAsiaTheme="minorHAnsi" w:hint="eastAsia"/>
          <w:szCs w:val="21"/>
        </w:rPr>
        <w:t>独占禁止法は、公正取引委員会のホームページに違反しているかどうかの相談事例から</w:t>
      </w:r>
      <w:r w:rsidR="00CC623A">
        <w:rPr>
          <w:rFonts w:eastAsiaTheme="minorHAnsi" w:hint="eastAsia"/>
          <w:szCs w:val="21"/>
        </w:rPr>
        <w:t>実</w:t>
      </w:r>
      <w:r w:rsidR="00CC623A">
        <w:rPr>
          <w:rFonts w:eastAsiaTheme="minorHAnsi" w:hint="eastAsia"/>
          <w:szCs w:val="21"/>
        </w:rPr>
        <w:lastRenderedPageBreak/>
        <w:t>際に違反していた事業者への措置の事例まで、詳細な情報が掲載されていて、実際にどのような経緯で違反が発覚したのかがわかりやすく、とても勉強になった。</w:t>
      </w:r>
      <w:r w:rsidR="00232480">
        <w:rPr>
          <w:rFonts w:eastAsiaTheme="minorHAnsi"/>
          <w:szCs w:val="21"/>
        </w:rPr>
        <w:br/>
      </w:r>
      <w:r w:rsidR="00232480">
        <w:rPr>
          <w:rFonts w:eastAsiaTheme="minorHAnsi" w:hint="eastAsia"/>
          <w:szCs w:val="21"/>
        </w:rPr>
        <w:t>個人情報保護法は、今回他の２つの法令より、自身が被害にあったりする事例もあったりするので、とても身近に感じた。</w:t>
      </w:r>
    </w:p>
    <w:p w:rsidR="00783BAD" w:rsidRPr="00232480" w:rsidRDefault="00232480" w:rsidP="000B7AC6">
      <w:pPr>
        <w:widowControl/>
        <w:jc w:val="left"/>
        <w:rPr>
          <w:rFonts w:eastAsiaTheme="minorHAnsi"/>
          <w:szCs w:val="21"/>
        </w:rPr>
      </w:pPr>
      <w:r>
        <w:rPr>
          <w:rFonts w:eastAsiaTheme="minorHAnsi" w:hint="eastAsia"/>
          <w:szCs w:val="21"/>
        </w:rPr>
        <w:t>男女雇用機会均等法は、本来差別であるかどうかは人間の感情に由来するものであるから、具体的な違反の境界線は曖昧なのかと思ったら、思ったより具体的に、定められていて驚いた。</w:t>
      </w:r>
      <w:r w:rsidR="00ED07F6" w:rsidRPr="006B6BE2">
        <w:rPr>
          <w:rFonts w:eastAsiaTheme="minorHAnsi" w:hint="eastAsia"/>
          <w:szCs w:val="21"/>
        </w:rPr>
        <w:br/>
      </w:r>
    </w:p>
    <w:p w:rsidR="00CF1ABD" w:rsidRPr="00CF1ABD" w:rsidRDefault="00783BAD" w:rsidP="00783BAD">
      <w:pPr>
        <w:pStyle w:val="Web"/>
        <w:spacing w:before="0" w:beforeAutospacing="0"/>
        <w:rPr>
          <w:rFonts w:asciiTheme="minorHAnsi" w:eastAsiaTheme="minorHAnsi" w:hAnsiTheme="minorHAnsi" w:hint="eastAsia"/>
          <w:sz w:val="21"/>
          <w:szCs w:val="21"/>
        </w:rPr>
      </w:pPr>
      <w:r>
        <w:rPr>
          <w:rFonts w:asciiTheme="minorHAnsi" w:eastAsiaTheme="minorHAnsi" w:hAnsiTheme="minorHAnsi" w:hint="eastAsia"/>
          <w:sz w:val="21"/>
          <w:szCs w:val="21"/>
        </w:rPr>
        <w:t>参考文献</w:t>
      </w:r>
      <w:r>
        <w:rPr>
          <w:rFonts w:asciiTheme="minorHAnsi" w:eastAsiaTheme="minorHAnsi" w:hAnsiTheme="minorHAnsi"/>
          <w:sz w:val="21"/>
          <w:szCs w:val="21"/>
        </w:rPr>
        <w:br/>
      </w:r>
      <w:r>
        <w:rPr>
          <w:rFonts w:asciiTheme="minorHAnsi" w:eastAsiaTheme="minorHAnsi" w:hAnsiTheme="minorHAnsi" w:hint="eastAsia"/>
          <w:sz w:val="21"/>
          <w:szCs w:val="21"/>
        </w:rPr>
        <w:t>公正取引委員会</w:t>
      </w:r>
      <w:r w:rsidR="00ED07F6">
        <w:rPr>
          <w:rFonts w:asciiTheme="minorHAnsi" w:eastAsiaTheme="minorHAnsi" w:hAnsiTheme="minorHAnsi"/>
          <w:sz w:val="21"/>
          <w:szCs w:val="21"/>
        </w:rPr>
        <w:br/>
      </w:r>
      <w:hyperlink r:id="rId5" w:history="1">
        <w:r w:rsidR="00ED07F6" w:rsidRPr="00892F4B">
          <w:rPr>
            <w:rStyle w:val="a3"/>
            <w:rFonts w:asciiTheme="minorHAnsi" w:eastAsiaTheme="minorHAnsi" w:hAnsiTheme="minorHAnsi"/>
            <w:sz w:val="21"/>
            <w:szCs w:val="21"/>
          </w:rPr>
          <w:t>https://www.jftc.go.jp</w:t>
        </w:r>
        <w:r w:rsidR="00ED07F6" w:rsidRPr="00892F4B">
          <w:rPr>
            <w:rStyle w:val="a3"/>
            <w:rFonts w:asciiTheme="minorHAnsi" w:eastAsiaTheme="minorHAnsi" w:hAnsiTheme="minorHAnsi"/>
            <w:sz w:val="21"/>
            <w:szCs w:val="21"/>
          </w:rPr>
          <w:t>/</w:t>
        </w:r>
        <w:r w:rsidR="00ED07F6" w:rsidRPr="00892F4B">
          <w:rPr>
            <w:rStyle w:val="a3"/>
            <w:rFonts w:asciiTheme="minorHAnsi" w:eastAsiaTheme="minorHAnsi" w:hAnsiTheme="minorHAnsi"/>
            <w:sz w:val="21"/>
            <w:szCs w:val="21"/>
          </w:rPr>
          <w:t>dk/dkgaiyo/gaiyo.ht</w:t>
        </w:r>
        <w:r w:rsidR="00ED07F6" w:rsidRPr="00892F4B">
          <w:rPr>
            <w:rStyle w:val="a3"/>
            <w:rFonts w:asciiTheme="minorHAnsi" w:eastAsiaTheme="minorHAnsi" w:hAnsiTheme="minorHAnsi"/>
            <w:sz w:val="21"/>
            <w:szCs w:val="21"/>
          </w:rPr>
          <w:t>m</w:t>
        </w:r>
        <w:r w:rsidR="00ED07F6" w:rsidRPr="00892F4B">
          <w:rPr>
            <w:rStyle w:val="a3"/>
            <w:rFonts w:asciiTheme="minorHAnsi" w:eastAsiaTheme="minorHAnsi" w:hAnsiTheme="minorHAnsi"/>
            <w:sz w:val="21"/>
            <w:szCs w:val="21"/>
          </w:rPr>
          <w:t>l</w:t>
        </w:r>
      </w:hyperlink>
      <w:r>
        <w:rPr>
          <w:rFonts w:asciiTheme="minorHAnsi" w:eastAsiaTheme="minorHAnsi" w:hAnsiTheme="minorHAnsi" w:hint="eastAsia"/>
          <w:sz w:val="21"/>
          <w:szCs w:val="21"/>
        </w:rPr>
        <w:t>（</w:t>
      </w:r>
      <w:r>
        <w:rPr>
          <w:rFonts w:asciiTheme="minorHAnsi" w:eastAsiaTheme="minorHAnsi" w:hAnsiTheme="minorHAnsi"/>
          <w:sz w:val="21"/>
          <w:szCs w:val="21"/>
        </w:rPr>
        <w:t>2020/11/4</w:t>
      </w:r>
      <w:r>
        <w:rPr>
          <w:rFonts w:asciiTheme="minorHAnsi" w:eastAsiaTheme="minorHAnsi" w:hAnsiTheme="minorHAnsi" w:hint="eastAsia"/>
          <w:sz w:val="21"/>
          <w:szCs w:val="21"/>
        </w:rPr>
        <w:t>参照）</w:t>
      </w:r>
      <w:r w:rsidR="00A860D8">
        <w:rPr>
          <w:rFonts w:asciiTheme="minorHAnsi" w:eastAsiaTheme="minorHAnsi" w:hAnsiTheme="minorHAnsi"/>
          <w:sz w:val="21"/>
          <w:szCs w:val="21"/>
        </w:rPr>
        <w:br/>
      </w:r>
      <w:r w:rsidR="00A860D8">
        <w:rPr>
          <w:rFonts w:asciiTheme="minorHAnsi" w:eastAsiaTheme="minorHAnsi" w:hAnsiTheme="minorHAnsi" w:hint="eastAsia"/>
          <w:sz w:val="21"/>
          <w:szCs w:val="21"/>
        </w:rPr>
        <w:t>政府広報オンライン</w:t>
      </w:r>
      <w:r w:rsidR="00ED07F6">
        <w:rPr>
          <w:rFonts w:asciiTheme="minorHAnsi" w:eastAsiaTheme="minorHAnsi" w:hAnsiTheme="minorHAnsi"/>
          <w:sz w:val="21"/>
          <w:szCs w:val="21"/>
        </w:rPr>
        <w:br/>
      </w:r>
      <w:hyperlink r:id="rId6" w:history="1">
        <w:r w:rsidR="001F41DB" w:rsidRPr="00892F4B">
          <w:rPr>
            <w:rStyle w:val="a3"/>
            <w:rFonts w:asciiTheme="minorHAnsi" w:eastAsiaTheme="minorHAnsi" w:hAnsiTheme="minorHAnsi"/>
            <w:sz w:val="21"/>
            <w:szCs w:val="21"/>
          </w:rPr>
          <w:t>https://www.gov-online.go.jp/usefu</w:t>
        </w:r>
        <w:r w:rsidR="001F41DB" w:rsidRPr="00892F4B">
          <w:rPr>
            <w:rStyle w:val="a3"/>
            <w:rFonts w:asciiTheme="minorHAnsi" w:eastAsiaTheme="minorHAnsi" w:hAnsiTheme="minorHAnsi"/>
            <w:sz w:val="21"/>
            <w:szCs w:val="21"/>
          </w:rPr>
          <w:t>l</w:t>
        </w:r>
        <w:r w:rsidR="001F41DB" w:rsidRPr="00892F4B">
          <w:rPr>
            <w:rStyle w:val="a3"/>
            <w:rFonts w:asciiTheme="minorHAnsi" w:eastAsiaTheme="minorHAnsi" w:hAnsiTheme="minorHAnsi"/>
            <w:sz w:val="21"/>
            <w:szCs w:val="21"/>
          </w:rPr>
          <w:t>/article/201112/2.html</w:t>
        </w:r>
      </w:hyperlink>
      <w:r w:rsidR="00A860D8">
        <w:rPr>
          <w:rFonts w:asciiTheme="minorHAnsi" w:eastAsiaTheme="minorHAnsi" w:hAnsiTheme="minorHAnsi" w:hint="eastAsia"/>
          <w:sz w:val="21"/>
          <w:szCs w:val="21"/>
        </w:rPr>
        <w:t>（</w:t>
      </w:r>
      <w:r w:rsidR="00A860D8">
        <w:rPr>
          <w:rFonts w:asciiTheme="minorHAnsi" w:eastAsiaTheme="minorHAnsi" w:hAnsiTheme="minorHAnsi"/>
          <w:sz w:val="21"/>
          <w:szCs w:val="21"/>
        </w:rPr>
        <w:t>2020/11/4</w:t>
      </w:r>
      <w:r w:rsidR="00A860D8">
        <w:rPr>
          <w:rFonts w:asciiTheme="minorHAnsi" w:eastAsiaTheme="minorHAnsi" w:hAnsiTheme="minorHAnsi" w:hint="eastAsia"/>
          <w:sz w:val="21"/>
          <w:szCs w:val="21"/>
        </w:rPr>
        <w:t>参照）</w:t>
      </w:r>
      <w:r w:rsidR="005205F1">
        <w:rPr>
          <w:rFonts w:asciiTheme="minorHAnsi" w:eastAsiaTheme="minorHAnsi" w:hAnsiTheme="minorHAnsi"/>
          <w:sz w:val="21"/>
          <w:szCs w:val="21"/>
        </w:rPr>
        <w:br/>
      </w:r>
      <w:r w:rsidR="000053F2">
        <w:rPr>
          <w:rFonts w:asciiTheme="minorHAnsi" w:eastAsiaTheme="minorHAnsi" w:hAnsiTheme="minorHAnsi" w:hint="eastAsia"/>
          <w:sz w:val="21"/>
          <w:szCs w:val="21"/>
        </w:rPr>
        <w:t>公正取引委員会独占禁止法法的措置一覧</w:t>
      </w:r>
      <w:r w:rsidR="00183F22" w:rsidRPr="00183F22">
        <w:rPr>
          <w:rFonts w:asciiTheme="minorHAnsi" w:eastAsiaTheme="minorHAnsi" w:hAnsiTheme="minorHAnsi" w:hint="eastAsia"/>
          <w:sz w:val="21"/>
          <w:szCs w:val="21"/>
        </w:rPr>
        <w:t>h</w:t>
      </w:r>
      <w:r w:rsidR="00183F22" w:rsidRPr="00183F22">
        <w:rPr>
          <w:rFonts w:asciiTheme="minorHAnsi" w:eastAsiaTheme="minorHAnsi" w:hAnsiTheme="minorHAnsi"/>
          <w:sz w:val="21"/>
          <w:szCs w:val="21"/>
        </w:rPr>
        <w:t>ttps://www.jftc.go.jp/houdou/pressrelease/2019/jun/190620.html(2020/11/4</w:t>
      </w:r>
      <w:r w:rsidR="00CF70B0">
        <w:rPr>
          <w:rFonts w:asciiTheme="minorHAnsi" w:eastAsiaTheme="minorHAnsi" w:hAnsiTheme="minorHAnsi" w:hint="eastAsia"/>
          <w:sz w:val="21"/>
          <w:szCs w:val="21"/>
        </w:rPr>
        <w:t>参照)</w:t>
      </w:r>
      <w:r w:rsidR="00066AEC">
        <w:rPr>
          <w:rFonts w:asciiTheme="minorHAnsi" w:eastAsiaTheme="minorHAnsi" w:hAnsiTheme="minorHAnsi"/>
          <w:sz w:val="21"/>
          <w:szCs w:val="21"/>
        </w:rPr>
        <w:br/>
      </w:r>
      <w:r w:rsidR="00066AEC">
        <w:rPr>
          <w:rFonts w:asciiTheme="minorHAnsi" w:eastAsiaTheme="minorHAnsi" w:hAnsiTheme="minorHAnsi" w:hint="eastAsia"/>
          <w:sz w:val="21"/>
          <w:szCs w:val="21"/>
        </w:rPr>
        <w:t>個人情報保護法の基本</w:t>
      </w:r>
      <w:hyperlink r:id="rId7" w:history="1">
        <w:r w:rsidR="00227F47" w:rsidRPr="00892F4B">
          <w:rPr>
            <w:rStyle w:val="a3"/>
            <w:rFonts w:asciiTheme="minorHAnsi" w:eastAsiaTheme="minorHAnsi" w:hAnsiTheme="minorHAnsi"/>
            <w:sz w:val="21"/>
            <w:szCs w:val="21"/>
          </w:rPr>
          <w:t>https://www.ppc.go.jp/files/pdf/28_setsumeikai_siryou.pdf(2020/11/4</w:t>
        </w:r>
      </w:hyperlink>
      <w:r w:rsidR="00227F47">
        <w:rPr>
          <w:rFonts w:asciiTheme="minorHAnsi" w:eastAsiaTheme="minorHAnsi" w:hAnsiTheme="minorHAnsi" w:hint="eastAsia"/>
          <w:sz w:val="21"/>
          <w:szCs w:val="21"/>
        </w:rPr>
        <w:t>参照</w:t>
      </w:r>
      <w:r w:rsidR="00227F47">
        <w:rPr>
          <w:rFonts w:asciiTheme="minorHAnsi" w:eastAsiaTheme="minorHAnsi" w:hAnsiTheme="minorHAnsi"/>
          <w:sz w:val="21"/>
          <w:szCs w:val="21"/>
        </w:rPr>
        <w:t>)</w:t>
      </w:r>
      <w:r w:rsidR="00066AEC">
        <w:rPr>
          <w:rFonts w:asciiTheme="minorHAnsi" w:eastAsiaTheme="minorHAnsi" w:hAnsiTheme="minorHAnsi"/>
          <w:sz w:val="21"/>
          <w:szCs w:val="21"/>
        </w:rPr>
        <w:br/>
        <w:t>CyberSecurity.com</w:t>
      </w:r>
      <w:r w:rsidR="009E0DB5">
        <w:rPr>
          <w:rFonts w:asciiTheme="minorHAnsi" w:eastAsiaTheme="minorHAnsi" w:hAnsiTheme="minorHAnsi"/>
          <w:sz w:val="21"/>
          <w:szCs w:val="21"/>
        </w:rPr>
        <w:br/>
      </w:r>
      <w:hyperlink r:id="rId8" w:history="1">
        <w:r w:rsidR="009E0DB5" w:rsidRPr="00892F4B">
          <w:rPr>
            <w:rStyle w:val="a3"/>
            <w:rFonts w:asciiTheme="minorHAnsi" w:eastAsiaTheme="minorHAnsi" w:hAnsiTheme="minorHAnsi"/>
            <w:sz w:val="21"/>
            <w:szCs w:val="21"/>
          </w:rPr>
          <w:t>https://cybersecurity-jp.com/news/40077</w:t>
        </w:r>
        <w:r w:rsidR="009E0DB5" w:rsidRPr="00892F4B">
          <w:rPr>
            <w:rStyle w:val="a3"/>
            <w:rFonts w:asciiTheme="minorHAnsi" w:eastAsiaTheme="minorHAnsi" w:hAnsiTheme="minorHAnsi" w:hint="eastAsia"/>
            <w:sz w:val="21"/>
            <w:szCs w:val="21"/>
          </w:rPr>
          <w:t>（</w:t>
        </w:r>
        <w:r w:rsidR="009E0DB5" w:rsidRPr="00892F4B">
          <w:rPr>
            <w:rStyle w:val="a3"/>
            <w:rFonts w:asciiTheme="minorHAnsi" w:eastAsiaTheme="minorHAnsi" w:hAnsiTheme="minorHAnsi"/>
            <w:sz w:val="21"/>
            <w:szCs w:val="21"/>
          </w:rPr>
          <w:t>2020/11/4</w:t>
        </w:r>
      </w:hyperlink>
      <w:r w:rsidR="009E0DB5">
        <w:rPr>
          <w:rFonts w:asciiTheme="minorHAnsi" w:eastAsiaTheme="minorHAnsi" w:hAnsiTheme="minorHAnsi" w:hint="eastAsia"/>
          <w:sz w:val="21"/>
          <w:szCs w:val="21"/>
        </w:rPr>
        <w:t>参照）</w:t>
      </w:r>
      <w:r w:rsidR="00CF1ABD">
        <w:rPr>
          <w:rFonts w:asciiTheme="minorHAnsi" w:eastAsiaTheme="minorHAnsi" w:hAnsiTheme="minorHAnsi"/>
          <w:sz w:val="21"/>
          <w:szCs w:val="21"/>
        </w:rPr>
        <w:br/>
      </w:r>
      <w:r w:rsidR="00CF1ABD">
        <w:rPr>
          <w:rFonts w:asciiTheme="minorHAnsi" w:eastAsiaTheme="minorHAnsi" w:hAnsiTheme="minorHAnsi" w:hint="eastAsia"/>
          <w:sz w:val="21"/>
          <w:szCs w:val="21"/>
        </w:rPr>
        <w:t>厚生労働省</w:t>
      </w:r>
      <w:r w:rsidR="00CF1ABD">
        <w:rPr>
          <w:rFonts w:asciiTheme="minorHAnsi" w:eastAsiaTheme="minorHAnsi" w:hAnsiTheme="minorHAnsi"/>
          <w:sz w:val="21"/>
          <w:szCs w:val="21"/>
        </w:rPr>
        <w:br/>
      </w:r>
      <w:hyperlink r:id="rId9" w:history="1">
        <w:r w:rsidR="00CF1ABD" w:rsidRPr="00892F4B">
          <w:rPr>
            <w:rStyle w:val="a3"/>
            <w:rFonts w:asciiTheme="minorHAnsi" w:eastAsiaTheme="minorHAnsi" w:hAnsiTheme="minorHAnsi"/>
            <w:sz w:val="21"/>
            <w:szCs w:val="21"/>
          </w:rPr>
          <w:t>https://www.mhlw.go.jp/stf/seisakunitsuite/bunya/koyou_roudou/koyoukintou/danjokintou/index.html</w:t>
        </w:r>
        <w:r w:rsidR="00CF1ABD" w:rsidRPr="00892F4B">
          <w:rPr>
            <w:rStyle w:val="a3"/>
            <w:rFonts w:asciiTheme="minorHAnsi" w:eastAsiaTheme="minorHAnsi" w:hAnsiTheme="minorHAnsi"/>
            <w:sz w:val="21"/>
            <w:szCs w:val="21"/>
          </w:rPr>
          <w:t>(2020/11/5</w:t>
        </w:r>
      </w:hyperlink>
      <w:r w:rsidR="00CF1ABD">
        <w:rPr>
          <w:rFonts w:asciiTheme="minorHAnsi" w:eastAsiaTheme="minorHAnsi" w:hAnsiTheme="minorHAnsi" w:hint="eastAsia"/>
          <w:sz w:val="21"/>
          <w:szCs w:val="21"/>
        </w:rPr>
        <w:t>参照</w:t>
      </w:r>
      <w:r w:rsidR="00CF1ABD">
        <w:rPr>
          <w:rFonts w:asciiTheme="minorHAnsi" w:eastAsiaTheme="minorHAnsi" w:hAnsiTheme="minorHAnsi"/>
          <w:sz w:val="21"/>
          <w:szCs w:val="21"/>
        </w:rPr>
        <w:t>)</w:t>
      </w:r>
    </w:p>
    <w:p w:rsidR="00A860D8" w:rsidRPr="00183F22" w:rsidRDefault="00A860D8" w:rsidP="00783BAD">
      <w:pPr>
        <w:pStyle w:val="Web"/>
        <w:spacing w:before="0" w:beforeAutospacing="0"/>
        <w:rPr>
          <w:rFonts w:asciiTheme="minorHAnsi" w:eastAsiaTheme="minorHAnsi" w:hAnsiTheme="minorHAnsi"/>
          <w:sz w:val="21"/>
          <w:szCs w:val="21"/>
        </w:rPr>
      </w:pPr>
    </w:p>
    <w:sectPr w:rsidR="00A860D8" w:rsidRPr="00183F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D318F"/>
    <w:multiLevelType w:val="hybridMultilevel"/>
    <w:tmpl w:val="652CA944"/>
    <w:lvl w:ilvl="0" w:tplc="131EEA9E">
      <w:start w:val="1"/>
      <w:numFmt w:val="decimalEnclosedParen"/>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 w15:restartNumberingAfterBreak="0">
    <w:nsid w:val="5C8404E1"/>
    <w:multiLevelType w:val="hybridMultilevel"/>
    <w:tmpl w:val="ADC624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3"/>
    <w:rsid w:val="000053F2"/>
    <w:rsid w:val="0002760D"/>
    <w:rsid w:val="00054EFB"/>
    <w:rsid w:val="00066AEC"/>
    <w:rsid w:val="000B2566"/>
    <w:rsid w:val="000B7AC6"/>
    <w:rsid w:val="00101444"/>
    <w:rsid w:val="00173FB5"/>
    <w:rsid w:val="00183F22"/>
    <w:rsid w:val="001F0263"/>
    <w:rsid w:val="001F41DB"/>
    <w:rsid w:val="00227F47"/>
    <w:rsid w:val="00232480"/>
    <w:rsid w:val="002B16A1"/>
    <w:rsid w:val="002D49D2"/>
    <w:rsid w:val="002E10C5"/>
    <w:rsid w:val="002F2410"/>
    <w:rsid w:val="00427518"/>
    <w:rsid w:val="00444A10"/>
    <w:rsid w:val="004C003E"/>
    <w:rsid w:val="005205F1"/>
    <w:rsid w:val="005F0419"/>
    <w:rsid w:val="00647D02"/>
    <w:rsid w:val="0065479B"/>
    <w:rsid w:val="00662F2B"/>
    <w:rsid w:val="006B6BE2"/>
    <w:rsid w:val="007125EB"/>
    <w:rsid w:val="00783BAD"/>
    <w:rsid w:val="007B2CC6"/>
    <w:rsid w:val="007C5233"/>
    <w:rsid w:val="007D6CFF"/>
    <w:rsid w:val="008E0ED9"/>
    <w:rsid w:val="009E0DB5"/>
    <w:rsid w:val="00A62D20"/>
    <w:rsid w:val="00A860D8"/>
    <w:rsid w:val="00AC554E"/>
    <w:rsid w:val="00AE04E9"/>
    <w:rsid w:val="00C14303"/>
    <w:rsid w:val="00C820B4"/>
    <w:rsid w:val="00CB29FB"/>
    <w:rsid w:val="00CC623A"/>
    <w:rsid w:val="00CC7144"/>
    <w:rsid w:val="00CE322B"/>
    <w:rsid w:val="00CF1ABD"/>
    <w:rsid w:val="00CF70B0"/>
    <w:rsid w:val="00D66FD3"/>
    <w:rsid w:val="00D8282E"/>
    <w:rsid w:val="00D96E0B"/>
    <w:rsid w:val="00DA0178"/>
    <w:rsid w:val="00DD15F1"/>
    <w:rsid w:val="00DF6B67"/>
    <w:rsid w:val="00EA5147"/>
    <w:rsid w:val="00EC646A"/>
    <w:rsid w:val="00ED07F6"/>
    <w:rsid w:val="00F008E4"/>
    <w:rsid w:val="00F31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CDD7E9"/>
  <w15:chartTrackingRefBased/>
  <w15:docId w15:val="{3A65A859-A5B5-604D-86F0-843031B2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6CF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62D2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unhideWhenUsed/>
    <w:rsid w:val="00783BAD"/>
    <w:rPr>
      <w:color w:val="0563C1" w:themeColor="hyperlink"/>
      <w:u w:val="single"/>
    </w:rPr>
  </w:style>
  <w:style w:type="character" w:styleId="a4">
    <w:name w:val="Unresolved Mention"/>
    <w:basedOn w:val="a0"/>
    <w:uiPriority w:val="99"/>
    <w:semiHidden/>
    <w:unhideWhenUsed/>
    <w:rsid w:val="00783BAD"/>
    <w:rPr>
      <w:color w:val="605E5C"/>
      <w:shd w:val="clear" w:color="auto" w:fill="E1DFDD"/>
    </w:rPr>
  </w:style>
  <w:style w:type="character" w:styleId="a5">
    <w:name w:val="FollowedHyperlink"/>
    <w:basedOn w:val="a0"/>
    <w:uiPriority w:val="99"/>
    <w:semiHidden/>
    <w:unhideWhenUsed/>
    <w:rsid w:val="00783BAD"/>
    <w:rPr>
      <w:color w:val="954F72" w:themeColor="followedHyperlink"/>
      <w:u w:val="single"/>
    </w:rPr>
  </w:style>
  <w:style w:type="character" w:customStyle="1" w:styleId="10">
    <w:name w:val="見出し 1 (文字)"/>
    <w:basedOn w:val="a0"/>
    <w:link w:val="1"/>
    <w:uiPriority w:val="9"/>
    <w:rsid w:val="007D6CFF"/>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845">
      <w:bodyDiv w:val="1"/>
      <w:marLeft w:val="0"/>
      <w:marRight w:val="0"/>
      <w:marTop w:val="0"/>
      <w:marBottom w:val="0"/>
      <w:divBdr>
        <w:top w:val="none" w:sz="0" w:space="0" w:color="auto"/>
        <w:left w:val="none" w:sz="0" w:space="0" w:color="auto"/>
        <w:bottom w:val="none" w:sz="0" w:space="0" w:color="auto"/>
        <w:right w:val="none" w:sz="0" w:space="0" w:color="auto"/>
      </w:divBdr>
    </w:div>
    <w:div w:id="1011956084">
      <w:bodyDiv w:val="1"/>
      <w:marLeft w:val="0"/>
      <w:marRight w:val="0"/>
      <w:marTop w:val="0"/>
      <w:marBottom w:val="0"/>
      <w:divBdr>
        <w:top w:val="none" w:sz="0" w:space="0" w:color="auto"/>
        <w:left w:val="none" w:sz="0" w:space="0" w:color="auto"/>
        <w:bottom w:val="none" w:sz="0" w:space="0" w:color="auto"/>
        <w:right w:val="none" w:sz="0" w:space="0" w:color="auto"/>
      </w:divBdr>
    </w:div>
    <w:div w:id="1044990306">
      <w:bodyDiv w:val="1"/>
      <w:marLeft w:val="0"/>
      <w:marRight w:val="0"/>
      <w:marTop w:val="0"/>
      <w:marBottom w:val="0"/>
      <w:divBdr>
        <w:top w:val="none" w:sz="0" w:space="0" w:color="auto"/>
        <w:left w:val="none" w:sz="0" w:space="0" w:color="auto"/>
        <w:bottom w:val="none" w:sz="0" w:space="0" w:color="auto"/>
        <w:right w:val="none" w:sz="0" w:space="0" w:color="auto"/>
      </w:divBdr>
    </w:div>
    <w:div w:id="1160731398">
      <w:bodyDiv w:val="1"/>
      <w:marLeft w:val="0"/>
      <w:marRight w:val="0"/>
      <w:marTop w:val="0"/>
      <w:marBottom w:val="0"/>
      <w:divBdr>
        <w:top w:val="none" w:sz="0" w:space="0" w:color="auto"/>
        <w:left w:val="none" w:sz="0" w:space="0" w:color="auto"/>
        <w:bottom w:val="none" w:sz="0" w:space="0" w:color="auto"/>
        <w:right w:val="none" w:sz="0" w:space="0" w:color="auto"/>
      </w:divBdr>
    </w:div>
    <w:div w:id="1718239621">
      <w:bodyDiv w:val="1"/>
      <w:marLeft w:val="0"/>
      <w:marRight w:val="0"/>
      <w:marTop w:val="0"/>
      <w:marBottom w:val="0"/>
      <w:divBdr>
        <w:top w:val="none" w:sz="0" w:space="0" w:color="auto"/>
        <w:left w:val="none" w:sz="0" w:space="0" w:color="auto"/>
        <w:bottom w:val="none" w:sz="0" w:space="0" w:color="auto"/>
        <w:right w:val="none" w:sz="0" w:space="0" w:color="auto"/>
      </w:divBdr>
    </w:div>
    <w:div w:id="1969628815">
      <w:bodyDiv w:val="1"/>
      <w:marLeft w:val="0"/>
      <w:marRight w:val="0"/>
      <w:marTop w:val="0"/>
      <w:marBottom w:val="0"/>
      <w:divBdr>
        <w:top w:val="none" w:sz="0" w:space="0" w:color="auto"/>
        <w:left w:val="none" w:sz="0" w:space="0" w:color="auto"/>
        <w:bottom w:val="none" w:sz="0" w:space="0" w:color="auto"/>
        <w:right w:val="none" w:sz="0" w:space="0" w:color="auto"/>
      </w:divBdr>
    </w:div>
    <w:div w:id="1998150810">
      <w:bodyDiv w:val="1"/>
      <w:marLeft w:val="0"/>
      <w:marRight w:val="0"/>
      <w:marTop w:val="0"/>
      <w:marBottom w:val="0"/>
      <w:divBdr>
        <w:top w:val="none" w:sz="0" w:space="0" w:color="auto"/>
        <w:left w:val="none" w:sz="0" w:space="0" w:color="auto"/>
        <w:bottom w:val="none" w:sz="0" w:space="0" w:color="auto"/>
        <w:right w:val="none" w:sz="0" w:space="0" w:color="auto"/>
      </w:divBdr>
    </w:div>
    <w:div w:id="2031174161">
      <w:bodyDiv w:val="1"/>
      <w:marLeft w:val="0"/>
      <w:marRight w:val="0"/>
      <w:marTop w:val="0"/>
      <w:marBottom w:val="0"/>
      <w:divBdr>
        <w:top w:val="none" w:sz="0" w:space="0" w:color="auto"/>
        <w:left w:val="none" w:sz="0" w:space="0" w:color="auto"/>
        <w:bottom w:val="none" w:sz="0" w:space="0" w:color="auto"/>
        <w:right w:val="none" w:sz="0" w:space="0" w:color="auto"/>
      </w:divBdr>
    </w:div>
    <w:div w:id="21396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jp.com/news/40077&#65288;2020/11/4" TargetMode="External"/><Relationship Id="rId3" Type="http://schemas.openxmlformats.org/officeDocument/2006/relationships/settings" Target="settings.xml"/><Relationship Id="rId7" Type="http://schemas.openxmlformats.org/officeDocument/2006/relationships/hyperlink" Target="https://www.ppc.go.jp/files/pdf/28_setsumeikai_siryou.pdf(2020/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online.go.jp/useful/article/201112/2.html" TargetMode="External"/><Relationship Id="rId11" Type="http://schemas.openxmlformats.org/officeDocument/2006/relationships/theme" Target="theme/theme1.xml"/><Relationship Id="rId5" Type="http://schemas.openxmlformats.org/officeDocument/2006/relationships/hyperlink" Target="https://www.jftc.go.jp/dk/dkgaiyo/gaiy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hlw.go.jp/stf/seisakunitsuite/bunya/koyou_roudou/koyoukintou/danjokintou/index.html(2020/11/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491</Words>
  <Characters>2803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44</cp:revision>
  <dcterms:created xsi:type="dcterms:W3CDTF">2020-11-04T06:55:00Z</dcterms:created>
  <dcterms:modified xsi:type="dcterms:W3CDTF">2020-11-05T08:50:00Z</dcterms:modified>
</cp:coreProperties>
</file>