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eastAsia="Calibri"/>
          <w:b/>
          <w:i w:val="0"/>
          <w:color w:val="1F2A44"/>
          <w:sz w:val="44"/>
        </w:rPr>
        <w:t>Financial Document Intelligence Pipeline (RAG)</w:t>
      </w:r>
    </w:p>
    <w:p>
      <w:pPr>
        <w:spacing w:after="40"/>
      </w:pPr>
      <w:r>
        <w:rPr>
          <w:rFonts w:ascii="Calibri" w:hAnsi="Calibri" w:eastAsia="Calibri"/>
          <w:b w:val="0"/>
          <w:i w:val="0"/>
          <w:color w:val="4A5568"/>
          <w:sz w:val="28"/>
        </w:rPr>
        <w:t>Chunking strategy comparison in Lyzr Studio</w:t>
      </w:r>
    </w:p>
    <w:p>
      <w:pPr>
        <w:spacing w:after="240"/>
      </w:pPr>
      <w:r>
        <w:rPr>
          <w:rFonts w:ascii="Calibri" w:hAnsi="Calibri" w:eastAsia="Calibri"/>
          <w:b w:val="0"/>
          <w:i/>
          <w:color w:val="4A5568"/>
          <w:sz w:val="22"/>
        </w:rPr>
        <w:t>Week 2 course project  ·  Tesla, Harley-Davidson, and Polaris 10-K extracts</w:t>
      </w:r>
    </w:p>
    <w:p>
      <w:pPr>
        <w:spacing w:before="320" w:after="120"/>
      </w:pPr>
      <w:r>
        <w:rPr>
          <w:rFonts w:ascii="Calibri" w:hAnsi="Calibri" w:eastAsia="Calibri"/>
          <w:b/>
          <w:i w:val="0"/>
          <w:color w:val="1F2A44"/>
          <w:sz w:val="32"/>
        </w:rPr>
        <w:t>1. Objective</w:t>
      </w:r>
    </w:p>
    <w:p>
      <w:pPr>
        <w:spacing w:after="160" w:line="240" w:lineRule="auto"/>
      </w:pPr>
      <w:r>
        <w:rPr>
          <w:rFonts w:ascii="Calibri" w:hAnsi="Calibri" w:eastAsia="Calibri"/>
          <w:b w:val="0"/>
          <w:i w:val="0"/>
          <w:color w:val="1F2A44"/>
          <w:sz w:val="22"/>
        </w:rPr>
        <w:t>This project builds a retrieval-augmented generation (RAG) pipeline over financial filings and compares two chunking strategies on the same questions. The experiment was run in Lyzr Studio: fixed-size chunks versus larger topical windows, with identical agents, files, and retrieval settings. The goal is to see whether chunk size changes retrieval quality and whether answers are usable for an analyst.</w:t>
      </w:r>
    </w:p>
    <w:p>
      <w:pPr>
        <w:spacing w:before="320" w:after="120"/>
      </w:pPr>
      <w:r>
        <w:rPr>
          <w:rFonts w:ascii="Calibri" w:hAnsi="Calibri" w:eastAsia="Calibri"/>
          <w:b/>
          <w:i w:val="0"/>
          <w:color w:val="1F2A44"/>
          <w:sz w:val="32"/>
        </w:rPr>
        <w:t>2. Corpus</w:t>
      </w:r>
    </w:p>
    <w:p>
      <w:pPr>
        <w:spacing w:after="160" w:line="240" w:lineRule="auto"/>
      </w:pPr>
      <w:r>
        <w:rPr>
          <w:rFonts w:ascii="Calibri" w:hAnsi="Calibri" w:eastAsia="Calibri"/>
          <w:b w:val="0"/>
          <w:i w:val="0"/>
          <w:color w:val="1F2A44"/>
          <w:sz w:val="22"/>
        </w:rPr>
        <w:t>Three SEC Form 10-K extracts were used (Item 1 Business, Item 1A Risk Factors, and Item 7 MD&amp;A only). Full EDGAR HTML was not uploaded. Parser: PyPDF.</w:t>
      </w:r>
    </w:p>
    <w:p>
      <w:pPr>
        <w:pStyle w:val="ListBullet"/>
        <w:spacing w:after="60"/>
      </w:pPr>
      <w:r>
        <w:rPr>
          <w:rFonts w:ascii="Calibri" w:hAnsi="Calibri" w:eastAsia="Calibri"/>
          <w:b w:val="0"/>
          <w:i w:val="0"/>
          <w:color w:val="1F2A44"/>
          <w:sz w:val="22"/>
        </w:rPr>
        <w:t>Tesla, Inc. — TSLA_10K_2025.pdf</w:t>
      </w:r>
    </w:p>
    <w:p>
      <w:pPr>
        <w:pStyle w:val="ListBullet"/>
        <w:spacing w:after="60"/>
      </w:pPr>
      <w:r>
        <w:rPr>
          <w:rFonts w:ascii="Calibri" w:hAnsi="Calibri" w:eastAsia="Calibri"/>
          <w:b w:val="0"/>
          <w:i w:val="0"/>
          <w:color w:val="1F2A44"/>
          <w:sz w:val="22"/>
        </w:rPr>
        <w:t>Harley-Davidson, Inc. — HOG_10K_2025.pdf</w:t>
      </w:r>
    </w:p>
    <w:p>
      <w:pPr>
        <w:pStyle w:val="ListBullet"/>
        <w:spacing w:after="60"/>
      </w:pPr>
      <w:r>
        <w:rPr>
          <w:rFonts w:ascii="Calibri" w:hAnsi="Calibri" w:eastAsia="Calibri"/>
          <w:b w:val="0"/>
          <w:i w:val="0"/>
          <w:color w:val="1F2A44"/>
          <w:sz w:val="22"/>
        </w:rPr>
        <w:t>Polaris Inc. — PII_10K_2025.pdf</w:t>
      </w:r>
    </w:p>
    <w:p>
      <w:pPr>
        <w:spacing w:after="160" w:line="240" w:lineRule="auto"/>
      </w:pPr>
      <w:r>
        <w:rPr>
          <w:rFonts w:ascii="Calibri" w:hAnsi="Calibri" w:eastAsia="Calibri"/>
          <w:b w:val="0"/>
          <w:i w:val="0"/>
          <w:color w:val="1F2A44"/>
          <w:sz w:val="22"/>
        </w:rPr>
        <w:t>Files were uploaded from the project folder data/sec/lyzr_pdfs/. The same three PDFs went into both knowledge bases.</w:t>
      </w:r>
    </w:p>
    <w:p>
      <w:pPr>
        <w:spacing w:before="320" w:after="120"/>
      </w:pPr>
      <w:r>
        <w:rPr>
          <w:rFonts w:ascii="Calibri" w:hAnsi="Calibri" w:eastAsia="Calibri"/>
          <w:b/>
          <w:i w:val="0"/>
          <w:color w:val="1F2A44"/>
          <w:sz w:val="32"/>
        </w:rPr>
        <w:t>3. Method</w:t>
      </w:r>
    </w:p>
    <w:p>
      <w:pPr>
        <w:spacing w:after="160" w:line="240" w:lineRule="auto"/>
      </w:pPr>
      <w:r>
        <w:rPr>
          <w:rFonts w:ascii="Calibri" w:hAnsi="Calibri" w:eastAsia="Calibri"/>
          <w:b w:val="0"/>
          <w:i w:val="0"/>
          <w:color w:val="1F2A44"/>
          <w:sz w:val="22"/>
        </w:rPr>
        <w:t>Two Knowledge Bases and two agents were created. Role, Goal, and Instructions were the same on both agents. The only intentional difference was chunk size and overlap. Both knowledge bases were not attached to a single agent, because that would mix 800- and 1600-character windows and hide which chunker produced the hit.</w:t>
      </w:r>
    </w:p>
    <w:tbl>
      <w:tblPr>
        <w:tblW w:type="auto" w:w="0"/>
        <w:tblLayout w:type="autofit"/>
        <w:tblLook w:firstColumn="1" w:firstRow="1" w:lastColumn="0" w:lastRow="0" w:noHBand="0" w:noVBand="1" w:val="04A0"/>
      </w:tblPr>
      <w:tblGrid>
        <w:gridCol w:w="3120"/>
        <w:gridCol w:w="3120"/>
        <w:gridCol w:w="3120"/>
      </w:tblGrid>
      <w:tr>
        <w:tc>
          <w:tcPr>
            <w:tcW w:type="dxa" w:w="3120"/>
            <w:tcBorders>
              <w:top w:val="single" w:sz="4" w:space="0" w:color="D0D5DD"/>
              <w:left w:val="single" w:sz="4" w:space="0" w:color="D0D5DD"/>
              <w:bottom w:val="single" w:sz="4" w:space="0" w:color="D0D5DD"/>
              <w:right w:val="single" w:sz="4" w:space="0" w:color="D0D5DD"/>
            </w:tcBorders>
            <w:shd w:fill="1F2A44" w:val="clear"/>
          </w:tcPr>
          <w:p>
            <w:pPr>
              <w:spacing w:before="60" w:after="60"/>
            </w:pPr>
            <w:r/>
            <w:r>
              <w:rPr>
                <w:rFonts w:ascii="Calibri" w:hAnsi="Calibri" w:eastAsia="Calibri"/>
                <w:b/>
                <w:i w:val="0"/>
                <w:color w:val="FFFFFF"/>
                <w:sz w:val="20"/>
              </w:rPr>
              <w:t>Setting</w:t>
            </w:r>
          </w:p>
        </w:tc>
        <w:tc>
          <w:tcPr>
            <w:tcW w:type="dxa" w:w="3120"/>
            <w:tcBorders>
              <w:top w:val="single" w:sz="4" w:space="0" w:color="D0D5DD"/>
              <w:left w:val="single" w:sz="4" w:space="0" w:color="D0D5DD"/>
              <w:bottom w:val="single" w:sz="4" w:space="0" w:color="D0D5DD"/>
              <w:right w:val="single" w:sz="4" w:space="0" w:color="D0D5DD"/>
            </w:tcBorders>
            <w:shd w:fill="1F2A44" w:val="clear"/>
          </w:tcPr>
          <w:p>
            <w:pPr>
              <w:spacing w:before="60" w:after="60"/>
            </w:pPr>
            <w:r/>
            <w:r>
              <w:rPr>
                <w:rFonts w:ascii="Calibri" w:hAnsi="Calibri" w:eastAsia="Calibri"/>
                <w:b/>
                <w:i w:val="0"/>
                <w:color w:val="FFFFFF"/>
                <w:sz w:val="20"/>
              </w:rPr>
              <w:t>Fixed agent</w:t>
            </w:r>
          </w:p>
        </w:tc>
        <w:tc>
          <w:tcPr>
            <w:tcW w:type="dxa" w:w="3120"/>
            <w:tcBorders>
              <w:top w:val="single" w:sz="4" w:space="0" w:color="D0D5DD"/>
              <w:left w:val="single" w:sz="4" w:space="0" w:color="D0D5DD"/>
              <w:bottom w:val="single" w:sz="4" w:space="0" w:color="D0D5DD"/>
              <w:right w:val="single" w:sz="4" w:space="0" w:color="D0D5DD"/>
            </w:tcBorders>
            <w:shd w:fill="1F2A44" w:val="clear"/>
          </w:tcPr>
          <w:p>
            <w:pPr>
              <w:spacing w:before="60" w:after="60"/>
            </w:pPr>
            <w:r/>
            <w:r>
              <w:rPr>
                <w:rFonts w:ascii="Calibri" w:hAnsi="Calibri" w:eastAsia="Calibri"/>
                <w:b/>
                <w:i w:val="0"/>
                <w:color w:val="FFFFFF"/>
                <w:sz w:val="20"/>
              </w:rPr>
              <w:t>Semantic agent</w:t>
            </w:r>
          </w:p>
        </w:tc>
      </w:tr>
      <w:tr>
        <w:tc>
          <w:tcPr>
            <w:tcW w:type="dxa" w:w="3120"/>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i w:val="0"/>
                <w:color w:val="1F2A44"/>
                <w:sz w:val="20"/>
              </w:rPr>
              <w:t>Knowledge Base</w:t>
            </w:r>
          </w:p>
        </w:tc>
        <w:tc>
          <w:tcPr>
            <w:tcW w:type="dxa" w:w="3120"/>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10k-fixed</w:t>
            </w:r>
          </w:p>
        </w:tc>
        <w:tc>
          <w:tcPr>
            <w:tcW w:type="dxa" w:w="3120"/>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10k-semantic</w:t>
            </w:r>
          </w:p>
        </w:tc>
      </w:tr>
      <w:tr>
        <w:tc>
          <w:tcPr>
            <w:tcW w:type="dxa" w:w="3120"/>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i w:val="0"/>
                <w:color w:val="1F2A44"/>
                <w:sz w:val="20"/>
              </w:rPr>
              <w:t>Chunk size / overlap</w:t>
            </w:r>
          </w:p>
        </w:tc>
        <w:tc>
          <w:tcPr>
            <w:tcW w:type="dxa" w:w="3120"/>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800 / 150</w:t>
            </w:r>
          </w:p>
        </w:tc>
        <w:tc>
          <w:tcPr>
            <w:tcW w:type="dxa" w:w="3120"/>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1600 / 200</w:t>
            </w:r>
          </w:p>
        </w:tc>
      </w:tr>
      <w:tr>
        <w:tc>
          <w:tcPr>
            <w:tcW w:type="dxa" w:w="3120"/>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i w:val="0"/>
                <w:color w:val="1F2A44"/>
                <w:sz w:val="20"/>
              </w:rPr>
              <w:t>Retrieval type</w:t>
            </w:r>
          </w:p>
        </w:tc>
        <w:tc>
          <w:tcPr>
            <w:tcW w:type="dxa" w:w="3120"/>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Basic</w:t>
            </w:r>
          </w:p>
        </w:tc>
        <w:tc>
          <w:tcPr>
            <w:tcW w:type="dxa" w:w="3120"/>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Basic</w:t>
            </w:r>
          </w:p>
        </w:tc>
      </w:tr>
      <w:tr>
        <w:tc>
          <w:tcPr>
            <w:tcW w:type="dxa" w:w="3120"/>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i w:val="0"/>
                <w:color w:val="1F2A44"/>
                <w:sz w:val="20"/>
              </w:rPr>
              <w:t>top-k</w:t>
            </w:r>
          </w:p>
        </w:tc>
        <w:tc>
          <w:tcPr>
            <w:tcW w:type="dxa" w:w="3120"/>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5</w:t>
            </w:r>
          </w:p>
        </w:tc>
        <w:tc>
          <w:tcPr>
            <w:tcW w:type="dxa" w:w="3120"/>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5</w:t>
            </w:r>
          </w:p>
        </w:tc>
      </w:tr>
      <w:tr>
        <w:tc>
          <w:tcPr>
            <w:tcW w:type="dxa" w:w="3120"/>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i w:val="0"/>
                <w:color w:val="1F2A44"/>
                <w:sz w:val="20"/>
              </w:rPr>
              <w:t>Embedding</w:t>
            </w:r>
          </w:p>
        </w:tc>
        <w:tc>
          <w:tcPr>
            <w:tcW w:type="dxa" w:w="3120"/>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text-embedding-3-small</w:t>
            </w:r>
          </w:p>
        </w:tc>
        <w:tc>
          <w:tcPr>
            <w:tcW w:type="dxa" w:w="3120"/>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text-embedding-3-small</w:t>
            </w:r>
          </w:p>
        </w:tc>
      </w:tr>
      <w:tr>
        <w:tc>
          <w:tcPr>
            <w:tcW w:type="dxa" w:w="3120"/>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i w:val="0"/>
                <w:color w:val="1F2A44"/>
                <w:sz w:val="20"/>
              </w:rPr>
              <w:t>Vector store</w:t>
            </w:r>
          </w:p>
        </w:tc>
        <w:tc>
          <w:tcPr>
            <w:tcW w:type="dxa" w:w="3120"/>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Lyzr-hosted Qdrant</w:t>
            </w:r>
          </w:p>
        </w:tc>
        <w:tc>
          <w:tcPr>
            <w:tcW w:type="dxa" w:w="3120"/>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Same credential</w:t>
            </w:r>
          </w:p>
        </w:tc>
      </w:tr>
      <w:tr>
        <w:tc>
          <w:tcPr>
            <w:tcW w:type="dxa" w:w="3120"/>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i w:val="0"/>
                <w:color w:val="1F2A44"/>
                <w:sz w:val="20"/>
              </w:rPr>
              <w:t>Documents</w:t>
            </w:r>
          </w:p>
        </w:tc>
        <w:tc>
          <w:tcPr>
            <w:tcW w:type="dxa" w:w="3120"/>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Same three PDFs</w:t>
            </w:r>
          </w:p>
        </w:tc>
        <w:tc>
          <w:tcPr>
            <w:tcW w:type="dxa" w:w="3120"/>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Same three PDFs</w:t>
            </w:r>
          </w:p>
        </w:tc>
      </w:tr>
      <w:tr>
        <w:tc>
          <w:tcPr>
            <w:tcW w:type="dxa" w:w="3120"/>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i w:val="0"/>
                <w:color w:val="1F2A44"/>
                <w:sz w:val="20"/>
              </w:rPr>
              <w:t>Role, Goal, Instructions</w:t>
            </w:r>
          </w:p>
        </w:tc>
        <w:tc>
          <w:tcPr>
            <w:tcW w:type="dxa" w:w="3120"/>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Identical</w:t>
            </w:r>
          </w:p>
        </w:tc>
        <w:tc>
          <w:tcPr>
            <w:tcW w:type="dxa" w:w="3120"/>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Identical</w:t>
            </w:r>
          </w:p>
        </w:tc>
      </w:tr>
    </w:tbl>
    <w:p/>
    <w:p>
      <w:pPr>
        <w:spacing w:after="160" w:line="240" w:lineRule="auto"/>
      </w:pPr>
      <w:r>
        <w:rPr>
          <w:rFonts w:ascii="Calibri" w:hAnsi="Calibri" w:eastAsia="Calibri"/>
          <w:b w:val="0"/>
          <w:i w:val="0"/>
          <w:color w:val="1F2A44"/>
          <w:sz w:val="22"/>
        </w:rPr>
        <w:t>Agent role: financial document analyst; answer only from the 10-K extracts. Goal: short cited answers; say you do not know if the filings do not contain the answer. Instructions: use only the knowledge base; cite the source file; do not mix companies; no investment advice.</w:t>
      </w:r>
    </w:p>
    <w:p>
      <w:pPr>
        <w:spacing w:after="160" w:line="240" w:lineRule="auto"/>
      </w:pPr>
      <w:r>
        <w:rPr>
          <w:rFonts w:ascii="Calibri" w:hAnsi="Calibri" w:eastAsia="Calibri"/>
          <w:b w:val="0"/>
          <w:i w:val="0"/>
          <w:color w:val="1F2A44"/>
          <w:sz w:val="22"/>
        </w:rPr>
        <w:t>Reranking was not turned on. Lyzr Basic retrieval with top-k 5 is a single similarity search. This report therefore compares chunking only, not a second-stage rerank. In Lyzr, “semantic” means larger topical windows (1600 / 200), not a custom sentence-similarity splitter.</w:t>
      </w:r>
    </w:p>
    <w:p>
      <w:pPr>
        <w:spacing w:after="160" w:line="240" w:lineRule="auto"/>
      </w:pPr>
      <w:r>
        <w:rPr>
          <w:rFonts w:ascii="Calibri" w:hAnsi="Calibri" w:eastAsia="Calibri"/>
          <w:b w:val="0"/>
          <w:i w:val="0"/>
          <w:color w:val="1F2A44"/>
          <w:sz w:val="22"/>
        </w:rPr>
        <w:t>Vector-store credentials had to be saved before training. Empty Qdrant credentials produced a 500 training error (KeyError: 'credentials'). File size was not the cause.</w:t>
      </w:r>
    </w:p>
    <w:p>
      <w:pPr>
        <w:spacing w:before="320" w:after="120"/>
      </w:pPr>
      <w:r>
        <w:rPr>
          <w:rFonts w:ascii="Calibri" w:hAnsi="Calibri" w:eastAsia="Calibri"/>
          <w:b/>
          <w:i w:val="0"/>
          <w:color w:val="1F2A44"/>
          <w:sz w:val="32"/>
        </w:rPr>
        <w:t>4. Evaluation</w:t>
      </w:r>
    </w:p>
    <w:p>
      <w:pPr>
        <w:spacing w:after="160" w:line="240" w:lineRule="auto"/>
      </w:pPr>
      <w:r>
        <w:rPr>
          <w:rFonts w:ascii="Calibri" w:hAnsi="Calibri" w:eastAsia="Calibri"/>
          <w:b w:val="0"/>
          <w:i w:val="0"/>
          <w:color w:val="1F2A44"/>
          <w:sz w:val="22"/>
        </w:rPr>
        <w:t>Six questions were asked with the same wording on the fixed agent, then on the semantic agent. Scoring used business relevance, not token overlap:</w:t>
      </w:r>
    </w:p>
    <w:p>
      <w:pPr>
        <w:pStyle w:val="ListBullet"/>
        <w:spacing w:after="60"/>
      </w:pPr>
      <w:r>
        <w:rPr>
          <w:rFonts w:ascii="Calibri" w:hAnsi="Calibri" w:eastAsia="Calibri"/>
          <w:b w:val="0"/>
          <w:i w:val="0"/>
          <w:color w:val="1F2A44"/>
          <w:sz w:val="22"/>
        </w:rPr>
        <w:t>Yes — an analyst could use the answer; right company; key facts present.</w:t>
      </w:r>
    </w:p>
    <w:p>
      <w:pPr>
        <w:pStyle w:val="ListBullet"/>
        <w:spacing w:after="60"/>
      </w:pPr>
      <w:r>
        <w:rPr>
          <w:rFonts w:ascii="Calibri" w:hAnsi="Calibri" w:eastAsia="Calibri"/>
          <w:b w:val="0"/>
          <w:i w:val="0"/>
          <w:color w:val="1F2A44"/>
          <w:sz w:val="22"/>
        </w:rPr>
        <w:t>Partial — right company, but thin or missing a named definition.</w:t>
      </w:r>
    </w:p>
    <w:p>
      <w:pPr>
        <w:pStyle w:val="ListBullet"/>
        <w:spacing w:after="60"/>
      </w:pPr>
      <w:r>
        <w:rPr>
          <w:rFonts w:ascii="Calibri" w:hAnsi="Calibri" w:eastAsia="Calibri"/>
          <w:b w:val="0"/>
          <w:i w:val="0"/>
          <w:color w:val="1F2A44"/>
          <w:sz w:val="22"/>
        </w:rPr>
        <w:t>No — wrong company, or “I don’t know” when the 10-K has the answer.</w:t>
      </w:r>
    </w:p>
    <w:p>
      <w:pPr>
        <w:pStyle w:val="ListBullet"/>
        <w:spacing w:after="60"/>
      </w:pPr>
      <w:r>
        <w:rPr>
          <w:rFonts w:ascii="Calibri" w:hAnsi="Calibri" w:eastAsia="Calibri"/>
          <w:b w:val="0"/>
          <w:i w:val="0"/>
          <w:color w:val="1F2A44"/>
          <w:sz w:val="22"/>
        </w:rPr>
        <w:t>Correct refuse — “I don’t know” on a question that is not in the corpus (desired).</w:t>
      </w:r>
    </w:p>
    <w:p>
      <w:pPr>
        <w:spacing w:before="320" w:after="120"/>
      </w:pPr>
      <w:r>
        <w:rPr>
          <w:rFonts w:ascii="Calibri" w:hAnsi="Calibri" w:eastAsia="Calibri"/>
          <w:b/>
          <w:i w:val="0"/>
          <w:color w:val="1F2A44"/>
          <w:sz w:val="32"/>
        </w:rPr>
        <w:t>5. Results</w:t>
      </w:r>
    </w:p>
    <w:tbl>
      <w:tblPr>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D0D5DD"/>
              <w:left w:val="single" w:sz="4" w:space="0" w:color="D0D5DD"/>
              <w:bottom w:val="single" w:sz="4" w:space="0" w:color="D0D5DD"/>
              <w:right w:val="single" w:sz="4" w:space="0" w:color="D0D5DD"/>
            </w:tcBorders>
            <w:shd w:fill="1F2A44" w:val="clear"/>
          </w:tcPr>
          <w:p>
            <w:pPr>
              <w:spacing w:before="60" w:after="60"/>
            </w:pPr>
            <w:r/>
            <w:r>
              <w:rPr>
                <w:rFonts w:ascii="Calibri" w:hAnsi="Calibri" w:eastAsia="Calibri"/>
                <w:b/>
                <w:i w:val="0"/>
                <w:color w:val="FFFFFF"/>
                <w:sz w:val="20"/>
              </w:rPr>
              <w:t>#</w:t>
            </w:r>
          </w:p>
        </w:tc>
        <w:tc>
          <w:tcPr>
            <w:tcW w:type="dxa" w:w="1872"/>
            <w:tcBorders>
              <w:top w:val="single" w:sz="4" w:space="0" w:color="D0D5DD"/>
              <w:left w:val="single" w:sz="4" w:space="0" w:color="D0D5DD"/>
              <w:bottom w:val="single" w:sz="4" w:space="0" w:color="D0D5DD"/>
              <w:right w:val="single" w:sz="4" w:space="0" w:color="D0D5DD"/>
            </w:tcBorders>
            <w:shd w:fill="1F2A44" w:val="clear"/>
          </w:tcPr>
          <w:p>
            <w:pPr>
              <w:spacing w:before="60" w:after="60"/>
            </w:pPr>
            <w:r/>
            <w:r>
              <w:rPr>
                <w:rFonts w:ascii="Calibri" w:hAnsi="Calibri" w:eastAsia="Calibri"/>
                <w:b/>
                <w:i w:val="0"/>
                <w:color w:val="FFFFFF"/>
                <w:sz w:val="20"/>
              </w:rPr>
              <w:t>Question</w:t>
            </w:r>
          </w:p>
        </w:tc>
        <w:tc>
          <w:tcPr>
            <w:tcW w:type="dxa" w:w="1872"/>
            <w:tcBorders>
              <w:top w:val="single" w:sz="4" w:space="0" w:color="D0D5DD"/>
              <w:left w:val="single" w:sz="4" w:space="0" w:color="D0D5DD"/>
              <w:bottom w:val="single" w:sz="4" w:space="0" w:color="D0D5DD"/>
              <w:right w:val="single" w:sz="4" w:space="0" w:color="D0D5DD"/>
            </w:tcBorders>
            <w:shd w:fill="1F2A44" w:val="clear"/>
          </w:tcPr>
          <w:p>
            <w:pPr>
              <w:spacing w:before="60" w:after="60"/>
            </w:pPr>
            <w:r/>
            <w:r>
              <w:rPr>
                <w:rFonts w:ascii="Calibri" w:hAnsi="Calibri" w:eastAsia="Calibri"/>
                <w:b/>
                <w:i w:val="0"/>
                <w:color w:val="FFFFFF"/>
                <w:sz w:val="20"/>
              </w:rPr>
              <w:t>Fixed (800/150)</w:t>
            </w:r>
          </w:p>
        </w:tc>
        <w:tc>
          <w:tcPr>
            <w:tcW w:type="dxa" w:w="1872"/>
            <w:tcBorders>
              <w:top w:val="single" w:sz="4" w:space="0" w:color="D0D5DD"/>
              <w:left w:val="single" w:sz="4" w:space="0" w:color="D0D5DD"/>
              <w:bottom w:val="single" w:sz="4" w:space="0" w:color="D0D5DD"/>
              <w:right w:val="single" w:sz="4" w:space="0" w:color="D0D5DD"/>
            </w:tcBorders>
            <w:shd w:fill="1F2A44" w:val="clear"/>
          </w:tcPr>
          <w:p>
            <w:pPr>
              <w:spacing w:before="60" w:after="60"/>
            </w:pPr>
            <w:r/>
            <w:r>
              <w:rPr>
                <w:rFonts w:ascii="Calibri" w:hAnsi="Calibri" w:eastAsia="Calibri"/>
                <w:b/>
                <w:i w:val="0"/>
                <w:color w:val="FFFFFF"/>
                <w:sz w:val="20"/>
              </w:rPr>
              <w:t>Semantic (1600/200)</w:t>
            </w:r>
          </w:p>
        </w:tc>
        <w:tc>
          <w:tcPr>
            <w:tcW w:type="dxa" w:w="1872"/>
            <w:tcBorders>
              <w:top w:val="single" w:sz="4" w:space="0" w:color="D0D5DD"/>
              <w:left w:val="single" w:sz="4" w:space="0" w:color="D0D5DD"/>
              <w:bottom w:val="single" w:sz="4" w:space="0" w:color="D0D5DD"/>
              <w:right w:val="single" w:sz="4" w:space="0" w:color="D0D5DD"/>
            </w:tcBorders>
            <w:shd w:fill="1F2A44" w:val="clear"/>
          </w:tcPr>
          <w:p>
            <w:pPr>
              <w:spacing w:before="60" w:after="60"/>
            </w:pPr>
            <w:r/>
            <w:r>
              <w:rPr>
                <w:rFonts w:ascii="Calibri" w:hAnsi="Calibri" w:eastAsia="Calibri"/>
                <w:b/>
                <w:i w:val="0"/>
                <w:color w:val="FFFFFF"/>
                <w:sz w:val="20"/>
              </w:rPr>
              <w:t>More usable</w:t>
            </w:r>
          </w:p>
        </w:tc>
      </w:tr>
      <w:tr>
        <w:tc>
          <w:tcPr>
            <w:tcW w:type="dxa" w:w="1872"/>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i w:val="0"/>
                <w:color w:val="1F2A44"/>
                <w:sz w:val="20"/>
              </w:rPr>
              <w:t>1</w:t>
            </w:r>
          </w:p>
        </w:tc>
        <w:tc>
          <w:tcPr>
            <w:tcW w:type="dxa" w:w="1872"/>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What else does Tesla sell besides cars?</w:t>
            </w:r>
          </w:p>
        </w:tc>
        <w:tc>
          <w:tcPr>
            <w:tcW w:type="dxa" w:w="1872"/>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Yes</w:t>
            </w:r>
          </w:p>
        </w:tc>
        <w:tc>
          <w:tcPr>
            <w:tcW w:type="dxa" w:w="1872"/>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Yes</w:t>
            </w:r>
          </w:p>
        </w:tc>
        <w:tc>
          <w:tcPr>
            <w:tcW w:type="dxa" w:w="1872"/>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Tie</w:t>
            </w:r>
          </w:p>
        </w:tc>
      </w:tr>
      <w:tr>
        <w:tc>
          <w:tcPr>
            <w:tcW w:type="dxa" w:w="1872"/>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i w:val="0"/>
                <w:color w:val="1F2A44"/>
                <w:sz w:val="20"/>
              </w:rPr>
              <w:t>2</w:t>
            </w:r>
          </w:p>
        </w:tc>
        <w:tc>
          <w:tcPr>
            <w:tcW w:type="dxa" w:w="1872"/>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Harley-Davidson dealer risks</w:t>
            </w:r>
          </w:p>
        </w:tc>
        <w:tc>
          <w:tcPr>
            <w:tcW w:type="dxa" w:w="1872"/>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Yes</w:t>
            </w:r>
          </w:p>
        </w:tc>
        <w:tc>
          <w:tcPr>
            <w:tcW w:type="dxa" w:w="1872"/>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Yes</w:t>
            </w:r>
          </w:p>
        </w:tc>
        <w:tc>
          <w:tcPr>
            <w:tcW w:type="dxa" w:w="1872"/>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Semantic</w:t>
            </w:r>
          </w:p>
        </w:tc>
      </w:tr>
      <w:tr>
        <w:tc>
          <w:tcPr>
            <w:tcW w:type="dxa" w:w="1872"/>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i w:val="0"/>
                <w:color w:val="1F2A44"/>
                <w:sz w:val="20"/>
              </w:rPr>
              <w:t>3</w:t>
            </w:r>
          </w:p>
        </w:tc>
        <w:tc>
          <w:tcPr>
            <w:tcW w:type="dxa" w:w="1872"/>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Indian Motorcycle at Polaris</w:t>
            </w:r>
          </w:p>
        </w:tc>
        <w:tc>
          <w:tcPr>
            <w:tcW w:type="dxa" w:w="1872"/>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Yes</w:t>
            </w:r>
          </w:p>
        </w:tc>
        <w:tc>
          <w:tcPr>
            <w:tcW w:type="dxa" w:w="1872"/>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Yes</w:t>
            </w:r>
          </w:p>
        </w:tc>
        <w:tc>
          <w:tcPr>
            <w:tcW w:type="dxa" w:w="1872"/>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Tie</w:t>
            </w:r>
          </w:p>
        </w:tc>
      </w:tr>
      <w:tr>
        <w:tc>
          <w:tcPr>
            <w:tcW w:type="dxa" w:w="1872"/>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i w:val="0"/>
                <w:color w:val="1F2A44"/>
                <w:sz w:val="20"/>
              </w:rPr>
              <w:t>4</w:t>
            </w:r>
          </w:p>
        </w:tc>
        <w:tc>
          <w:tcPr>
            <w:tcW w:type="dxa" w:w="1872"/>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What is LiveWire?</w:t>
            </w:r>
          </w:p>
        </w:tc>
        <w:tc>
          <w:tcPr>
            <w:tcW w:type="dxa" w:w="1872"/>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Yes</w:t>
            </w:r>
          </w:p>
        </w:tc>
        <w:tc>
          <w:tcPr>
            <w:tcW w:type="dxa" w:w="1872"/>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Yes</w:t>
            </w:r>
          </w:p>
        </w:tc>
        <w:tc>
          <w:tcPr>
            <w:tcW w:type="dxa" w:w="1872"/>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Semantic</w:t>
            </w:r>
          </w:p>
        </w:tc>
      </w:tr>
      <w:tr>
        <w:tc>
          <w:tcPr>
            <w:tcW w:type="dxa" w:w="1872"/>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i w:val="0"/>
                <w:color w:val="1F2A44"/>
                <w:sz w:val="20"/>
              </w:rPr>
              <w:t>5</w:t>
            </w:r>
          </w:p>
        </w:tc>
        <w:tc>
          <w:tcPr>
            <w:tcW w:type="dxa" w:w="1872"/>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What is Autopilot?</w:t>
            </w:r>
          </w:p>
        </w:tc>
        <w:tc>
          <w:tcPr>
            <w:tcW w:type="dxa" w:w="1872"/>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Partial</w:t>
            </w:r>
          </w:p>
        </w:tc>
        <w:tc>
          <w:tcPr>
            <w:tcW w:type="dxa" w:w="1872"/>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Partial</w:t>
            </w:r>
          </w:p>
        </w:tc>
        <w:tc>
          <w:tcPr>
            <w:tcW w:type="dxa" w:w="1872"/>
            <w:tcBorders>
              <w:top w:val="single" w:sz="4" w:space="0" w:color="D0D5DD"/>
              <w:left w:val="single" w:sz="4" w:space="0" w:color="D0D5DD"/>
              <w:bottom w:val="single" w:sz="4" w:space="0" w:color="D0D5DD"/>
              <w:right w:val="single" w:sz="4" w:space="0" w:color="D0D5DD"/>
            </w:tcBorders>
          </w:tcPr>
          <w:p>
            <w:pPr>
              <w:spacing w:before="60" w:after="60"/>
            </w:pPr>
            <w:r/>
            <w:r>
              <w:rPr>
                <w:rFonts w:ascii="Calibri" w:hAnsi="Calibri" w:eastAsia="Calibri"/>
                <w:b w:val="0"/>
                <w:i w:val="0"/>
                <w:color w:val="1F2A44"/>
                <w:sz w:val="20"/>
              </w:rPr>
              <w:t>Semantic</w:t>
            </w:r>
          </w:p>
        </w:tc>
      </w:tr>
      <w:tr>
        <w:tc>
          <w:tcPr>
            <w:tcW w:type="dxa" w:w="1872"/>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i w:val="0"/>
                <w:color w:val="1F2A44"/>
                <w:sz w:val="20"/>
              </w:rPr>
              <w:t>6</w:t>
            </w:r>
          </w:p>
        </w:tc>
        <w:tc>
          <w:tcPr>
            <w:tcW w:type="dxa" w:w="1872"/>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BMW Group revenue in 2025</w:t>
            </w:r>
          </w:p>
        </w:tc>
        <w:tc>
          <w:tcPr>
            <w:tcW w:type="dxa" w:w="1872"/>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Correct refuse</w:t>
            </w:r>
          </w:p>
        </w:tc>
        <w:tc>
          <w:tcPr>
            <w:tcW w:type="dxa" w:w="1872"/>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Correct refuse</w:t>
            </w:r>
          </w:p>
        </w:tc>
        <w:tc>
          <w:tcPr>
            <w:tcW w:type="dxa" w:w="1872"/>
            <w:tcBorders>
              <w:top w:val="single" w:sz="4" w:space="0" w:color="D0D5DD"/>
              <w:left w:val="single" w:sz="4" w:space="0" w:color="D0D5DD"/>
              <w:bottom w:val="single" w:sz="4" w:space="0" w:color="D0D5DD"/>
              <w:right w:val="single" w:sz="4" w:space="0" w:color="D0D5DD"/>
            </w:tcBorders>
            <w:shd w:fill="F4F6F8" w:val="clear"/>
          </w:tcPr>
          <w:p>
            <w:pPr>
              <w:spacing w:before="60" w:after="60"/>
            </w:pPr>
            <w:r/>
            <w:r>
              <w:rPr>
                <w:rFonts w:ascii="Calibri" w:hAnsi="Calibri" w:eastAsia="Calibri"/>
                <w:b w:val="0"/>
                <w:i w:val="0"/>
                <w:color w:val="1F2A44"/>
                <w:sz w:val="20"/>
              </w:rPr>
              <w:t>Tie</w:t>
            </w:r>
          </w:p>
        </w:tc>
      </w:tr>
    </w:tbl>
    <w:p/>
    <w:p>
      <w:pPr>
        <w:spacing w:after="160" w:line="240" w:lineRule="auto"/>
      </w:pPr>
      <w:r>
        <w:rPr>
          <w:rFonts w:ascii="Calibri" w:hAnsi="Calibri" w:eastAsia="Calibri"/>
          <w:b w:val="0"/>
          <w:i w:val="0"/>
          <w:color w:val="1F2A44"/>
          <w:sz w:val="22"/>
        </w:rPr>
        <w:t>In-corpus: both agents scored 4 Yes and 1 Partial. Out-of-corpus (BMW): both correctly refused.</w:t>
      </w:r>
    </w:p>
    <w:p>
      <w:pPr>
        <w:spacing w:before="200" w:after="120"/>
      </w:pPr>
      <w:r>
        <w:rPr>
          <w:rFonts w:ascii="Calibri" w:hAnsi="Calibri" w:eastAsia="Calibri"/>
          <w:b/>
          <w:i w:val="0"/>
          <w:color w:val="1F2A44"/>
          <w:sz w:val="26"/>
        </w:rPr>
        <w:t>Question notes</w:t>
      </w:r>
    </w:p>
    <w:p>
      <w:pPr>
        <w:spacing w:after="160" w:line="240" w:lineRule="auto"/>
      </w:pPr>
      <w:r>
        <w:rPr>
          <w:rFonts w:ascii="Calibri" w:hAnsi="Calibri" w:eastAsia="Calibri"/>
          <w:b w:val="0"/>
          <w:i w:val="0"/>
          <w:color w:val="1F2A44"/>
          <w:sz w:val="22"/>
        </w:rPr>
        <w:t>1. Tesla products. Both named energy (Powerwall, Megapack, solar, Solar Roof), services, financing, in-app upgrades, and Supercharger access. Same Item 1 region.</w:t>
      </w:r>
    </w:p>
    <w:p>
      <w:pPr>
        <w:spacing w:after="160" w:line="240" w:lineRule="auto"/>
      </w:pPr>
      <w:r>
        <w:rPr>
          <w:rFonts w:ascii="Calibri" w:hAnsi="Calibri" w:eastAsia="Calibri"/>
          <w:b w:val="0"/>
          <w:i w:val="0"/>
          <w:color w:val="1F2A44"/>
          <w:sz w:val="22"/>
        </w:rPr>
        <w:t>2. Harley dealers. Both described independent-dealer, inventory-funding, and retail-strategy risk (Item 1A). Semantic returned a clearer bullet list; fixed returned a dense paragraph of the same points.</w:t>
      </w:r>
    </w:p>
    <w:p>
      <w:pPr>
        <w:spacing w:after="160" w:line="240" w:lineRule="auto"/>
      </w:pPr>
      <w:r>
        <w:rPr>
          <w:rFonts w:ascii="Calibri" w:hAnsi="Calibri" w:eastAsia="Calibri"/>
          <w:b w:val="0"/>
          <w:i w:val="0"/>
          <w:color w:val="1F2A44"/>
          <w:sz w:val="22"/>
        </w:rPr>
        <w:t>3. Indian Motorcycle. Both stated the 10 October 2025 agreement to sell a majority interest, close in Q1 2026, On Road reporting, held-for-sale at 31 December 2025, and impairment charges (Item 7).</w:t>
      </w:r>
    </w:p>
    <w:p>
      <w:pPr>
        <w:spacing w:after="160" w:line="240" w:lineRule="auto"/>
      </w:pPr>
      <w:r>
        <w:rPr>
          <w:rFonts w:ascii="Calibri" w:hAnsi="Calibri" w:eastAsia="Calibri"/>
          <w:b w:val="0"/>
          <w:i w:val="0"/>
          <w:color w:val="1F2A44"/>
          <w:sz w:val="22"/>
        </w:rPr>
        <w:t>4. LiveWire. Both identified Harley’s electric brand and product types. Semantic also kept independent retail partners and a company-owned dealer, not only online D2C.</w:t>
      </w:r>
    </w:p>
    <w:p>
      <w:pPr>
        <w:spacing w:after="160" w:line="240" w:lineRule="auto"/>
      </w:pPr>
      <w:r>
        <w:rPr>
          <w:rFonts w:ascii="Calibri" w:hAnsi="Calibri" w:eastAsia="Calibri"/>
          <w:b w:val="0"/>
          <w:i w:val="0"/>
          <w:color w:val="1F2A44"/>
          <w:sz w:val="22"/>
        </w:rPr>
        <w:t>5. Autopilot. Neither extract defined “Autopilot” by name. Both described driver-assistance, driver responsibility, and over-the-air updates. Semantic also mentioned FSD (Supervised). Neither invented a fake specification.</w:t>
      </w:r>
    </w:p>
    <w:p>
      <w:pPr>
        <w:spacing w:after="160" w:line="240" w:lineRule="auto"/>
      </w:pPr>
      <w:r>
        <w:rPr>
          <w:rFonts w:ascii="Calibri" w:hAnsi="Calibri" w:eastAsia="Calibri"/>
          <w:b w:val="0"/>
          <w:i w:val="0"/>
          <w:color w:val="1F2A44"/>
          <w:sz w:val="22"/>
        </w:rPr>
        <w:t>6. BMW revenue. Not in the knowledge base. Fixed: “I don’t know based on the uploaded 10-K extracts.” Semantic: the same, and noted the KB holds Tesla, Harley-Davidson, and Polaris only. Neither quoted Tesla or Polaris revenue as if it were BMW.</w:t>
      </w:r>
    </w:p>
    <w:p>
      <w:pPr>
        <w:spacing w:before="320" w:after="120"/>
      </w:pPr>
      <w:r>
        <w:rPr>
          <w:rFonts w:ascii="Calibri" w:hAnsi="Calibri" w:eastAsia="Calibri"/>
          <w:b/>
          <w:i w:val="0"/>
          <w:color w:val="1F2A44"/>
          <w:sz w:val="32"/>
        </w:rPr>
        <w:t>6. Analysis</w:t>
      </w:r>
    </w:p>
    <w:p>
      <w:pPr>
        <w:spacing w:after="160" w:line="240" w:lineRule="auto"/>
      </w:pPr>
      <w:r>
        <w:rPr>
          <w:rFonts w:ascii="Calibri" w:hAnsi="Calibri" w:eastAsia="Calibri"/>
          <w:b w:val="0"/>
          <w:i w:val="0"/>
          <w:color w:val="1F2A44"/>
          <w:sz w:val="22"/>
        </w:rPr>
        <w:t>Chunk size did not change whether the right filing was found. Both agents cited the correct 10-K and item for every in-corpus question.</w:t>
      </w:r>
    </w:p>
    <w:p>
      <w:pPr>
        <w:spacing w:after="160" w:line="240" w:lineRule="auto"/>
      </w:pPr>
      <w:r>
        <w:rPr>
          <w:rFonts w:ascii="Calibri" w:hAnsi="Calibri" w:eastAsia="Calibri"/>
          <w:b w:val="0"/>
          <w:i w:val="0"/>
          <w:color w:val="1F2A44"/>
          <w:sz w:val="22"/>
        </w:rPr>
        <w:t>Larger chunks improved how complete and readable the answer was on some questions (dealer risks, LiveWire distribution, Autopilot plus FSD). Smaller chunks were already enough for distinctive facts (Tesla product list, Indian Motorcycle sale).</w:t>
      </w:r>
    </w:p>
    <w:p>
      <w:pPr>
        <w:spacing w:after="160" w:line="240" w:lineRule="auto"/>
      </w:pPr>
      <w:r>
        <w:rPr>
          <w:rFonts w:ascii="Calibri" w:hAnsi="Calibri" w:eastAsia="Calibri"/>
          <w:b w:val="0"/>
          <w:i w:val="0"/>
          <w:color w:val="1F2A44"/>
          <w:sz w:val="22"/>
        </w:rPr>
        <w:t>A short product question can look almost the same on both agents because embeddings land on the same paragraph. That is expected, not a failed test. This configuration also does not produce “semantic says I don’t know while fixed hallucinates.” With the same PDFs and Basic retrieval, both refused the BMW question. That is RAG behaving correctly.</w:t>
      </w:r>
    </w:p>
    <w:p>
      <w:pPr>
        <w:spacing w:after="160" w:line="240" w:lineRule="auto"/>
      </w:pPr>
      <w:r>
        <w:rPr>
          <w:rFonts w:ascii="Calibri" w:hAnsi="Calibri" w:eastAsia="Calibri"/>
          <w:b w:val="0"/>
          <w:i w:val="0"/>
          <w:color w:val="1F2A44"/>
          <w:sz w:val="22"/>
        </w:rPr>
        <w:t>Rerank is a second ranking of a larger candidate list. It is not the same as changing top-k. It was not part of this Lyzr run.</w:t>
      </w:r>
    </w:p>
    <w:p>
      <w:pPr>
        <w:spacing w:before="320" w:after="120"/>
      </w:pPr>
      <w:r>
        <w:rPr>
          <w:rFonts w:ascii="Calibri" w:hAnsi="Calibri" w:eastAsia="Calibri"/>
          <w:b/>
          <w:i w:val="0"/>
          <w:color w:val="1F2A44"/>
          <w:sz w:val="32"/>
        </w:rPr>
        <w:t>7. Conclusion</w:t>
      </w:r>
    </w:p>
    <w:p>
      <w:pPr>
        <w:spacing w:after="160" w:line="240" w:lineRule="auto"/>
      </w:pPr>
      <w:r>
        <w:rPr>
          <w:rFonts w:ascii="Calibri" w:hAnsi="Calibri" w:eastAsia="Calibri"/>
          <w:b w:val="0"/>
          <w:i w:val="0"/>
          <w:color w:val="1F2A44"/>
          <w:sz w:val="22"/>
        </w:rPr>
        <w:t>On six identical questions, both Lyzr agents retrieved the right filings. 1600-character chunks produced slightly fuller, more structured answers on LiveWire, Autopilot, and Harley dealer risks. 800-character chunks were sufficient for Tesla products and the Indian Motorcycle sale. Out-of-corpus BMW revenue was refused by both.</w:t>
      </w:r>
    </w:p>
    <w:p>
      <w:pPr>
        <w:spacing w:after="160" w:line="240" w:lineRule="auto"/>
      </w:pPr>
      <w:r>
        <w:rPr>
          <w:rFonts w:ascii="Calibri" w:hAnsi="Calibri" w:eastAsia="Calibri"/>
          <w:b w:val="0"/>
          <w:i w:val="0"/>
          <w:color w:val="1F2A44"/>
          <w:sz w:val="22"/>
        </w:rPr>
        <w:t>For this lexical 10-K Q&amp;A in Lyzr, either chunk size works for fact lookup. Prefer the larger window when the user needs a whole risk section or a fuller product description.</w:t>
      </w:r>
    </w:p>
    <w:p>
      <w:pPr>
        <w:spacing w:before="320" w:after="120"/>
      </w:pPr>
      <w:r>
        <w:rPr>
          <w:rFonts w:ascii="Calibri" w:hAnsi="Calibri" w:eastAsia="Calibri"/>
          <w:b/>
          <w:i w:val="0"/>
          <w:color w:val="1F2A44"/>
          <w:sz w:val="32"/>
        </w:rPr>
        <w:t>8. How to reproduce</w:t>
      </w:r>
    </w:p>
    <w:p>
      <w:pPr>
        <w:pStyle w:val="ListBullet"/>
        <w:spacing w:after="60"/>
      </w:pPr>
      <w:r>
        <w:rPr>
          <w:rFonts w:ascii="Calibri" w:hAnsi="Calibri" w:eastAsia="Calibri"/>
          <w:b w:val="0"/>
          <w:i w:val="0"/>
          <w:color w:val="1F2A44"/>
          <w:sz w:val="22"/>
        </w:rPr>
        <w:t>Connect Lyzr vector-store credentials (empty Qdrant credentials cause training error 500).</w:t>
      </w:r>
    </w:p>
    <w:p>
      <w:pPr>
        <w:pStyle w:val="ListBullet"/>
        <w:spacing w:after="60"/>
      </w:pPr>
      <w:r>
        <w:rPr>
          <w:rFonts w:ascii="Calibri" w:hAnsi="Calibri" w:eastAsia="Calibri"/>
          <w:b w:val="0"/>
          <w:i w:val="0"/>
          <w:color w:val="1F2A44"/>
          <w:sz w:val="22"/>
        </w:rPr>
        <w:t>Create two Knowledge Bases with the settings in section 3; upload the same three PDFs to each.</w:t>
      </w:r>
    </w:p>
    <w:p>
      <w:pPr>
        <w:pStyle w:val="ListBullet"/>
        <w:spacing w:after="60"/>
      </w:pPr>
      <w:r>
        <w:rPr>
          <w:rFonts w:ascii="Calibri" w:hAnsi="Calibri" w:eastAsia="Calibri"/>
          <w:b w:val="0"/>
          <w:i w:val="0"/>
          <w:color w:val="1F2A44"/>
          <w:sz w:val="22"/>
        </w:rPr>
        <w:t>Create two agents with identical Role, Goal, and Instructions; attach one KB each.</w:t>
      </w:r>
    </w:p>
    <w:p>
      <w:pPr>
        <w:pStyle w:val="ListBullet"/>
        <w:spacing w:after="60"/>
      </w:pPr>
      <w:r>
        <w:rPr>
          <w:rFonts w:ascii="Calibri" w:hAnsi="Calibri" w:eastAsia="Calibri"/>
          <w:b w:val="0"/>
          <w:i w:val="0"/>
          <w:color w:val="1F2A44"/>
          <w:sz w:val="22"/>
        </w:rPr>
        <w:t>Ask the six questions on both agents and score as in section 4.</w:t>
      </w:r>
    </w:p>
    <w:p>
      <w:pPr>
        <w:spacing w:before="360"/>
      </w:pPr>
      <w:r>
        <w:rPr>
          <w:rFonts w:ascii="Calibri" w:hAnsi="Calibri" w:eastAsia="Calibri"/>
          <w:b w:val="0"/>
          <w:i/>
          <w:color w:val="4A5568"/>
          <w:sz w:val="20"/>
        </w:rPr>
        <w:t>Supporting notes: eval/LYZR_COMPARISON.md  ·  Setup: README.md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