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rFonts w:ascii="Arial" w:hAnsi="Arial"/>
          <w:b/>
          <w:color w:val="000000"/>
          <w:sz w:val="24"/>
          <w:u w:val="single"/>
        </w:rPr>
        <w:t>Technischer Vorbeschrieb Ergonomischer Schreibtisch (Pos. 2.3)</w:t>
        <w:br/>
      </w:r>
    </w:p>
    <w:p>
      <w:r>
        <w:t xml:space="preserve">Das anzubietende Highbacksofa-System soll durch seine große Produktfamilie viele Nutzungsmöglichkeiten bieten, die von Rückzug, über offene und dynamische Zonierungen für Mittelzonen, abbildbaren Raumstrukturen, bis hin zu eleganten und bequemen Kommunikationsbereichen reichen. </w:t>
      </w:r>
    </w:p>
    <w:p>
      <w:r>
        <w:t xml:space="preserve">Hinweis zu Maßangaben: </w:t>
        <w:br/>
        <w:t xml:space="preserve">Die angegebenen „ca.“ Maße und Werte sind Richtwerte, geringfügige Abweichungen bis maximal +/- 5%, die die Beschaffenheit und Funktion nicht beeinträchtigen, sind zulässig. Größere Abweichungen führen zum Ausschluss des Angebotes. Nicht abweichen dürfen die Außenmaße, die ohne „ca. Angaben“ vorgegeben werden. </w:t>
        <w:br/>
      </w:r>
    </w:p>
    <w:p>
      <w:r>
        <w:rPr>
          <w:b/>
        </w:rPr>
        <w:t>Anforderungen an: Ergonomischer Schreibtisch</w:t>
      </w:r>
    </w:p>
    <w:p>
      <w:r>
        <w:t xml:space="preserve">Das Produkt soll mindestens die folgenden Kriterien erfüllen: </w:t>
        <w:br/>
        <w:br/>
        <w:t>Alle Systemelemente sollen einer Designlinie entstammen. Das System muss serienmäßig lieferbar sein.</w:t>
      </w:r>
    </w:p>
    <w:p>
      <w:r>
        <w:rPr>
          <w:b/>
        </w:rPr>
        <w:br/>
        <w:t>Anforderung/ Kriterium</w:t>
      </w:r>
    </w:p>
    <w:p>
      <w:pPr/>
      <w:r>
        <w:t>Allgemein</w:t>
      </w:r>
    </w:p>
    <w:p>
      <w:pPr>
        <w:pStyle w:val="ListBullet"/>
      </w:pPr>
      <w:r>
        <w:t>Das Produkt ist ein Modul für moderne Arbeitsformen</w:t>
      </w:r>
    </w:p>
    <w:p>
      <w:pPr>
        <w:pStyle w:val="ListBullet"/>
      </w:pPr>
      <w:r>
        <w:t>Es wurde entwickelt, um eine optimale Arbeitssituation zu bieten</w:t>
      </w:r>
    </w:p>
    <w:p>
      <w:pPr>
        <w:pStyle w:val="ListBullet"/>
      </w:pPr>
      <w:r>
        <w:t>Es bietet eine Vielzahl von Funktionen und Möglichkeiten für die Anpassung an individuelle Bedürfnisse</w:t>
      </w:r>
    </w:p>
    <w:p/>
    <w:p>
      <w:pPr/>
      <w:r>
        <w:t>Materialien</w:t>
      </w:r>
    </w:p>
    <w:p>
      <w:pPr>
        <w:pStyle w:val="ListBullet"/>
      </w:pPr>
      <w:r>
        <w:t>Oberflächenmaterialien: Melaminplatten, Hartholz-Klone, Linoleumplatten</w:t>
      </w:r>
    </w:p>
    <w:p>
      <w:pPr>
        <w:pStyle w:val="ListBullet"/>
      </w:pPr>
      <w:r>
        <w:t>Farben: Standardfarben, Akzentfarben, Spezialfarben</w:t>
      </w:r>
    </w:p>
    <w:p/>
    <w:p>
      <w:pPr/>
      <w:r>
        <w:t>Mechanik</w:t>
      </w:r>
    </w:p>
    <w:p>
      <w:pPr>
        <w:pStyle w:val="ListBullet"/>
      </w:pPr>
      <w:r>
        <w:t>T-Fußgestell und 4-Fußgestell verfügbar</w:t>
      </w:r>
    </w:p>
    <w:p>
      <w:pPr>
        <w:pStyle w:val="ListBullet"/>
      </w:pPr>
      <w:r>
        <w:t>Höhenverstellbare Version erhältlich</w:t>
      </w:r>
    </w:p>
    <w:p>
      <w:pPr>
        <w:pStyle w:val="ListBullet"/>
      </w:pPr>
      <w:r>
        <w:t>Durchmesser der Basis: je nach Modell variieren</w:t>
      </w:r>
    </w:p>
    <w:p/>
    <w:p>
      <w:pPr/>
      <w:r>
        <w:t>Nachhaltigkeit</w:t>
      </w:r>
    </w:p>
    <w:p>
      <w:pPr>
        <w:pStyle w:val="ListBullet"/>
      </w:pPr>
      <w:r>
        <w:t>Produkt wird von einem zertifizierten Hersteller hergestellt</w:t>
      </w:r>
    </w:p>
    <w:p>
      <w:pPr>
        <w:pStyle w:val="ListBullet"/>
      </w:pPr>
      <w:r>
        <w:t>Verwendung von recycelten Materialien und minimalen Abfall</w:t>
      </w:r>
    </w:p>
    <w:p>
      <w:pPr>
        <w:pStyle w:val="ListBullet"/>
      </w:pPr>
      <w:r>
        <w:t>Umweltprodukterklärung (EPD) erhältlich</w:t>
      </w:r>
    </w:p>
    <w:p/>
    <w:p>
      <w:pPr/>
      <w:r>
        <w:t>Zertifizierungen</w:t>
      </w:r>
    </w:p>
    <w:p>
      <w:pPr>
        <w:pStyle w:val="ListBullet"/>
      </w:pPr>
      <w:r>
        <w:t>ISO 14001, ISO 45001, EMAS, PEFC zertifiziert</w:t>
      </w:r>
    </w:p>
    <w:p>
      <w:pPr>
        <w:pStyle w:val="ListBullet"/>
      </w:pPr>
      <w:r>
        <w:t>GS Zertifikat für Indoor Air Quality</w:t>
      </w:r>
    </w:p>
    <w:p>
      <w:pPr>
        <w:pStyle w:val="ListBullet"/>
      </w:pPr>
      <w:r>
        <w:t>andere Zertifikate verfügbar</w:t>
      </w:r>
    </w:p>
    <w:p/>
    <w:p>
      <w:pPr/>
      <w:r>
        <w:t>Herstellungsprozess</w:t>
      </w:r>
    </w:p>
    <w:p>
      <w:pPr>
        <w:pStyle w:val="ListBullet"/>
      </w:pPr>
      <w:r>
        <w:t>Produkt wird in einem zertifizierten Herstellungsstandort hergestellt</w:t>
      </w:r>
    </w:p>
    <w:p>
      <w:pPr>
        <w:pStyle w:val="ListBullet"/>
      </w:pPr>
      <w:r>
        <w:t>Verwendung von recycelten Materialien und minimalen Abfall</w:t>
      </w:r>
    </w:p>
    <w:p>
      <w:pPr>
        <w:pStyle w:val="ListBullet"/>
      </w:pPr>
      <w:r>
        <w:t>Einherstellung mit Nachhaltigkeitszielen</w:t>
      </w:r>
    </w:p>
    <w:p/>
    <w:p>
      <w:pPr/>
      <w:r>
        <w:t>Größe und Abmessung</w:t>
      </w:r>
    </w:p>
    <w:p>
      <w:pPr>
        <w:pStyle w:val="ListBullet"/>
      </w:pPr>
      <w:r>
        <w:t>Höhenverstellbare Version: 720-1050 mm</w:t>
      </w:r>
    </w:p>
    <w:p>
      <w:pPr>
        <w:pStyle w:val="ListBullet"/>
      </w:pPr>
      <w:r>
        <w:t>Breite: je nach Modell variieren</w:t>
      </w:r>
    </w:p>
    <w:p>
      <w:pPr>
        <w:pStyle w:val="ListBullet"/>
      </w:pPr>
      <w:r>
        <w:t>Tiefe: je nach Modell variieren</w:t>
      </w:r>
    </w:p>
    <w:p/>
    <w:p>
      <w:pPr/>
      <w:r>
        <w:t>Durchmesser wenn relevant</w:t>
      </w:r>
    </w:p>
    <w:p>
      <w:pPr>
        <w:pStyle w:val="ListBullet"/>
      </w:pPr>
      <w:r>
        <w:t>Durchmesser der Basis: je nach Modell variieren</w:t>
      </w:r>
    </w:p>
    <w:p/>
    <w:p>
      <w:r>
        <w:t>Beispielhafte Darstellung:</w:t>
      </w:r>
    </w:p>
    <w:p>
      <w:r>
        <w:drawing>
          <wp:inline xmlns:a="http://schemas.openxmlformats.org/drawingml/2006/main" xmlns:pic="http://schemas.openxmlformats.org/drawingml/2006/picture">
            <wp:extent cx="3657600" cy="278866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8866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footerReference w:type="default" r:id="rId11"/>
      <w:pgSz w:w="12240" w:h="15840"/>
      <w:pgMar w:top="1200" w:right="1600" w:bottom="800" w:left="12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sz w:val="20"/>
      </w:rPr>
      <w:t xml:space="preserve">Seite </w:t>
      <w:fldSimple w:instr="PAGE"/>
    </w:r>
    <w:r>
      <w:rPr>
        <w:sz w:val="20"/>
      </w:rPr>
      <w:t xml:space="preserve"> von </w:t>
      <w:fldSimple w:instr="NUMPAGES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Maßnahmenummer: test</w:t>
      <w:tab/>
      <w:t xml:space="preserve"> </w:t>
      <w:tab/>
      <w:t xml:space="preserve"> Vergabenummer: 2024000185 </w:t>
      <w:br/>
      <w:t xml:space="preserve">Maßnahme: Möbelierung des Gebäudes Freyeslebenstr. 1 für die Zentrale Universitätsverwaltung der FAU </w:t>
      <w:br/>
      <w:t>Leistung: Lose Möbelierung ZUV LOS 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1.png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