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Strategic Marketing Plan for BCLC (PlayNow.com)</w:t>
      </w:r>
    </w:p>
    <w:p>
      <w:pPr>
        <w:pStyle w:val="Heading2"/>
      </w:pPr>
      <w:r>
        <w:t>1. Introduction</w:t>
      </w:r>
    </w:p>
    <w:p>
      <w:r>
        <w:t>As a Senior Consultant, the goal of this strategic marketing plan is to help British Columbia Lottery Corporation (BCLC) increase customer retention, acquire new customers, and gain a competitive advantage over Bet365 and Betway. This plan is based on a detailed competitor analysis, customer personas, and operational and regulatory feasibility.</w:t>
      </w:r>
    </w:p>
    <w:p>
      <w:pPr>
        <w:pStyle w:val="Heading2"/>
      </w:pPr>
      <w:r>
        <w:t>2. Objectives</w:t>
      </w:r>
    </w:p>
    <w:p>
      <w:r>
        <w:t>The core objectives of this strategic plan are to:</w:t>
        <w:br/>
        <w:t>- Increase customer retention by improving the betting experience and user engagement.</w:t>
        <w:br/>
        <w:t>- Acquire new customers by offering competitive odds, better markets, and live betting.</w:t>
        <w:br/>
        <w:t>- Build brand differentiation through responsible gambling and social impact.</w:t>
        <w:br/>
        <w:t>- Increase profitability and customer lifetime value through targeted promotions and personalization.</w:t>
        <w:br/>
      </w:r>
    </w:p>
    <w:p>
      <w:pPr>
        <w:pStyle w:val="Heading2"/>
      </w:pPr>
      <w:r>
        <w:t>3. Customer Personas</w:t>
      </w:r>
    </w:p>
    <w:p>
      <w:pPr>
        <w:pStyle w:val="Heading3"/>
      </w:pPr>
      <w:r>
        <w:t>3.1 Casual Gamblers – “The Recreational Bettor”</w:t>
      </w:r>
    </w:p>
    <w:p>
      <w:r>
        <w:t>Motivation: Entertainment and relaxation</w:t>
        <w:br/>
        <w:t>Behavior: Bets occasionally on major sports events or lottery games</w:t>
        <w:br/>
        <w:t>Pain Points: Limited betting options, poor app experience, lack of excitement</w:t>
        <w:br/>
      </w:r>
    </w:p>
    <w:p>
      <w:pPr>
        <w:pStyle w:val="Heading3"/>
      </w:pPr>
      <w:r>
        <w:t>3.2 Serious Bettors – “The High-Volume Bettor”</w:t>
      </w:r>
    </w:p>
    <w:p>
      <w:r>
        <w:t>Motivation: Winning and maximizing value</w:t>
        <w:br/>
        <w:t>Behavior: Regularly places high-volume bets and seeks value through odds and market variety</w:t>
        <w:br/>
        <w:t>Pain Points: Lower odds, lack of real-time options, and no cash-out feature</w:t>
        <w:br/>
      </w:r>
    </w:p>
    <w:p>
      <w:pPr>
        <w:pStyle w:val="Heading3"/>
      </w:pPr>
      <w:r>
        <w:t>3.3 Esports and Niche Sports Bettors – “The Tech-Savvy Bettor”</w:t>
      </w:r>
    </w:p>
    <w:p>
      <w:r>
        <w:t>Motivation: Competitive engagement with specific sports/games</w:t>
        <w:br/>
        <w:t>Behavior: Focused on esports and smaller sports markets</w:t>
        <w:br/>
        <w:t>Pain Points: No esports coverage, no in-play betting for niche markets</w:t>
        <w:br/>
      </w:r>
    </w:p>
    <w:p>
      <w:pPr>
        <w:pStyle w:val="Heading3"/>
      </w:pPr>
      <w:r>
        <w:t>3.4 Loyalty-Driven Players – “The Long-Term Player”</w:t>
      </w:r>
    </w:p>
    <w:p>
      <w:r>
        <w:t>Motivation: Rewards and benefits</w:t>
        <w:br/>
        <w:t>Behavior: Sticks with one platform due to familiarity and loyalty benefits</w:t>
        <w:br/>
        <w:t>Pain Points: No loyalty program, weak engagement incentives</w:t>
        <w:br/>
      </w:r>
    </w:p>
    <w:p>
      <w:pPr>
        <w:pStyle w:val="Heading3"/>
      </w:pPr>
      <w:r>
        <w:t>3.5 Socially Conscious Players – “The Purpose-Driven Gambler”</w:t>
      </w:r>
    </w:p>
    <w:p>
      <w:r>
        <w:t>Motivation: Supporting local causes and responsible gambling</w:t>
        <w:br/>
        <w:t>Behavior: Chooses platforms aligned with social responsibility</w:t>
        <w:br/>
        <w:t>Pain Points: Lack of emotional connection and poor communication about BCLC's social contributions</w:t>
        <w:br/>
      </w:r>
    </w:p>
    <w:p>
      <w:pPr>
        <w:pStyle w:val="Heading2"/>
      </w:pPr>
      <w:r>
        <w:t>4. Strategic Focus Areas</w:t>
      </w:r>
    </w:p>
    <w:p>
      <w:r>
        <w:t>The strategic focus areas are designed to address BCLC’s shortcomings and capitalize on competitor strengths:</w:t>
        <w:br/>
        <w:t>- Expand betting markets and improve odds</w:t>
        <w:br/>
        <w:t>- Introduce competitive promotions and loyalty programs</w:t>
        <w:br/>
        <w:t>- Enhance the user experience through platform and app upgrades</w:t>
        <w:br/>
        <w:t>- Capture the esports and younger market</w:t>
        <w:br/>
        <w:t>- Build emotional connection through social responsibility</w:t>
        <w:br/>
      </w:r>
    </w:p>
    <w:p>
      <w:pPr>
        <w:pStyle w:val="Heading2"/>
      </w:pPr>
      <w:r>
        <w:t>5. Strategic Timeline with Persona Alignment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Customer Persona Focus</w:t>
            </w:r>
          </w:p>
        </w:tc>
        <w:tc>
          <w:tcPr>
            <w:tcW w:type="dxa" w:w="1440"/>
          </w:tcPr>
          <w:p>
            <w:r>
              <w:t>Key Actions</w:t>
            </w:r>
          </w:p>
        </w:tc>
        <w:tc>
          <w:tcPr>
            <w:tcW w:type="dxa" w:w="1440"/>
          </w:tcPr>
          <w:p>
            <w:r>
              <w:t>Timeline</w:t>
            </w:r>
          </w:p>
        </w:tc>
        <w:tc>
          <w:tcPr>
            <w:tcW w:type="dxa" w:w="1440"/>
          </w:tcPr>
          <w:p>
            <w:r>
              <w:t>Feasibility</w:t>
            </w:r>
          </w:p>
        </w:tc>
        <w:tc>
          <w:tcPr>
            <w:tcW w:type="dxa" w:w="1440"/>
          </w:tcPr>
          <w:p>
            <w:r>
              <w:t>Viability</w:t>
            </w:r>
          </w:p>
        </w:tc>
      </w:tr>
      <w:tr>
        <w:tc>
          <w:tcPr>
            <w:tcW w:type="dxa" w:w="1440"/>
          </w:tcPr>
          <w:p>
            <w:r>
              <w:t>Phase 1</w:t>
            </w:r>
          </w:p>
        </w:tc>
        <w:tc>
          <w:tcPr>
            <w:tcW w:type="dxa" w:w="1440"/>
          </w:tcPr>
          <w:p>
            <w:r>
              <w:t>Casual Gamblers, Serious Bettors, Esports Bettors</w:t>
            </w:r>
          </w:p>
        </w:tc>
        <w:tc>
          <w:tcPr>
            <w:tcW w:type="dxa" w:w="1440"/>
          </w:tcPr>
          <w:p>
            <w:r>
              <w:t>Expand betting markets (esports, niche sports), Introduce Bet Builder</w:t>
            </w:r>
          </w:p>
        </w:tc>
        <w:tc>
          <w:tcPr>
            <w:tcW w:type="dxa" w:w="1440"/>
          </w:tcPr>
          <w:p>
            <w:r>
              <w:t>0–3 months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2</w:t>
            </w:r>
          </w:p>
        </w:tc>
        <w:tc>
          <w:tcPr>
            <w:tcW w:type="dxa" w:w="1440"/>
          </w:tcPr>
          <w:p>
            <w:r>
              <w:t>Casual Gamblers, Loyalty-Driven Players, Serious Bettors</w:t>
            </w:r>
          </w:p>
        </w:tc>
        <w:tc>
          <w:tcPr>
            <w:tcW w:type="dxa" w:w="1440"/>
          </w:tcPr>
          <w:p>
            <w:r>
              <w:t>100% sign-up bonus, cashback, tier-based loyalty program</w:t>
            </w:r>
          </w:p>
        </w:tc>
        <w:tc>
          <w:tcPr>
            <w:tcW w:type="dxa" w:w="1440"/>
          </w:tcPr>
          <w:p>
            <w:r>
              <w:t>3–6 months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3</w:t>
            </w:r>
          </w:p>
        </w:tc>
        <w:tc>
          <w:tcPr>
            <w:tcW w:type="dxa" w:w="1440"/>
          </w:tcPr>
          <w:p>
            <w:r>
              <w:t>Casual Gamblers, Serious Bettors, Loyalty-Driven Players</w:t>
            </w:r>
          </w:p>
        </w:tc>
        <w:tc>
          <w:tcPr>
            <w:tcW w:type="dxa" w:w="1440"/>
          </w:tcPr>
          <w:p>
            <w:r>
              <w:t>Modernize website and app, faster withdrawals, biometric login</w:t>
            </w:r>
          </w:p>
        </w:tc>
        <w:tc>
          <w:tcPr>
            <w:tcW w:type="dxa" w:w="1440"/>
          </w:tcPr>
          <w:p>
            <w:r>
              <w:t>3–6 months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4</w:t>
            </w:r>
          </w:p>
        </w:tc>
        <w:tc>
          <w:tcPr>
            <w:tcW w:type="dxa" w:w="1440"/>
          </w:tcPr>
          <w:p>
            <w:r>
              <w:t>Serious Bettors, Casual Gamblers</w:t>
            </w:r>
          </w:p>
        </w:tc>
        <w:tc>
          <w:tcPr>
            <w:tcW w:type="dxa" w:w="1440"/>
          </w:tcPr>
          <w:p>
            <w:r>
              <w:t>Introduce live betting and streaming, real-time tracking</w:t>
            </w:r>
          </w:p>
        </w:tc>
        <w:tc>
          <w:tcPr>
            <w:tcW w:type="dxa" w:w="1440"/>
          </w:tcPr>
          <w:p>
            <w:r>
              <w:t>6–9 months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5</w:t>
            </w:r>
          </w:p>
        </w:tc>
        <w:tc>
          <w:tcPr>
            <w:tcW w:type="dxa" w:w="1440"/>
          </w:tcPr>
          <w:p>
            <w:r>
              <w:t>Esports Bettors, Casual Gamblers</w:t>
            </w:r>
          </w:p>
        </w:tc>
        <w:tc>
          <w:tcPr>
            <w:tcW w:type="dxa" w:w="1440"/>
          </w:tcPr>
          <w:p>
            <w:r>
              <w:t>Dedicated esports platform, influencer partnerships</w:t>
            </w:r>
          </w:p>
        </w:tc>
        <w:tc>
          <w:tcPr>
            <w:tcW w:type="dxa" w:w="1440"/>
          </w:tcPr>
          <w:p>
            <w:r>
              <w:t>6–9 months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6</w:t>
            </w:r>
          </w:p>
        </w:tc>
        <w:tc>
          <w:tcPr>
            <w:tcW w:type="dxa" w:w="1440"/>
          </w:tcPr>
          <w:p>
            <w:r>
              <w:t>Loyalty-Driven Players, Serious Bettors</w:t>
            </w:r>
          </w:p>
        </w:tc>
        <w:tc>
          <w:tcPr>
            <w:tcW w:type="dxa" w:w="1440"/>
          </w:tcPr>
          <w:p>
            <w:r>
              <w:t>AI-driven recommendations, personalized odds</w:t>
            </w:r>
          </w:p>
        </w:tc>
        <w:tc>
          <w:tcPr>
            <w:tcW w:type="dxa" w:w="1440"/>
          </w:tcPr>
          <w:p>
            <w:r>
              <w:t>9–12 months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Phase 7</w:t>
            </w:r>
          </w:p>
        </w:tc>
        <w:tc>
          <w:tcPr>
            <w:tcW w:type="dxa" w:w="1440"/>
          </w:tcPr>
          <w:p>
            <w:r>
              <w:t>Socially Conscious Players, Loyalty-Driven Players</w:t>
            </w:r>
          </w:p>
        </w:tc>
        <w:tc>
          <w:tcPr>
            <w:tcW w:type="dxa" w:w="1440"/>
          </w:tcPr>
          <w:p>
            <w:r>
              <w:t>Play with Purpose campaign, donation-linked betting</w:t>
            </w:r>
          </w:p>
        </w:tc>
        <w:tc>
          <w:tcPr>
            <w:tcW w:type="dxa" w:w="1440"/>
          </w:tcPr>
          <w:p>
            <w:r>
              <w:t>9–12 months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6. Conclusion</w:t>
      </w:r>
    </w:p>
    <w:p>
      <w:r>
        <w:t>This strategic plan positions BCLC to increase customer retention, market share, and profitability by offering a competitive betting experience, improving customer engagement, and creating an emotional connection through social responsibility. Each strategy is tailored to a specific customer segment, ensuring that BCLC maximizes impact and effectively differentiates itself from competitors.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9" ma:contentTypeDescription="Create a new document." ma:contentTypeScope="" ma:versionID="e8d6e996f736c95851e8f976c458917b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d123f77ea911449b681712c51c7aa88f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dd023b0-06f2-48ac-bdf3-902a2de65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cd5fa-7970-4102-af1e-6cb8072b32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0572E2-5DB2-42C1-BAC2-2B825449B245}"/>
</file>

<file path=customXml/itemProps3.xml><?xml version="1.0" encoding="utf-8"?>
<ds:datastoreItem xmlns:ds="http://schemas.openxmlformats.org/officeDocument/2006/customXml" ds:itemID="{63D7628E-BAAF-4298-94B8-370EA3B124A0}"/>
</file>

<file path=customXml/itemProps4.xml><?xml version="1.0" encoding="utf-8"?>
<ds:datastoreItem xmlns:ds="http://schemas.openxmlformats.org/officeDocument/2006/customXml" ds:itemID="{A092E394-5603-46B9-A8DF-FCC4C9C32E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