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23 May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002/SP-E/A-L/V/2022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3. Trucking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40.000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22"/>
                <w:lang w:val="en-US"/>
              </w:rPr>
              <w:t>Rp. 50.000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2022-05-12T01:53:26Z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71CC512A2A1342E19ED2FFF8C1E0F612</vt:lpwstr>
  </property>
</Properties>
</file>