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3"/>
        <w:ind w:left="286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>${LCL\FCL}</w:t>
      </w:r>
      <w:r>
        <w:rPr>
          <w:b/>
          <w:sz w:val="22"/>
          <w:u w:val="single"/>
        </w:rPr>
        <w:t xml:space="preserve"> 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{origin}</w:t>
      </w:r>
      <w:r>
        <w:rPr>
          <w:b/>
          <w:sz w:val="22"/>
          <w:u w:val="single"/>
        </w:rPr>
        <w:t xml:space="preserve"> – </w:t>
      </w:r>
      <w:r>
        <w:rPr>
          <w:rFonts w:hint="default"/>
          <w:b/>
          <w:sz w:val="22"/>
          <w:u w:val="single"/>
          <w:lang w:val="en-US"/>
        </w:rPr>
        <w:t xml:space="preserve">   {destination}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 xml:space="preserve">Terima kasih terlebih dahulu atas kepercayaan Bapak/Ibu kepada kami untuk bekerja sama dalam import shipment di perusahaan Bapak/Ibu saat ini. Bersama ini kami memberikan penawaran </w:t>
      </w:r>
      <w:bookmarkStart w:id="0" w:name="_GoBack"/>
      <w:bookmarkEnd w:id="0"/>
      <w:r>
        <w:t>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Guangzhou costs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${servis_origin}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Jakarta 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${servis_destination}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${cost_origin}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${cost_destination}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742601C"/>
    <w:rsid w:val="22310E49"/>
    <w:rsid w:val="32937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2021-08-30T08:34:11Z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032EFE93CC9C4862A09DADEB96B85C92</vt:lpwstr>
  </property>
</Properties>
</file>