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55: AI DEVELOPMENT AGENT PROTOCOLS, CONTEXT INJECTION PIPELINES &amp; CODE-GENERATION GUARDRAILS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execute the technical implementation of Folk-Idle using an AI coding agent (e.g., Claude, GPT-4o, or Gemini) without experiencing context drift, code fragmentation, or architectural degradation, the agent must be bound by a strict set of rules. This module establishes the exact system configuration prompts, ingestion sequence, and code guardrails required to guide the AI through the development process.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Core Architectural Commandments for the AI Agent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Any AI agent assigned to generate code for Folk-Idle must have these four rules permanently pinned to its active memory context: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+-----------------------------------------------------------------------------------+</w:t>
        <w:br w:type="textWrapping"/>
        <w:t xml:space="preserve">|                            AI CODER SYSTEM COMMANDMENTS                           |</w:t>
        <w:br w:type="textWrapping"/>
        <w:t xml:space="preserve">+-----------------------------------------------------------------------------------+</w:t>
        <w:br w:type="textWrapping"/>
        <w:t xml:space="preserve">|  1. SERVER IS TRUTH : Client-side scripts are strictly predictive visualization   |</w:t>
        <w:br w:type="textWrapping"/>
        <w:t xml:space="preserve">|                       proxies. No logic updates state locally.                    |</w:t>
        <w:br w:type="textWrapping"/>
        <w:t xml:space="preserve">|                                                                                   |</w:t>
        <w:br w:type="textWrapping"/>
        <w:t xml:space="preserve">|  2. ZERO ALLOCATION : 10 Hz simulation components MUST use C# unmanaged memory    |</w:t>
        <w:br w:type="textWrapping"/>
        <w:t xml:space="preserve">|                       (NativeArray, structs) and bypass the Unity GC.            |</w:t>
        <w:br w:type="textWrapping"/>
        <w:t xml:space="preserve">|                                                                                   |</w:t>
        <w:br w:type="textWrapping"/>
        <w:t xml:space="preserve">|  3. SERIALIZABLE DB : All database operations involving currency or item trading |</w:t>
        <w:br w:type="textWrapping"/>
        <w:t xml:space="preserve">|                       MUST use strict Serializable Isolation row locks.           |</w:t>
        <w:br w:type="textWrapping"/>
        <w:t xml:space="preserve">|                                                                                   |</w:t>
        <w:br w:type="textWrapping"/>
        <w:t xml:space="preserve">|  4. NO PLAIN TEXT   : Code templates must exclude plain text secrets, string API  |</w:t>
        <w:br w:type="textWrapping"/>
        <w:t xml:space="preserve">|                       paths, or exposed metadata endpoints.               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Context Ingestion Protocol (Preventing Hallucinations)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 not feed all 55 modules into the AI agent simultaneously. This saturates the attention heads, leading to lazy code generation, truncated scripts, and forgotten edge-case handlers. The implementation must follow a staged, token-conserving injection pipeline aligned with the MVP roadmap.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Ingestion Sequence Matrix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[Phase 1: Database &amp; Memory Layout] ---&gt; Inject Modules 40, 48, 51, 54</w:t>
        <w:br w:type="textWrapping"/>
        <w:t xml:space="preserve">                                          Result: Core Data Models &amp; Schema</w:t>
        <w:br w:type="textWrapping"/>
        <w:t xml:space="preserve">                                               |</w:t>
        <w:br w:type="textWrapping"/>
        <w:t xml:space="preserve">                                               v</w:t>
        <w:br w:type="textWrapping"/>
        <w:t xml:space="preserve">[Phase 2: Clock &amp; Simulation Engine] ---&gt; Inject Modules 10, 42, 44, 46</w:t>
        <w:br w:type="textWrapping"/>
        <w:t xml:space="preserve">                                          Result: 10 Hz Tick Engine &amp; Time Banks</w:t>
        <w:br w:type="textWrapping"/>
        <w:t xml:space="preserve">                                               |</w:t>
        <w:br w:type="textWrapping"/>
        <w:t xml:space="preserve">                                               v</w:t>
        <w:br w:type="textWrapping"/>
        <w:t xml:space="preserve">[Phase 3: Visual &amp; Sync Mesh]       ---&gt; Inject Modules 45, 47, 53</w:t>
        <w:br w:type="textWrapping"/>
        <w:t xml:space="preserve">                                          Result: Forge &amp; Predictive LERP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Production-Grade System Prompt Blueprint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 and paste the markdown payload below into the AI Agent’s System Prompt or initial initialization prompt before starting any coding task.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Role: Senior Backend &amp; Systems Engineer specializing in High-Concurrency Architecture, Unity IL2CPP optimization, and distributed PostgreSQL/Redis environments.</w:t>
        <w:br w:type="textWrapping"/>
        <w:br w:type="textWrapping"/>
        <w:t xml:space="preserve">Task: Implement codebase components for the Folk-Idle platform based on specified design modules.</w:t>
        <w:br w:type="textWrapping"/>
        <w:br w:type="textWrapping"/>
        <w:t xml:space="preserve">Strict Technical Constraints for Code Generation:</w:t>
        <w:br w:type="textWrapping"/>
        <w:t xml:space="preserve">1. C# Memory Allocation:</w:t>
        <w:br w:type="textWrapping"/>
        <w:t xml:space="preserve">   - Inside the 10 Hz simulation loop, never allocate memory to the managed heap. No LINQ operations, no local instantiations of classes, and no lambda expressions that trigger closures.</w:t>
        <w:br w:type="textWrapping"/>
        <w:t xml:space="preserve">   - Use structs passed by reference ('in', 'out', 'ref') and 'NativeArray' layouts using unmanaged memory boundaries.</w:t>
        <w:br w:type="textWrapping"/>
        <w:t xml:space="preserve">2. Relational Database Operations (PostgreSQL):</w:t>
        <w:br w:type="textWrapping"/>
        <w:t xml:space="preserve">   - All state modifications (Gold modifications, market execution, item fusions, salvage operations) must run inside explicit transactions utilizing the Serializable isolation level.</w:t>
        <w:br w:type="textWrapping"/>
        <w:t xml:space="preserve">   - You must append explicit 'FOR UPDATE' row-locking commands to all entity selection loops to prevent multi-threaded duplication exploits.</w:t>
        <w:br w:type="textWrapping"/>
        <w:t xml:space="preserve">3. String and Security Protection:</w:t>
        <w:br w:type="textWrapping"/>
        <w:t xml:space="preserve">   - Never embed explicit string literals for API paths or credentials into code blocks.</w:t>
        <w:br w:type="textWrapping"/>
        <w:t xml:space="preserve">   - Compile code templates utilizing configuration wrappers or encrypted byte structures ready for IL2CPP stripping.</w:t>
        <w:br w:type="textWrapping"/>
        <w:t xml:space="preserve">4. Error Handling:</w:t>
        <w:br w:type="textWrapping"/>
        <w:t xml:space="preserve">   - Every single database transaction block must wrap within a Try/Catch structure that forces an explicit, complete rollback upon failure. Never leave a transaction dangling or uncommitted.</w:t>
        <w:br w:type="textWrapping"/>
        <w:t xml:space="preserve">   - Return clean typed operational results ('Enum') instead of generic boolean true/false flags.</w:t>
        <w:br w:type="textWrapping"/>
        <w:br w:type="textWrapping"/>
        <w:t xml:space="preserve">Workflow Protocol:</w:t>
        <w:br w:type="textWrapping"/>
        <w:t xml:space="preserve">- Implement step-by-step. Do not provide truncated loops, placeholders, or '// TODO' comments.</w:t>
        <w:br w:type="textWrapping"/>
        <w:t xml:space="preserve">- Generate production-ready, highly optimized code blocks with complete variable typing.</w:t>
        <w:br w:type="textWrapping"/>
        <w:t xml:space="preserve">- If a target structural dependency from a prior module is missing, ask for its schema boundary definition before generating code.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Execution Guardrail Verification Loop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accepting any code block generated by the AI agent, cross-reference its output against this operational verification checklist. If any of these checks fail, reject the code block and order the agent to re-run the calculation loop.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+-----------------------------------------+</w:t>
        <w:br w:type="textWrapping"/>
        <w:t xml:space="preserve">                  |     AI Agent Generates Source Code      |</w:t>
        <w:br w:type="textWrapping"/>
        <w:t xml:space="preserve">                  +-----------------------------------------+</w:t>
        <w:br w:type="textWrapping"/>
        <w:t xml:space="preserve">                                       |</w:t>
        <w:br w:type="textWrapping"/>
        <w:t xml:space="preserve">                                       v</w:t>
        <w:br w:type="textWrapping"/>
        <w:t xml:space="preserve">                  +-----------------------------------------+</w:t>
        <w:br w:type="textWrapping"/>
        <w:t xml:space="preserve">                  |  Check A: Does it use Managed Heap?     |---&gt; [YES] -&gt; REJECT &amp; RE-PROMPT</w:t>
        <w:br w:type="textWrapping"/>
        <w:t xml:space="preserve">                  +-----------------------------------------+</w:t>
        <w:br w:type="textWrapping"/>
        <w:t xml:space="preserve">                                       | [NO]</w:t>
        <w:br w:type="textWrapping"/>
        <w:t xml:space="preserve">                                       v</w:t>
        <w:br w:type="textWrapping"/>
        <w:t xml:space="preserve">                  +-----------------------------------------+</w:t>
        <w:br w:type="textWrapping"/>
        <w:t xml:space="preserve">                  |  Check B: Are DB row locks pessimistic? |---&gt; [NO]  -&gt; REJECT &amp; RE-PROMPT</w:t>
        <w:br w:type="textWrapping"/>
        <w:t xml:space="preserve">                  +-----------------------------------------+</w:t>
        <w:br w:type="textWrapping"/>
        <w:t xml:space="preserve">                                       | [YES]</w:t>
        <w:br w:type="textWrapping"/>
        <w:t xml:space="preserve">                                       v</w:t>
        <w:br w:type="textWrapping"/>
        <w:t xml:space="preserve">                  +-----------------------------------------+</w:t>
        <w:br w:type="textWrapping"/>
        <w:t xml:space="preserve">                  |  Check C: Are there placeholders/TODOs? |---&gt; [YES] -&gt; REJECT &amp; RE-PROMPT</w:t>
        <w:br w:type="textWrapping"/>
        <w:t xml:space="preserve">                  +-----------------------------------------+</w:t>
        <w:br w:type="textWrapping"/>
        <w:t xml:space="preserve">                                       | [NO]</w:t>
        <w:br w:type="textWrapping"/>
        <w:t xml:space="preserve">                                       v</w:t>
        <w:br w:type="textWrapping"/>
        <w:t xml:space="preserve">                  +-----------------------------------------+</w:t>
        <w:br w:type="textWrapping"/>
        <w:t xml:space="preserve">                  |       Accept Code Into MVP Branch       |</w:t>
        <w:br w:type="textWrapping"/>
        <w:t xml:space="preserve">                  +-----------------------------------------+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protocol guarantees that the AI coding agent remains constrained by the security, optimization, and balance decisions established across the entire 54-module blueprint, shielding the MVP architecture from code degradation.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