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08: MONETIZATION POLICY, ANTI-CHEAT FRAMEWORK &amp; SERVER OPERATIONS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Monetization Architecture &amp; Premium Currency Economy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design philosophy prioritizes player retention and competitive balance. Monetization pathways focus strictly on time efficiency, Quality of Life (QoL) convenience, and aesthetic customization, completely bypassing direct pay-to-win vertical power increases. The premium currency, Diamonds, is obtainable via hard in-game milestones (Bestiary completion, Regional Boss achievements) or through direct microtransactions.</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Premium Convenience Services &amp; Pricing Matrices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Timeline Expansion Pass (Premium Timeline Shift)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Baseline Function: Adjusts the standard offline time degradation curve to support players with long real-world absence windows.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Free Timeline Thresholds: 0 to 8 hours at 100% efficiency | 8 to 16 hours at 50% efficiency | 16 to 24 hours at 25% efficiency | 24+ hours at 0% efficiency.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Premium Timeline Thresholds (Purchased for $5.00 flat or 500 Diamonds): 0 to 12 hours at 100% efficiency | 12 to 24 hours at 50% efficiency | 24 to 36 hours at 25% efficiency | 36+ hours at 0% efficiency.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Armory Equipment Loadout Presets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Baseline Function: Allows instant mechanical swapping of full gear sets across active character slots.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Scaling Cost: First 2 preset pages are free. Additional preset unlocks cost 100 Diamonds per page, up to a maximum of 5 pages.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Shared Storage Vault Expansion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Baseline Function: Expands virtual inventory slots beyond the standard village building upgrades.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Cost Multiplier: Each additional 50 infinite stack material slots cost: \text{Diamond Cost}(S) = \lfloor 50 \times 1.5^{(S - 1)} \rfloor Where S represents the current storage purchase iteration index.</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Cosmetic Customization and Visual Assets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Asset Types: Custom character portraits for folklore lineages, localized visual themes for the village hub layout, and exclusive particle trails for combat action tickers. These additions inject 0% stat modifications into the sub-stat calculation matrices.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Anti-Cheat Architecture &amp; Memory Protection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Idle games are inherently vulnerable to local system clock modifications (Time-Travel exploits) and active runtime memory alteration (RAM freezing via external software packages). Folk-Idle counters these threat vectors via cryptographically signed state assertions.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Chrono-Sync Validation Engine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 relies on an authoritative server clock decoupled from the user's mobile device operating system time framework.</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Heartbeat Telemetry: The client application transmits a compressed state payload to the backend API at a baseline frequency of once every 60 seconds during online execution.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NTP Verification: Every payload contains the client’s internal mono-tonic time counter matched against the Network Time Protocol (NTP) server truth timestamp.</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Violation Threshold: If the delta between the client-reported execution timeline and the server's tracking timeline exceeds a hard tolerance metric of \pm 5\text{ seconds}, a Time-Synchronization Exception is triggered.</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Exception Outcome: The server instantly pauses execution counters, drops the active data manifest frame, forces a client-side interface lock, and overrides local system registers with the server database truth parameters.</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Server-Authoritative Randomness &amp; Generation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localized memory injections from creating fabricated items or inflated currency values within the shared village inventory:</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Deterministic Seed Management: Random rolls for Forge success rates, affix generations, item drops, and breeding mutations are calculated entirely server-side.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Tokenized Loot Distribution: When an enemy is killed or an ore node is depleted, the client transmits an intent packet. The server handles the drop chance calculation, generates a secure UUID for the item row, saves it to the items database table, and returns a signed confirmation token to the client to update the local visual display stack. The client possesses 0% authority to instantiate items locally.</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High-Concurrency Server Infrastructure &amp; Database Optimization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With up to 50 individual character profiles running continuous background state matrices per active account, database read/write routines must be aggressively optimized to maintain server throughput during large-scale leaderboard cron cycles or world boss events.</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Asynchronous Transaction Batching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eliminate database locking bottlenecks, run-time character actions do not invoke immediate, isolated SQL operations.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Memory Write-Buffer: Active progress indicators, currency gains, and skill experience allocations are held in a high-speed Redis cache block layer instance.</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Flush Cycles: The contents of the Redis transient layer are flattened into a single transactional SQL update statement and pushed to the core PostgreSQL storage framework every 5 minutes, or immediately upon explicit manual triggers (such as when a player forces a manual logout, enters a breeding grounds execution, or confirms an item upgrade at the Great Forge).</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Relational Document Hybrid Design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defined in the core relational schema database blueprints, complex variable data payloads like character primary stats, inherited genetic growth modifiers, and item affix groupings are intentionally housed within JSONB column payloads instead of expansive multi-row join tables.</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Performance Benefit: This hybrid structural setup allows the database to retrieve a character's complete profile configuration along with its gear stat data packages via a single, execution-efficient query block, minimizing indexing overhead and cutting operational server costs during rapid calculations.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