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31: DISASTER RECOVERY PLAYBOOKS, DATA RECONCILIATION &amp; ROLLBACK RUNBOOKS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Point-In-Time Recovery (PITR) Scheduling &amp; WAL Infrastructures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guarantee complete recovery integrity against unmitigated hardware cluster failure, primary database instances execute continuous streaming Write-Ahead Logging (WAL) protocols combined with scheduled physical backups.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Disaster Storage Hierarchy Strategy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 Physical Backups:</w:t>
      </w:r>
      <w:r w:rsidDel="00000000" w:rsidR="00000000" w:rsidRPr="00000000">
        <w:rPr>
          <w:rtl w:val="0"/>
        </w:rPr>
        <w:t xml:space="preserve"> Captured automatically every 24 hours at 03:00 UTC during low-traffic periods. Snapshots are compressed, cryptographically signed, and moved directly to a geographically isolated, non-volatile cloud object bucket.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Continuous WAL Archival Cadence:</w:t>
      </w:r>
      <w:r w:rsidDel="00000000" w:rsidR="00000000" w:rsidRPr="00000000">
        <w:rPr>
          <w:rtl w:val="0"/>
        </w:rPr>
        <w:t xml:space="preserve"> WAL segments are streamed continuously to secondary hot backup targets. The maximum allowed recovery data gap (Recovery Point Objective - RPO) is restricted to exactly 15 seconds.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Split-Brain Network Data Reconciliation Algorithms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a cross-shard cluster node partitions due to localized infrastructure routing failures, regional nodes can inadvertently create diverging event entries. When structural network pathways reconnect, the server evaluates records using deterministic resolution vectors.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Vector Timestamp Reconciliation Sieve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a transaction update state contain a composite sequence ID (C_{\text{seq}}) tracking the state mutations across the global network matrix.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C_seq = { Shard_ID, Wall_Clock_Timestamp, Logic_Epoch_Counter }</w:t>
        <w:br w:type="textWrapping"/>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Algorithmic Resolution Branch Conflict Engine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structural overlapping items populate database tables, conflict logic processes the incoming state parameters using an execution evaluation chart: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Detect Split-Brain Divergence   |</w:t>
        <w:br w:type="textWrapping"/>
        <w:t xml:space="preserve">                  +-----------------------------------+</w:t>
        <w:br w:type="textWrapping"/>
        <w:t xml:space="preserve">                                    |</w:t>
        <w:br w:type="textWrapping"/>
        <w:t xml:space="preserve">                    Inspect Structural Logic_Epoch</w:t>
        <w:br w:type="textWrapping"/>
        <w:t xml:space="preserve">                                    v</w:t>
        <w:br w:type="textWrapping"/>
        <w:t xml:space="preserve">         +--------------------------+--------------------------+</w:t>
        <w:br w:type="textWrapping"/>
        <w:t xml:space="preserve">         | If Epochs Mismatch                                  | If Epochs Match Exactly</w:t>
        <w:br w:type="textWrapping"/>
        <w:t xml:space="preserve">         v                                                     v</w:t>
        <w:br w:type="textWrapping"/>
        <w:t xml:space="preserve">+------------------------+                            +------------------------+</w:t>
        <w:br w:type="textWrapping"/>
        <w:t xml:space="preserve">| Accept High-Index      |                            | Inspect Cryptographic  |</w:t>
        <w:br w:type="textWrapping"/>
        <w:t xml:space="preserve">| Epoch Sequence Row     |                            | HMAC Signature Payload |</w:t>
        <w:br w:type="textWrapping"/>
        <w:t xml:space="preserve">+------------------------+                            +------------------------+</w:t>
        <w:br w:type="textWrapping"/>
        <w:t xml:space="preserve">                                                               |</w:t>
        <w:br w:type="textWrapping"/>
        <w:t xml:space="preserve">                                                      True Microsecond Timing Sieve</w:t>
        <w:br w:type="textWrapping"/>
        <w:t xml:space="preserve">                                                               v</w:t>
        <w:br w:type="textWrapping"/>
        <w:t xml:space="preserve">                                                      +------------------------+</w:t>
        <w:br w:type="textWrapping"/>
        <w:t xml:space="preserve">                                                      | Keep First Confirmed   |</w:t>
        <w:br w:type="textWrapping"/>
        <w:t xml:space="preserve">                                                      | Server-Side NTP Entry  |</w:t>
        <w:br w:type="textWrapping"/>
        <w:t xml:space="preserve">                                                      +------------------------+</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Rejected delta sequences are thrown out, and the lost material values are converted into equivalent generic Gold currency items pushed directly to the user's Village Mailbox to completely safeguard asset integrity.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Catastrophic State Restoration Runbook Pipeline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a cluster crash corrupts the Redis operational cache tier, system administrators follow a step-by-step restoration checklist to rebuild the transient runtime environments.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Step 1: Client Gateway Traffic Severance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Execute immediate Layer 7 Load Balancer route blocks to isolate backend networks.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Redirect incoming client connections to a static CDN-hosted "System Preservation Mode" announcement screen, halting all incoming API traffic updates.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Step 2: Relational Database Verification Pass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the integrity of the core PostgreSQL database cluster. Query the transaction logs table to identify the latest globally stable timestamp index (T_{\text{stable}}):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SELECT transaction_id, recorded_at </w:t>
        <w:br w:type="textWrapping"/>
        <w:t xml:space="preserve">FROM transaction_audit_ledger </w:t>
        <w:br w:type="textWrapping"/>
        <w:t xml:space="preserve">ORDER BY recorded_at DESC LIMIT 1;</w:t>
        <w:br w:type="textWrapping"/>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Step 3: Redis Transient Memory Structure Reconstruction</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Clear corrupt Redis instance storage slots using the cluster clear command layout.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Execute a cold rebuild script that reads character allocation profiles, attributes matrices, and item ownership entries directly from the validated PostgreSQL database state at timestamp T_{\text{stable}}.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Repopulate the Redis ZSET leaderboard datasets cleanly, computing scores on stateless worker nodes.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Step 4: System Reset Validation Checks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Execute the automated CI/CD simulation test suite (Module 10 math verifications) against the re-cached Redis state layer to ensure attributes and math scaling maps perfectly.</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Step 5: Gateway Re-Opening Protocol</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 the Layer 7 Load Balancer traffic blocks, allowing users to reconnect.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Monitor backend telemetry ingestion metrics over a 15-minute observation window to ensure the multi-slot tick processing loop tracks smoothly.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