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50: PRODUCTION READINESS CHECKLIST, SYSTEM FINALIZATION SIGN-OFF &amp; ARCHITECTURE ACCEPTANCE MATRIX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Load Testing Scaling Verification Criteria (CCU Targets)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Before routing active production traffic through the Anycast edge gateways, the multi-region infrastructure must pass a continuous 48-hour synthetic load injection simulation. The cluster must meet specific Key Performance Indicators (KPIs) under a baseline load of 100,000 Concurrent Connected Users (CCU) with simulated network conditions mimicking mobile networks.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Peak Throughput Volumetric Equation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calculates required peak ingestion throughput capabilities (Q_{\text{peak}}) across stateless API layers to prevent thread starvation under concurrent batch automation flushes: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Q_{\text{peak}} = \frac{\text{CCU} \times R_{\text{tick}}}{B_{\text{batch}}} \times S_{\text{safety}}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\text{CCU} = 100,000 (Target Concurrent Connected Users).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R_{\text{tick}} = 0.1\text{ Hz} (Standard 10-second client payload batch compilation interval).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B_{\text{batch}} represents the compression aggregation coefficient, set to 1.0.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S_{\text{safety}} = 2.5 (Safety burst multiplier tracking sudden regional spikes or thundering herd scenarios after network drops).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target architecture must handle a continuous minimum capacity of </w:t>
      </w:r>
      <w:r w:rsidDel="00000000" w:rsidR="00000000" w:rsidRPr="00000000">
        <w:rPr>
          <w:b w:val="1"/>
          <w:bCs w:val="1"/>
          <w:rtl w:val="0"/>
        </w:rPr>
        <w:t xml:space="preserve">25,000 requests per second (RPS)</w:t>
      </w:r>
      <w:r w:rsidDel="00000000" w:rsidR="00000000" w:rsidRPr="00000000">
        <w:rPr>
          <w:rtl w:val="0"/>
        </w:rPr>
        <w:t xml:space="preserve"> at the API gateway tier with zero drop errors.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Target Performance Metrics Thresholds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deployment pipeline automatically rejects builds if load-testing clusters fail to maintain performance constraints within the following margins: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[Gateway Ingestion] ---&gt; (95th Percentile: ≤ 45ms) ---&gt; [Verified DB Multi-Shards]</w:t>
        <w:br w:type="textWrapping"/>
        <w:t xml:space="preserve">                    ---&gt; (99th Percentile: ≤ 120ms) ---&gt; [State Saved Successfully]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Maximum Error Error Rate Threshold:</w:t>
      </w:r>
      <w:r w:rsidDel="00000000" w:rsidR="00000000" w:rsidRPr="00000000">
        <w:rPr>
          <w:rtl w:val="0"/>
        </w:rPr>
        <w:t xml:space="preserve"> &lt; 0.01\% across all standard database write routes under maximum load conditions.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Maximum Node Resource Ceiling:</w:t>
      </w:r>
      <w:r w:rsidDel="00000000" w:rsidR="00000000" w:rsidRPr="00000000">
        <w:rPr>
          <w:rtl w:val="0"/>
        </w:rPr>
        <w:t xml:space="preserve"> CPU utilization metrics across Kubernetes compute pods must stabilize below 70\% to preserve headroom for scaling operations.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Cryptographic Key Rotation Schedules &amp; Secret Store Gates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All cryptographic keys, encryption parameters, and service tokens are handled through secure infrastructure vaults and rotated automatically to limit the impact of credential leakage.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Enterprise Secret Rotation Architecture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Secret Target Classification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Encryption Parameter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Rotation Lifecycle Interval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Revocation Mechanism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 Access Signing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RS256 (2048-bit RSA Asymmetric Key)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Calendar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Dual-Key Vault Overlap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Column Encryption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AES-256-GCM Master Variant Keys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Calendar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KMS Automated Envelope Transmutation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TLS Certificates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ECDSA P-256 Certificates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Calendar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ACME Challenge Loops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Store API S2S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OAuth 2.0 Client Credentials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 Calendar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 Account Token Expiry Automation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Production Readiness Compliance Gate Matrix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automated continuous deployment (CD) validation pipelines perform an integrity check right before the final blue-green deployment phase.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Production Verification Script: Ensures structural database sanitization properties are locked</w:t>
        <w:br w:type="textWrapping"/>
        <w:t xml:space="preserve">SELECT shard_id, connection_status, current_replication_lag_seconds </w:t>
        <w:br w:type="textWrapping"/>
        <w:t xml:space="preserve">FROM system_infrastructure_heartbeat_ledger </w:t>
        <w:br w:type="textWrapping"/>
        <w:t xml:space="preserve">WHERE configuration_environment = 'PRODUCTION' </w:t>
        <w:br w:type="textWrapping"/>
        <w:t xml:space="preserve">  AND operational_health_flag = 'OPTIMAL';</w:t>
        <w:br w:type="textWrapping"/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Pre-Flight Inspection Verification Checklist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Coverage Verification:</w:t>
      </w:r>
      <w:r w:rsidDel="00000000" w:rsidR="00000000" w:rsidRPr="00000000">
        <w:rPr>
          <w:rtl w:val="0"/>
        </w:rPr>
        <w:t xml:space="preserve"> Structural statement unit test paths across simulation loops must maintain \ge 92\% total statement coverage.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 Application Security Testing (SAST):</w:t>
      </w:r>
      <w:r w:rsidDel="00000000" w:rsidR="00000000" w:rsidRPr="00000000">
        <w:rPr>
          <w:rtl w:val="0"/>
        </w:rPr>
        <w:t xml:space="preserve"> Zero open high-severity vulnerabilities or unchecked raw pointer vulnerabilities inside the IL2CPP native wrapper layers.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Migration Sanity Check:</w:t>
      </w:r>
      <w:r w:rsidDel="00000000" w:rsidR="00000000" w:rsidRPr="00000000">
        <w:rPr>
          <w:rtl w:val="0"/>
        </w:rPr>
        <w:t xml:space="preserve"> Verify all regional database shards have applied schema migrations through Module 48 configurations with identical matching hash validations.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Dependency Licensing Sweep:</w:t>
      </w:r>
      <w:r w:rsidDel="00000000" w:rsidR="00000000" w:rsidRPr="00000000">
        <w:rPr>
          <w:rtl w:val="0"/>
        </w:rPr>
        <w:t xml:space="preserve"> Confirm all third-party libraries pass licensing verification, filtering out viral open-source licensing models.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Architectural Acceptance Protocol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deploying this technical specification, the Folk-Idle system establishes a decoupled, server-authoritative architecture built to handle high-concurrency automated gameplay loops across global regions.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+---------------------------------------------------------------------------------+</w:t>
        <w:br w:type="textWrapping"/>
        <w:t xml:space="preserve">|                    COMPREHENSIVE FOLK-IDLE ARCHITECTURE SPECIFICATION            |</w:t>
        <w:br w:type="textWrapping"/>
        <w:t xml:space="preserve">+---------------------------------------------------------------------------------+</w:t>
        <w:br w:type="textWrapping"/>
        <w:t xml:space="preserve">|                                                                                 |</w:t>
        <w:br w:type="textWrapping"/>
        <w:t xml:space="preserve">|  [Client Layer]         Unity Addressables Engine &amp; Native IL2CPP Shielding     |</w:t>
        <w:br w:type="textWrapping"/>
        <w:t xml:space="preserve">|       |                                                                         |</w:t>
        <w:br w:type="textWrapping"/>
        <w:t xml:space="preserve">|  [Network Layer]        Anycast L7 Envoy Gateways, ECDH handshakes, Sync FSM     |</w:t>
        <w:br w:type="textWrapping"/>
        <w:t xml:space="preserve">|       |                                                                         |</w:t>
        <w:br w:type="textWrapping"/>
        <w:t xml:space="preserve">|  [Compute Layers]       Stateless ASP.NET Core Clusters &amp; Redis In-Memory Mesh    |</w:t>
        <w:br w:type="textWrapping"/>
        <w:t xml:space="preserve">|       |                                                                         |</w:t>
        <w:br w:type="textWrapping"/>
        <w:t xml:space="preserve">|  [Persistence Layers]   Sharded PostgreSQL Clusters with Master-Pinning Corridors |</w:t>
        <w:br w:type="textWrapping"/>
        <w:t xml:space="preserve">|                                                                                 |</w:t>
        <w:br w:type="textWrapping"/>
        <w:t xml:space="preserve">+---------------------------------------------------------------------------------+</w:t>
        <w:br w:type="textWrapping"/>
        <w:t xml:space="preserve">|  STATUS: ARCHITECTURAL DESIGN SIGN-OFF COMPLETE // READY FOR COMPILATION RUNS   |</w:t>
        <w:br w:type="textWrapping"/>
        <w:t xml:space="preserve">+---------------------------------------------------------------------------------+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concludes the 50-module technical blueprint. All operational, mechanical, security, and infrastructure pipelines are fully mapped and integrated. All system nodes are ready to initiate core build compilation processes.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