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24: CLOUD SERVER FARM AUTO-SCALING, LOAD BALANCER ROUTING ALGORITHMS &amp; HORIZONTAL PERFORMANCE OPTIMIZATION FRAMEWORKS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Automated Horizontal Scaling Triggers &amp; Performance Metrics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manage volatile traffic spikes during weekly leaderboard resets, seasonal rollouts, or world boss windows, the ASP.NET Core compute layer scales horizontally using Kubernetes Horizontal Pod Autoscalers (HPA).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HPA Target Thresholds Matrix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Compute nodes monitor three primary telemetry vectors to initiate container replication. Scaling occurs when any single threshold is breached over a continuous 60-second observation window.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CPU Utilization Threshold:</w:t>
      </w:r>
      <w:r w:rsidDel="00000000" w:rsidR="00000000" w:rsidRPr="00000000">
        <w:rPr>
          <w:rtl w:val="0"/>
        </w:rPr>
        <w:t xml:space="preserve"> Metrics Target: 70% sustained core allotment across the active pod cluster pool.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Allocation Bounds:</w:t>
      </w:r>
      <w:r w:rsidDel="00000000" w:rsidR="00000000" w:rsidRPr="00000000">
        <w:rPr>
          <w:rtl w:val="0"/>
        </w:rPr>
        <w:t xml:space="preserve"> Metrics Target: 85% of allocated container RAM memory limits, signaling high Redis-cache object deserialization queues.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Network Throughput Constraints:</w:t>
      </w:r>
      <w:r w:rsidDel="00000000" w:rsidR="00000000" w:rsidRPr="00000000">
        <w:rPr>
          <w:rtl w:val="0"/>
        </w:rPr>
        <w:t xml:space="preserve"> Metrics Target: 1,500 concurrent request vectors per second (R_{\text{ps}}) per compute node.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Cooldown &amp; Stabilization Intervals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completely prevent cluster thrashing (rapid, successive scaling up and down actions caused by short, erratic processing spikes), the HPA engine enforces rigid operational cooldown windows: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Scale-Up Stabilization Window:</w:t>
      </w:r>
      <w:r w:rsidDel="00000000" w:rsidR="00000000" w:rsidRPr="00000000">
        <w:rPr>
          <w:rtl w:val="0"/>
        </w:rPr>
        <w:t xml:space="preserve"> Immediate execution upon threshold validation. No delay parameter.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Scale-Down Stabilization Window:</w:t>
      </w:r>
      <w:r w:rsidDel="00000000" w:rsidR="00000000" w:rsidRPr="00000000">
        <w:rPr>
          <w:rtl w:val="0"/>
        </w:rPr>
        <w:t xml:space="preserve"> Enforces a mandatory 300-second (5 minute) delay period. Pods remain live to absorb immediate echo waves of network traffic before being decommissioned.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Layer 7 Load Balancer Architecture &amp; Routing Algorithms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edge routing matrix utilizes an enterprise-grade NGINX Plus / Cloudflare configuration running Layer 7 application routing architectures.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Stateless Routing vs. Sticky Sessions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the game engine uses a decoupled architecture where character states are held inside a centralized Redis memory tier, the API layer is entirely stateless.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Routing Rule:</w:t>
      </w:r>
      <w:r w:rsidDel="00000000" w:rsidR="00000000" w:rsidRPr="00000000">
        <w:rPr>
          <w:rtl w:val="0"/>
        </w:rPr>
        <w:t xml:space="preserve"> The load balancer completely blocks sticky sessions (session affinity).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Algorithmic Selection:</w:t>
      </w:r>
      <w:r w:rsidDel="00000000" w:rsidR="00000000" w:rsidRPr="00000000">
        <w:rPr>
          <w:rtl w:val="0"/>
        </w:rPr>
        <w:t xml:space="preserve"> Routes packets via a Weighted Round-Robin (WRR) algorithm.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W_i be the performance weight of worker node i, computed dynamically based on active HTTP connection metrics: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\text{Selection Probability } P(i) = \frac{W_i}{\sum_{j=1}^{N} W_j}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Nodes tracking lower memory allocations or fewer active long-polling WebSocket pipelines are injected with higher operational weights, stabilizing backend cluster wear.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Layer 7 Path-Based Traffic Separation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load balancer inspects incoming HTTP target request headers at the firewall boundary to split traffic processing before it enters the pod network: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+--------------------------------+</w:t>
        <w:br w:type="textWrapping"/>
        <w:t xml:space="preserve">                  |  Layer 7 Load Balancer Entry   |</w:t>
        <w:br w:type="textWrapping"/>
        <w:t xml:space="preserve">                  +--------------------------------+</w:t>
        <w:br w:type="textWrapping"/>
        <w:t xml:space="preserve">                                  |</w:t>
        <w:br w:type="textWrapping"/>
        <w:t xml:space="preserve">         +------------------------+------------------------+</w:t>
        <w:br w:type="textWrapping"/>
        <w:t xml:space="preserve">         | /api/v1/combat/*                                | /api/v1/village/*</w:t>
        <w:br w:type="textWrapping"/>
        <w:t xml:space="preserve">         v                                                 v</w:t>
        <w:br w:type="textWrapping"/>
        <w:t xml:space="preserve">+------------------------+                        +------------------------+</w:t>
        <w:br w:type="textWrapping"/>
        <w:t xml:space="preserve">|  High-Compute Cluster  |                        | Low-Compute Cluster    |</w:t>
        <w:br w:type="textWrapping"/>
        <w:t xml:space="preserve">| (Optimized for Ticks)  |                        | (Optimized for JSONs)  |</w:t>
        <w:br w:type="textWrapping"/>
        <w:t xml:space="preserve">+------------------------+                        +------------------------+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Horizontal Database Sharding &amp; Connection Pooling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As the account registry scales, a single monolithic PostgreSQL instance becomes an indexing bottleneck. The data pipeline implements structural sharding combined with localized connection multiplexing.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Sharding Topology by Deterministic ID Hashing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Tables containing volatile, row-heavy player parameters (items, characters, character_skills) are split horizontally across N distinct physical database nodes. The specific shard target is determined via a server-authoritative non-cryptographic FNV-1a hashing function executed against the user’s authenticated UUID: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\text{Shard Index} = \text{FNV1a}(\text{account\_id}) \pmod{N_{\text{shards}}}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guarantees that an individual account's structural data packages always reside within the same physical storage hardware node, eliminating cross-shard JOIN latency penalties.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PgBouncer Connection Pool Optimization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prevent database thread exhaustion caused by thousands of stateless API pods initiating concurrent PostgreSQL verification connections, each database shard utilizes a dedicated PgBouncer instance configured for </w:t>
      </w:r>
      <w:r w:rsidDel="00000000" w:rsidR="00000000" w:rsidRPr="00000000">
        <w:rPr>
          <w:b w:val="1"/>
          <w:bCs w:val="1"/>
          <w:rtl w:val="0"/>
        </w:rPr>
        <w:t xml:space="preserve">Transaction Pooling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 Client Connections Limit:</w:t>
      </w:r>
      <w:r w:rsidDel="00000000" w:rsidR="00000000" w:rsidRPr="00000000">
        <w:rPr>
          <w:rtl w:val="0"/>
        </w:rPr>
        <w:t xml:space="preserve"> 10,000 concurrent client slots allowed from the API gateway nodes.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Server Pool Size Lockout:</w:t>
      </w:r>
      <w:r w:rsidDel="00000000" w:rsidR="00000000" w:rsidRPr="00000000">
        <w:rPr>
          <w:rtl w:val="0"/>
        </w:rPr>
        <w:t xml:space="preserve"> Fixed at 150 hard connections dedicated to the underlying PostgreSQL engine process, minimizing transaction context-switching overhead on database CPU cores.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Failover Orchestration &amp; High-Availability Configurations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system architecture assumes a zero-trust model regarding network hardware stability. It deploys decoupled circuit-breaking patterns to guarantee structural uptime.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Redis Cluster Replication &amp; Pub/Sub Sync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memory caching engine runs across a multi-region Redis Cluster configuration with automated master-replica pairing.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Synchronization Pacing:</w:t>
      </w:r>
      <w:r w:rsidDel="00000000" w:rsidR="00000000" w:rsidRPr="00000000">
        <w:rPr>
          <w:rtl w:val="0"/>
        </w:rPr>
        <w:t xml:space="preserve"> Write interactions replicate asynchronously from Master to Replica nodes.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Failover Horizon:</w:t>
      </w:r>
      <w:r w:rsidDel="00000000" w:rsidR="00000000" w:rsidRPr="00000000">
        <w:rPr>
          <w:rtl w:val="0"/>
        </w:rPr>
        <w:t xml:space="preserve"> If a Master Redis node drops off the network mesh, the cluster initiates an automated sentinel vote sequence. A Replica node is promoted to Master within 3.5 seconds. Active client WebSocket lines suffer zero calculation losses, re-pulling missed deltas upon reconnection.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Circuit Breaker Implementation Model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API compute nodes utilize the Polly framework to safeguard outgoing relational database transactions during high-volume persistence flush sequences: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Architectural configuration for database write transaction protection</w:t>
        <w:br w:type="textWrapping"/>
        <w:t xml:space="preserve">var dbCircuitBreakerPolicy = Policy</w:t>
        <w:br w:type="textWrapping"/>
        <w:t xml:space="preserve">    .Handle&lt;DbException&gt;()</w:t>
        <w:br w:type="textWrapping"/>
        <w:t xml:space="preserve">    .CircuitBreakerAsync(</w:t>
        <w:br w:type="textWrapping"/>
        <w:t xml:space="preserve">        exceptionsAllowedBeforeBreaking: 5,</w:t>
        <w:br w:type="textWrapping"/>
        <w:t xml:space="preserve">        durationOfBreak: TimeSpan.FromSeconds(30),</w:t>
        <w:br w:type="textWrapping"/>
        <w:t xml:space="preserve">        onBreak: (exception, timespan) =&gt; { </w:t>
        <w:br w:type="textWrapping"/>
        <w:t xml:space="preserve">            // Halt incoming SQL writes, redirect character deltas strictly to secondary backup cache registers</w:t>
        <w:br w:type="textWrapping"/>
        <w:t xml:space="preserve">        },</w:t>
        <w:br w:type="textWrapping"/>
        <w:t xml:space="preserve">        onReset: () =&gt; { </w:t>
        <w:br w:type="textWrapping"/>
        <w:t xml:space="preserve">            // Re-allow primary transactional flush cycles to resume execution</w:t>
        <w:br w:type="textWrapping"/>
        <w:t xml:space="preserve">        }</w:t>
        <w:br w:type="textWrapping"/>
        <w:t xml:space="preserve">    );</w:t>
        <w:br w:type="textWrapping"/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Database Replication Lag Tolerances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Primary-to-Replica Lag Threshold:</w:t>
      </w:r>
      <w:r w:rsidDel="00000000" w:rsidR="00000000" w:rsidRPr="00000000">
        <w:rPr>
          <w:rtl w:val="0"/>
        </w:rPr>
        <w:t xml:space="preserve"> Maintained strictly below 2,500 milliseconds.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Lag Violation Safe-Route Rule:</w:t>
      </w:r>
      <w:r w:rsidDel="00000000" w:rsidR="00000000" w:rsidRPr="00000000">
        <w:rPr>
          <w:rtl w:val="0"/>
        </w:rPr>
        <w:t xml:space="preserve"> If analytical queries or leaderboard compilation cron jobs target a replica database displaying a replication sync delay exceeding 3,000 milliseconds, the load balancer dynamically kills the route pipeline, forcing lookups onto the primary cluster node to prevent stale data contamination.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