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8C" w:rsidRPr="00DB7729" w:rsidRDefault="00AC4080" w:rsidP="00DB088C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2"/>
      <w:r>
        <w:rPr>
          <w:rFonts w:ascii="Times New Roman" w:hAnsi="Times New Roman"/>
          <w:bCs w:val="0"/>
          <w:smallCaps w:val="0"/>
          <w:lang w:val="ru-RU"/>
        </w:rPr>
        <w:t>Лабораторная работа №2</w:t>
      </w:r>
      <w:bookmarkStart w:id="1" w:name="_GoBack"/>
      <w:bookmarkEnd w:id="1"/>
      <w:r w:rsidR="00DB088C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DB088C" w:rsidRPr="00DB7729">
        <w:rPr>
          <w:rFonts w:ascii="Times New Roman" w:hAnsi="Times New Roman"/>
          <w:bCs w:val="0"/>
          <w:smallCaps w:val="0"/>
          <w:lang w:val="ru-RU"/>
        </w:rPr>
        <w:br/>
        <w:t>Решение матричных игр в смешанных стратегиях с помощью линейной оптимизации</w:t>
      </w:r>
      <w:bookmarkEnd w:id="0"/>
    </w:p>
    <w:p w:rsidR="00DB088C" w:rsidRPr="00DB7729" w:rsidRDefault="00DB088C" w:rsidP="00DB088C">
      <w:pPr>
        <w:jc w:val="both"/>
        <w:rPr>
          <w:b/>
          <w:i/>
          <w:sz w:val="28"/>
          <w:szCs w:val="28"/>
          <w:lang w:val="ru-RU"/>
        </w:rPr>
      </w:pPr>
      <w:r w:rsidRPr="00DB7729">
        <w:rPr>
          <w:b/>
          <w:i/>
          <w:sz w:val="28"/>
          <w:szCs w:val="28"/>
          <w:lang w:val="ru-RU"/>
        </w:rPr>
        <w:tab/>
      </w:r>
    </w:p>
    <w:p w:rsidR="00DB088C" w:rsidRPr="00DB7729" w:rsidRDefault="00DB088C" w:rsidP="00DB088C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Оптимальные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стратегии  игроков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 играх без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седловых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точек могут быть найдены путем решения пары двойственных задач линейной оптимизации.</w:t>
      </w:r>
    </w:p>
    <w:tbl>
      <w:tblPr>
        <w:tblW w:w="9465" w:type="dxa"/>
        <w:tblLayout w:type="fixed"/>
        <w:tblLook w:val="0000" w:firstRow="0" w:lastRow="0" w:firstColumn="0" w:lastColumn="0" w:noHBand="0" w:noVBand="0"/>
      </w:tblPr>
      <w:tblGrid>
        <w:gridCol w:w="4361"/>
        <w:gridCol w:w="5104"/>
      </w:tblGrid>
      <w:tr w:rsidR="00DB088C" w:rsidRPr="00DB7729" w:rsidTr="006A4B2F">
        <w:tc>
          <w:tcPr>
            <w:tcW w:w="4361" w:type="dxa"/>
          </w:tcPr>
          <w:p w:rsidR="00DB088C" w:rsidRPr="00DB7729" w:rsidRDefault="00DB088C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Определение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стратегий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игрока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I</w:t>
            </w:r>
          </w:p>
        </w:tc>
        <w:tc>
          <w:tcPr>
            <w:tcW w:w="5104" w:type="dxa"/>
          </w:tcPr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Определение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стратегий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игрока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II</w:t>
            </w:r>
          </w:p>
        </w:tc>
      </w:tr>
      <w:tr w:rsidR="00DB088C" w:rsidRPr="00DB7729" w:rsidTr="006A4B2F">
        <w:tc>
          <w:tcPr>
            <w:tcW w:w="4361" w:type="dxa"/>
          </w:tcPr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object w:dxaOrig="170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9pt;height:47.4pt" o:ole="" fillcolor="window">
                  <v:imagedata r:id="rId5" o:title=""/>
                </v:shape>
                <o:OLEObject Type="Embed" ProgID="Equation.3" ShapeID="_x0000_i1025" DrawAspect="Content" ObjectID="_1673450557" r:id="rId6"/>
              </w:object>
            </w:r>
          </w:p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object w:dxaOrig="1640" w:dyaOrig="580">
                <v:shape id="_x0000_i1026" type="#_x0000_t75" style="width:130.8pt;height:46.5pt" o:ole="" fillcolor="window">
                  <v:imagedata r:id="rId7" o:title=""/>
                </v:shape>
                <o:OLEObject Type="Embed" ProgID="Equation.3" ShapeID="_x0000_i1026" DrawAspect="Content" ObjectID="_1673450558" r:id="rId8"/>
              </w:object>
            </w:r>
          </w:p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object w:dxaOrig="1200" w:dyaOrig="340">
                <v:shape id="_x0000_i1027" type="#_x0000_t75" style="width:104.35pt;height:29.6pt" o:ole="" fillcolor="window">
                  <v:imagedata r:id="rId9" o:title=""/>
                </v:shape>
                <o:OLEObject Type="Embed" ProgID="Equation.3" ShapeID="_x0000_i1027" DrawAspect="Content" ObjectID="_1673450559" r:id="rId10"/>
              </w:object>
            </w:r>
          </w:p>
        </w:tc>
        <w:tc>
          <w:tcPr>
            <w:tcW w:w="5104" w:type="dxa"/>
          </w:tcPr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object w:dxaOrig="3060" w:dyaOrig="960">
                <v:shape id="_x0000_i1028" type="#_x0000_t75" style="width:135.8pt;height:42.85pt" o:ole="" fillcolor="window">
                  <v:imagedata r:id="rId11" o:title=""/>
                </v:shape>
                <o:OLEObject Type="Embed" ProgID="Equation.3" ShapeID="_x0000_i1028" DrawAspect="Content" ObjectID="_1673450560" r:id="rId12"/>
              </w:object>
            </w:r>
          </w:p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object w:dxaOrig="2780" w:dyaOrig="960">
                <v:shape id="_x0000_i1029" type="#_x0000_t75" style="width:122.6pt;height:42.85pt" o:ole="" fillcolor="window">
                  <v:imagedata r:id="rId13" o:title=""/>
                </v:shape>
                <o:OLEObject Type="Embed" ProgID="Equation.3" ShapeID="_x0000_i1029" DrawAspect="Content" ObjectID="_1673450561" r:id="rId14"/>
              </w:object>
            </w:r>
          </w:p>
          <w:p w:rsidR="00DB088C" w:rsidRPr="00DB7729" w:rsidRDefault="00DB088C" w:rsidP="006A4B2F">
            <w:pPr>
              <w:pStyle w:val="a3"/>
              <w:spacing w:line="360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object w:dxaOrig="2140" w:dyaOrig="580">
                <v:shape id="_x0000_i1030" type="#_x0000_t75" style="width:96.6pt;height:25.95pt" o:ole="" fillcolor="window">
                  <v:imagedata r:id="rId15" o:title=""/>
                </v:shape>
                <o:OLEObject Type="Embed" ProgID="Equation.3" ShapeID="_x0000_i1030" DrawAspect="Content" ObjectID="_1673450562" r:id="rId16"/>
              </w:object>
            </w:r>
          </w:p>
        </w:tc>
      </w:tr>
    </w:tbl>
    <w:p w:rsidR="00DB088C" w:rsidRPr="00DB7729" w:rsidRDefault="00DB088C" w:rsidP="00DB088C">
      <w:pPr>
        <w:pStyle w:val="a3"/>
        <w:spacing w:line="360" w:lineRule="auto"/>
        <w:ind w:right="-286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Цена игры и вероятности применения стратегий игроками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I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II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равны:</w:t>
      </w:r>
    </w:p>
    <w:p w:rsidR="00DB088C" w:rsidRPr="00DB7729" w:rsidRDefault="00DB088C" w:rsidP="00DB088C">
      <w:pPr>
        <w:pStyle w:val="a3"/>
        <w:spacing w:line="360" w:lineRule="auto"/>
        <w:ind w:firstLine="900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position w:val="-84"/>
          <w:sz w:val="28"/>
        </w:rPr>
        <w:object w:dxaOrig="5500" w:dyaOrig="1800">
          <v:shape id="_x0000_i1031" type="#_x0000_t75" style="width:361.8pt;height:118.05pt" o:ole="" fillcolor="window">
            <v:imagedata r:id="rId17" o:title=""/>
          </v:shape>
          <o:OLEObject Type="Embed" ProgID="Equation.3" ShapeID="_x0000_i1031" DrawAspect="Content" ObjectID="_1673450563" r:id="rId18"/>
        </w:object>
      </w:r>
    </w:p>
    <w:p w:rsidR="00DB088C" w:rsidRPr="00DB7729" w:rsidRDefault="00DB088C" w:rsidP="00DB088C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Пример 1. </w:t>
      </w:r>
    </w:p>
    <w:p w:rsidR="00DB088C" w:rsidRPr="00DB7729" w:rsidRDefault="00DB088C" w:rsidP="00DB08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Найдите решение парной игры с заданной платежной матрицей, приведенной ниже. Решите задачу с помощью линейной оптимизации, определите цену игры и вероятности применения активных стратегий.</w:t>
      </w:r>
    </w:p>
    <w:tbl>
      <w:tblPr>
        <w:tblW w:w="4800" w:type="dxa"/>
        <w:tblInd w:w="1080" w:type="dxa"/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</w:tblGrid>
      <w:tr w:rsidR="00DB088C" w:rsidRPr="00DB7729" w:rsidTr="006A4B2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B4</w:t>
            </w:r>
          </w:p>
        </w:tc>
      </w:tr>
      <w:tr w:rsidR="00DB088C" w:rsidRPr="00DB7729" w:rsidTr="006A4B2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DB088C" w:rsidRPr="00DB7729" w:rsidTr="006A4B2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</w:tr>
      <w:tr w:rsidR="00DB088C" w:rsidRPr="00DB7729" w:rsidTr="006A4B2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B088C" w:rsidRPr="00DB7729" w:rsidRDefault="00DB088C" w:rsidP="006A4B2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</w:tbl>
    <w:p w:rsidR="00DB088C" w:rsidRPr="00DB7729" w:rsidRDefault="00DB088C" w:rsidP="00DB088C">
      <w:pPr>
        <w:spacing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Пример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2.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Два конкурирующих предприятия имеют следующие доли общего сбыта своей продукции на местном рынке: 53% предприятие 1 и 47% – предприятие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2.  Для увеличения объема своих продаж у них имеются следующие альтернативы: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760" w:dyaOrig="340">
          <v:shape id="_x0000_i1032" type="#_x0000_t75" style="width:37.8pt;height:16.85pt" o:ole="">
            <v:imagedata r:id="rId19" o:title=""/>
          </v:shape>
          <o:OLEObject Type="Embed" ProgID="Equation.3" ShapeID="_x0000_i1032" DrawAspect="Content" ObjectID="_1673450564" r:id="rId20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– расширить сеть сбыта,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33" type="#_x0000_t75" style="width:41pt;height:16.85pt" o:ole="">
            <v:imagedata r:id="rId21" o:title=""/>
          </v:shape>
          <o:OLEObject Type="Embed" ProgID="Equation.3" ShapeID="_x0000_i1033" DrawAspect="Content" ObjectID="_1673450565" r:id="rId22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– увеличить затраты на рекламу своей продукции,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800" w:dyaOrig="360">
          <v:shape id="_x0000_i1034" type="#_x0000_t75" style="width:40.1pt;height:18.25pt" o:ole="">
            <v:imagedata r:id="rId23" o:title=""/>
          </v:shape>
          <o:OLEObject Type="Embed" ProgID="Equation.3" ShapeID="_x0000_i1034" DrawAspect="Content" ObjectID="_1673450566" r:id="rId24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– расширить ассортимент,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35" type="#_x0000_t75" style="width:41pt;height:16.85pt" o:ole="">
            <v:imagedata r:id="rId25" o:title=""/>
          </v:shape>
          <o:OLEObject Type="Embed" ProgID="Equation.3" ShapeID="_x0000_i1035" DrawAspect="Content" ObjectID="_1673450567" r:id="rId2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– ничего не предпринимать.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Анализ показал, что при реализации обоими предприятиями указанных мероприятий доля (в %) предприятия на рынке изменится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260"/>
        <w:gridCol w:w="1440"/>
        <w:gridCol w:w="1440"/>
        <w:gridCol w:w="1309"/>
      </w:tblGrid>
      <w:tr w:rsidR="00DB088C" w:rsidRPr="00DB7729" w:rsidTr="006A4B2F">
        <w:trPr>
          <w:cantSplit/>
          <w:trHeight w:val="675"/>
          <w:jc w:val="center"/>
        </w:trPr>
        <w:tc>
          <w:tcPr>
            <w:tcW w:w="2234" w:type="dxa"/>
            <w:vMerge w:val="restart"/>
            <w:vAlign w:val="center"/>
          </w:tcPr>
          <w:p w:rsidR="00DB088C" w:rsidRPr="00DB7729" w:rsidRDefault="00DB088C" w:rsidP="006A4B2F">
            <w:pPr>
              <w:spacing w:line="336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Стратегия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sz w:val="28"/>
                <w:szCs w:val="28"/>
              </w:rPr>
              <w:t>предприятия</w:t>
            </w:r>
            <w:proofErr w:type="spellEnd"/>
            <w:r w:rsidRPr="00DB7729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5449" w:type="dxa"/>
            <w:gridSpan w:val="4"/>
            <w:vAlign w:val="center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Стратегия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</w:t>
            </w:r>
            <w:proofErr w:type="spellStart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предприятия</w:t>
            </w:r>
            <w:proofErr w:type="spellEnd"/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 xml:space="preserve"> 2   </w:t>
            </w:r>
          </w:p>
        </w:tc>
      </w:tr>
      <w:tr w:rsidR="00DB088C" w:rsidRPr="00DB7729" w:rsidTr="006A4B2F">
        <w:trPr>
          <w:cantSplit/>
          <w:trHeight w:val="483"/>
          <w:jc w:val="center"/>
        </w:trPr>
        <w:tc>
          <w:tcPr>
            <w:tcW w:w="2234" w:type="dxa"/>
            <w:vMerge/>
          </w:tcPr>
          <w:p w:rsidR="00DB088C" w:rsidRPr="00DB7729" w:rsidRDefault="00DB088C" w:rsidP="006A4B2F">
            <w:pPr>
              <w:spacing w:line="33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40" w:dyaOrig="340">
                <v:shape id="_x0000_i1036" type="#_x0000_t75" style="width:14.15pt;height:19.6pt" o:ole="">
                  <v:imagedata r:id="rId27" o:title=""/>
                </v:shape>
                <o:OLEObject Type="Embed" ProgID="Equation.3" ShapeID="_x0000_i1036" DrawAspect="Content" ObjectID="_1673450568" r:id="rId28"/>
              </w:object>
            </w:r>
          </w:p>
        </w:tc>
        <w:tc>
          <w:tcPr>
            <w:tcW w:w="1440" w:type="dxa"/>
            <w:vAlign w:val="center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60" w:dyaOrig="340">
                <v:shape id="_x0000_i1037" type="#_x0000_t75" style="width:15.05pt;height:19.6pt" o:ole="">
                  <v:imagedata r:id="rId29" o:title=""/>
                </v:shape>
                <o:OLEObject Type="Embed" ProgID="Equation.3" ShapeID="_x0000_i1037" DrawAspect="Content" ObjectID="_1673450569" r:id="rId30"/>
              </w:object>
            </w:r>
          </w:p>
        </w:tc>
        <w:tc>
          <w:tcPr>
            <w:tcW w:w="1440" w:type="dxa"/>
            <w:vAlign w:val="center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2"/>
                <w:sz w:val="28"/>
              </w:rPr>
              <w:object w:dxaOrig="240" w:dyaOrig="360">
                <v:shape id="_x0000_i1038" type="#_x0000_t75" style="width:13.65pt;height:20.95pt" o:ole="">
                  <v:imagedata r:id="rId31" o:title=""/>
                </v:shape>
                <o:OLEObject Type="Embed" ProgID="Equation.3" ShapeID="_x0000_i1038" DrawAspect="Content" ObjectID="_1673450570" r:id="rId32"/>
              </w:object>
            </w:r>
          </w:p>
        </w:tc>
        <w:tc>
          <w:tcPr>
            <w:tcW w:w="1309" w:type="dxa"/>
            <w:vAlign w:val="center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60" w:dyaOrig="340">
                <v:shape id="_x0000_i1039" type="#_x0000_t75" style="width:15.5pt;height:20.95pt" o:ole="">
                  <v:imagedata r:id="rId33" o:title=""/>
                </v:shape>
                <o:OLEObject Type="Embed" ProgID="Equation.3" ShapeID="_x0000_i1039" DrawAspect="Content" ObjectID="_1673450571" r:id="rId34"/>
              </w:object>
            </w:r>
          </w:p>
        </w:tc>
      </w:tr>
      <w:tr w:rsidR="00DB088C" w:rsidRPr="00DB7729" w:rsidTr="006A4B2F">
        <w:trPr>
          <w:cantSplit/>
          <w:trHeight w:val="20"/>
          <w:jc w:val="center"/>
        </w:trPr>
        <w:tc>
          <w:tcPr>
            <w:tcW w:w="223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40" w:dyaOrig="340">
                <v:shape id="_x0000_i1040" type="#_x0000_t75" style="width:14.15pt;height:19.6pt" o:ole="">
                  <v:imagedata r:id="rId35" o:title=""/>
                </v:shape>
                <o:OLEObject Type="Embed" ProgID="Equation.3" ShapeID="_x0000_i1040" DrawAspect="Content" ObjectID="_1673450572" r:id="rId36"/>
              </w:objec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-4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-5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1309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6</w:t>
            </w:r>
          </w:p>
        </w:tc>
      </w:tr>
      <w:tr w:rsidR="00DB088C" w:rsidRPr="00DB7729" w:rsidTr="006A4B2F">
        <w:trPr>
          <w:cantSplit/>
          <w:trHeight w:val="20"/>
          <w:jc w:val="center"/>
        </w:trPr>
        <w:tc>
          <w:tcPr>
            <w:tcW w:w="223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79" w:dyaOrig="340">
                <v:shape id="_x0000_i1041" type="#_x0000_t75" style="width:16.4pt;height:19.6pt" o:ole="">
                  <v:imagedata r:id="rId37" o:title=""/>
                </v:shape>
                <o:OLEObject Type="Embed" ProgID="Equation.3" ShapeID="_x0000_i1041" DrawAspect="Content" ObjectID="_1673450573" r:id="rId38"/>
              </w:objec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-1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1309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  <w:tr w:rsidR="00DB088C" w:rsidRPr="00DB7729" w:rsidTr="006A4B2F">
        <w:trPr>
          <w:cantSplit/>
          <w:trHeight w:val="20"/>
          <w:jc w:val="center"/>
        </w:trPr>
        <w:tc>
          <w:tcPr>
            <w:tcW w:w="223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2"/>
                <w:sz w:val="28"/>
              </w:rPr>
              <w:object w:dxaOrig="260" w:dyaOrig="360">
                <v:shape id="_x0000_i1042" type="#_x0000_t75" style="width:14.6pt;height:20.5pt" o:ole="">
                  <v:imagedata r:id="rId39" o:title=""/>
                </v:shape>
                <o:OLEObject Type="Embed" ProgID="Equation.3" ShapeID="_x0000_i1042" DrawAspect="Content" ObjectID="_1673450574" r:id="rId40"/>
              </w:objec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-3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-5</w:t>
            </w:r>
          </w:p>
        </w:tc>
        <w:tc>
          <w:tcPr>
            <w:tcW w:w="1309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</w:t>
            </w:r>
          </w:p>
        </w:tc>
      </w:tr>
      <w:tr w:rsidR="00DB088C" w:rsidRPr="00DB7729" w:rsidTr="006A4B2F">
        <w:trPr>
          <w:cantSplit/>
          <w:trHeight w:val="20"/>
          <w:jc w:val="center"/>
        </w:trPr>
        <w:tc>
          <w:tcPr>
            <w:tcW w:w="223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79" w:dyaOrig="340">
                <v:shape id="_x0000_i1043" type="#_x0000_t75" style="width:17.75pt;height:20.95pt" o:ole="">
                  <v:imagedata r:id="rId41" o:title=""/>
                </v:shape>
                <o:OLEObject Type="Embed" ProgID="Equation.3" ShapeID="_x0000_i1043" DrawAspect="Content" ObjectID="_1673450575" r:id="rId42"/>
              </w:objec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-8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-7</w:t>
            </w:r>
          </w:p>
        </w:tc>
        <w:tc>
          <w:tcPr>
            <w:tcW w:w="144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-6</w:t>
            </w:r>
          </w:p>
        </w:tc>
        <w:tc>
          <w:tcPr>
            <w:tcW w:w="1309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</w:tr>
    </w:tbl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Требуется сформулировать данную ситуацию в виде игры и определить оптимальные смешанные стратегии обоих предприятий.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Решение. 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Обратите внимание, что в данном примере для обоих игроков имеются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доминируемые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 xml:space="preserve"> стратегии. Найдите и исключите их из матрицы игры.</w:t>
      </w:r>
    </w:p>
    <w:p w:rsidR="00DB088C" w:rsidRPr="00DB7729" w:rsidRDefault="00DB088C" w:rsidP="00DB088C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Затем необходимо избавиться от отрицательных значений элементов платежной матрицы. Для этого прибавьте к каждому элементы матрицы достаточно большое положительное число.</w:t>
      </w:r>
    </w:p>
    <w:p w:rsidR="00DB088C" w:rsidRPr="00DB7729" w:rsidRDefault="00DB088C" w:rsidP="00DB088C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и решите прямую и двойственную задачи ЛП и определите вероятности применения чистых стратегий обоими игроками:</w:t>
      </w:r>
    </w:p>
    <w:p w:rsidR="00DB088C" w:rsidRPr="00DB7729" w:rsidRDefault="00DB088C" w:rsidP="00DB088C">
      <w:pPr>
        <w:spacing w:line="33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Вы должны получить следующий результат. 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Цена игры, соответствующая первоначальной матрице, равна –2,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2  (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после того,  как на начальном этапе мы прибавили ко всем элементам некоторое число, теперь необходимо его вычесть).               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Предприятие 1 при многократном повторении игры должно использовать с частотой 0,4 стратегию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44" type="#_x0000_t75" style="width:14.15pt;height:19.6pt" o:ole="">
            <v:imagedata r:id="rId43" o:title=""/>
          </v:shape>
          <o:OLEObject Type="Embed" ProgID="Equation.3" ShapeID="_x0000_i1044" DrawAspect="Content" ObjectID="_1673450576" r:id="rId44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с частотой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0,6 – стратегию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45" type="#_x0000_t75" style="width:16.4pt;height:19.6pt" o:ole="">
            <v:imagedata r:id="rId45" o:title=""/>
          </v:shape>
          <o:OLEObject Type="Embed" ProgID="Equation.3" ShapeID="_x0000_i1045" DrawAspect="Content" ObjectID="_1673450577" r:id="rId4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– (расширение рекламной деятельности), а стратегии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60" w:dyaOrig="360">
          <v:shape id="_x0000_i1046" type="#_x0000_t75" style="width:15.5pt;height:20.5pt" o:ole="">
            <v:imagedata r:id="rId47" o:title=""/>
          </v:shape>
          <o:OLEObject Type="Embed" ProgID="Equation.3" ShapeID="_x0000_i1046" DrawAspect="Content" ObjectID="_1673450578" r:id="rId48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(увеличить ассортимент) и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47" type="#_x0000_t75" style="width:16.4pt;height:19.6pt" o:ole="">
            <v:imagedata r:id="rId49" o:title=""/>
          </v:shape>
          <o:OLEObject Type="Embed" ProgID="Equation.3" ShapeID="_x0000_i1047" DrawAspect="Content" ObjectID="_1673450579" r:id="rId50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использовать вовсе. При этом доля сбыта предприятия на рынке </w:t>
      </w:r>
      <w:r w:rsidRPr="00DB7729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уменьшится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В свою очередь, оптимальная смешанная стратегия предприятия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2 заключается в том, чтобы с частотой 0,4 использовать стратегию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40" w:dyaOrig="340">
          <v:shape id="_x0000_i1048" type="#_x0000_t75" style="width:11.85pt;height:16.85pt" o:ole="">
            <v:imagedata r:id="rId27" o:title=""/>
          </v:shape>
          <o:OLEObject Type="Embed" ProgID="Equation.3" ShapeID="_x0000_i1048" DrawAspect="Content" ObjectID="_1673450580" r:id="rId51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(расширить сеть сбыта), и с частотой 0,6 – стратегию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49" type="#_x0000_t75" style="width:14.15pt;height:20.5pt" o:ole="">
            <v:imagedata r:id="rId52" o:title=""/>
          </v:shape>
          <o:OLEObject Type="Embed" ProgID="Equation.3" ShapeID="_x0000_i1049" DrawAspect="Content" ObjectID="_1673450581" r:id="rId53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– (расширение ассортимента). Стратегии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50" type="#_x0000_t75" style="width:15.5pt;height:19.6pt" o:ole="">
            <v:imagedata r:id="rId54" o:title=""/>
          </v:shape>
          <o:OLEObject Type="Embed" ProgID="Equation.3" ShapeID="_x0000_i1050" DrawAspect="Content" ObjectID="_1673450582" r:id="rId55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(расширение рекламной деятельности) и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60" w:dyaOrig="340">
          <v:shape id="_x0000_i1051" type="#_x0000_t75" style="width:15.5pt;height:19.6pt" o:ole="">
            <v:imagedata r:id="rId56" o:title=""/>
          </v:shape>
          <o:OLEObject Type="Embed" ProgID="Equation.3" ShapeID="_x0000_i1051" DrawAspect="Content" ObjectID="_1673450583" r:id="rId57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(ничего не предпринимать) не должны применяться. При этом доля сбыта предприятия 2 на рынке </w:t>
      </w:r>
      <w:r w:rsidRPr="00DB7729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увеличится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на 2,2%.</w:t>
      </w:r>
    </w:p>
    <w:p w:rsidR="00DB088C" w:rsidRPr="00DB7729" w:rsidRDefault="00DB088C" w:rsidP="00DB088C">
      <w:pPr>
        <w:spacing w:line="33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Казалось бы, поскольку даже в результате проведения своих мероприятий предприятие 1 “теряет рынок”, ему не следует ничего предпринимать, однако в этом случае оно потеряет еще больше (в соответствии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со стратегией 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52" type="#_x0000_t75" style="width:14.15pt;height:16.85pt" o:ole="">
            <v:imagedata r:id="rId58" o:title=""/>
          </v:shape>
          <o:OLEObject Type="Embed" ProgID="Equation.3" ShapeID="_x0000_i1052" DrawAspect="Content" ObjectID="_1673450584" r:id="rId59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>) из-за действий предприятия 2, которому они выгодны.</w:t>
      </w:r>
    </w:p>
    <w:p w:rsidR="00DB088C" w:rsidRPr="00DB7729" w:rsidRDefault="00DB088C" w:rsidP="00DB088C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B088C" w:rsidRPr="00DB7729" w:rsidRDefault="00DB088C" w:rsidP="00DB088C">
      <w:pPr>
        <w:spacing w:line="336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Определение выигрышей в игре без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седловых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точек</w:t>
      </w:r>
    </w:p>
    <w:p w:rsidR="00DB088C" w:rsidRPr="00DB7729" w:rsidRDefault="00DB088C" w:rsidP="00DB088C">
      <w:pPr>
        <w:pStyle w:val="a3"/>
        <w:spacing w:line="336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Средний выигрыш игрока А в том случае, когда оба игрока применяют свои оптимальные смешанные стратегии (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функция выигрыша игрока А в смешанных стратегиях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 равен</w:t>
      </w:r>
    </w:p>
    <w:p w:rsidR="00DB088C" w:rsidRPr="00DB7729" w:rsidRDefault="00DB088C" w:rsidP="00DB088C">
      <w:pPr>
        <w:pStyle w:val="a3"/>
        <w:spacing w:line="336" w:lineRule="auto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4760" w:dyaOrig="360">
          <v:shape id="_x0000_i1053" type="#_x0000_t75" style="width:317.15pt;height:24.15pt" o:ole="">
            <v:imagedata r:id="rId60" o:title=""/>
          </v:shape>
          <o:OLEObject Type="Embed" ProgID="Equation.3" ShapeID="_x0000_i1053" DrawAspect="Content" ObjectID="_1673450585" r:id="rId61"/>
        </w:object>
      </w:r>
    </w:p>
    <w:p w:rsidR="00DB088C" w:rsidRPr="00DB7729" w:rsidRDefault="00DB088C" w:rsidP="00DB088C">
      <w:pPr>
        <w:pStyle w:val="a3"/>
        <w:spacing w:line="336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вектор-строка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820" w:dyaOrig="360">
          <v:shape id="_x0000_i1054" type="#_x0000_t75" style="width:91.15pt;height:18.25pt" o:ole="">
            <v:imagedata r:id="rId62" o:title=""/>
          </v:shape>
          <o:OLEObject Type="Embed" ProgID="Equation.3" ShapeID="_x0000_i1054" DrawAspect="Content" ObjectID="_1673450586" r:id="rId6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задает вероятности применения различных чистых стратегий первым игроком  ,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40" w:dyaOrig="260">
          <v:shape id="_x0000_i1055" type="#_x0000_t75" style="width:11.85pt;height:13.2pt" o:ole="">
            <v:imagedata r:id="rId64" o:title=""/>
          </v:shape>
          <o:OLEObject Type="Embed" ProgID="Equation.3" ShapeID="_x0000_i1055" DrawAspect="Content" ObjectID="_1673450587" r:id="rId6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платежная матрица 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60" w:dyaOrig="360">
          <v:shape id="_x0000_i1056" type="#_x0000_t75" style="width:18.25pt;height:18.25pt" o:ole="">
            <v:imagedata r:id="rId66" o:title=""/>
          </v:shape>
          <o:OLEObject Type="Embed" ProgID="Equation.3" ShapeID="_x0000_i1056" DrawAspect="Content" ObjectID="_1673450588" r:id="rId6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– вектор-столбец вероятностей применения чистых стратегий вторым игроком:</w:t>
      </w:r>
    </w:p>
    <w:p w:rsidR="00DB088C" w:rsidRPr="00DB7729" w:rsidRDefault="00DB088C" w:rsidP="00DB088C">
      <w:pPr>
        <w:pStyle w:val="a3"/>
        <w:spacing w:line="336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1380" w:dyaOrig="1120">
          <v:shape id="_x0000_i1057" type="#_x0000_t75" style="width:68.8pt;height:56.05pt" o:ole="">
            <v:imagedata r:id="rId68" o:title=""/>
          </v:shape>
          <o:OLEObject Type="Embed" ProgID="Equation.3" ShapeID="_x0000_i1057" DrawAspect="Content" ObjectID="_1673450589" r:id="rId69"/>
        </w:object>
      </w:r>
    </w:p>
    <w:p w:rsidR="00DB088C" w:rsidRPr="00DB7729" w:rsidRDefault="00DB088C" w:rsidP="00DB088C">
      <w:pPr>
        <w:pStyle w:val="a3"/>
        <w:spacing w:line="336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В тех случаях, когда один из игроков применяет чистую стратегию,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br/>
        <w:t>а второй – смешанную, нужно “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занулить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” все вероятности, соответствующие неиспользуемым этим игроком стратегиям. Например, если первый игрок использует чистую стратегию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00" w:dyaOrig="360">
          <v:shape id="_x0000_i1058" type="#_x0000_t75" style="width:15.05pt;height:18.25pt" o:ole="">
            <v:imagedata r:id="rId70" o:title=""/>
          </v:shape>
          <o:OLEObject Type="Embed" ProgID="Equation.3" ShapeID="_x0000_i1058" DrawAspect="Content" ObjectID="_1673450590" r:id="rId71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то для определения выигрыша достаточно заменить вектор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820" w:dyaOrig="360">
          <v:shape id="_x0000_i1059" type="#_x0000_t75" style="width:105.25pt;height:20.95pt" o:ole="">
            <v:imagedata r:id="rId62" o:title=""/>
          </v:shape>
          <o:OLEObject Type="Embed" ProgID="Equation.3" ShapeID="_x0000_i1059" DrawAspect="Content" ObjectID="_1673450591" r:id="rId7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на вектор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120" w:dyaOrig="360">
          <v:shape id="_x0000_i1060" type="#_x0000_t75" style="width:122.15pt;height:20.95pt" o:ole="">
            <v:imagedata r:id="rId73" o:title=""/>
          </v:shape>
          <o:OLEObject Type="Embed" ProgID="Equation.3" ShapeID="_x0000_i1060" DrawAspect="Content" ObjectID="_1673450592" r:id="rId7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DB088C" w:rsidRPr="00DB7729" w:rsidRDefault="00DB088C" w:rsidP="00DB088C">
      <w:pPr>
        <w:pStyle w:val="a3"/>
        <w:spacing w:line="336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B088C" w:rsidRPr="00DB7729" w:rsidRDefault="00DB088C" w:rsidP="00DB088C">
      <w:pPr>
        <w:spacing w:line="336" w:lineRule="auto"/>
        <w:rPr>
          <w:rFonts w:ascii="Times New Roman" w:hAnsi="Times New Roman"/>
          <w:sz w:val="28"/>
          <w:szCs w:val="28"/>
        </w:rPr>
      </w:pP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lastRenderedPageBreak/>
        <w:t>Пример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3. </w:t>
      </w:r>
      <w:proofErr w:type="spellStart"/>
      <w:r w:rsidRPr="00DB7729">
        <w:rPr>
          <w:rFonts w:ascii="Times New Roman" w:hAnsi="Times New Roman"/>
          <w:sz w:val="28"/>
          <w:szCs w:val="28"/>
        </w:rPr>
        <w:t>Задана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платежная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матрица</w:t>
      </w:r>
      <w:proofErr w:type="spellEnd"/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164"/>
        <w:gridCol w:w="1260"/>
        <w:gridCol w:w="1260"/>
      </w:tblGrid>
      <w:tr w:rsidR="00DB088C" w:rsidRPr="00DB7729" w:rsidTr="006A4B2F">
        <w:trPr>
          <w:cantSplit/>
        </w:trPr>
        <w:tc>
          <w:tcPr>
            <w:tcW w:w="1842" w:type="dxa"/>
          </w:tcPr>
          <w:p w:rsidR="00DB088C" w:rsidRPr="00DB7729" w:rsidRDefault="00DB088C" w:rsidP="006A4B2F">
            <w:pPr>
              <w:pStyle w:val="a3"/>
              <w:spacing w:line="336" w:lineRule="auto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</w:p>
        </w:tc>
        <w:tc>
          <w:tcPr>
            <w:tcW w:w="116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336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279" w:dyaOrig="340">
                <v:shape id="_x0000_i1061" type="#_x0000_t75" style="width:14.15pt;height:16.85pt" o:ole="">
                  <v:imagedata r:id="rId75" o:title=""/>
                </v:shape>
                <o:OLEObject Type="Embed" ProgID="Equation.3" ShapeID="_x0000_i1061" DrawAspect="Content" ObjectID="_1673450593" r:id="rId76"/>
              </w:objec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0"/>
                <w:sz w:val="28"/>
              </w:rPr>
              <w:object w:dxaOrig="300" w:dyaOrig="340">
                <v:shape id="_x0000_i1062" type="#_x0000_t75" style="width:15.05pt;height:16.85pt" o:ole="">
                  <v:imagedata r:id="rId77" o:title=""/>
                </v:shape>
                <o:OLEObject Type="Embed" ProgID="Equation.3" ShapeID="_x0000_i1062" DrawAspect="Content" ObjectID="_1673450594" r:id="rId78"/>
              </w:objec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2"/>
                <w:sz w:val="28"/>
              </w:rPr>
              <w:object w:dxaOrig="300" w:dyaOrig="360">
                <v:shape id="_x0000_i1063" type="#_x0000_t75" style="width:15.05pt;height:18.25pt" o:ole="">
                  <v:imagedata r:id="rId79" o:title=""/>
                </v:shape>
                <o:OLEObject Type="Embed" ProgID="Equation.3" ShapeID="_x0000_i1063" DrawAspect="Content" ObjectID="_1673450595" r:id="rId80"/>
              </w:object>
            </w:r>
          </w:p>
        </w:tc>
      </w:tr>
      <w:tr w:rsidR="00DB088C" w:rsidRPr="00DB7729" w:rsidTr="006A4B2F">
        <w:trPr>
          <w:cantSplit/>
        </w:trPr>
        <w:tc>
          <w:tcPr>
            <w:tcW w:w="1842" w:type="dxa"/>
          </w:tcPr>
          <w:p w:rsidR="00DB088C" w:rsidRPr="00DB7729" w:rsidRDefault="00DB088C" w:rsidP="006A4B2F">
            <w:pPr>
              <w:pStyle w:val="a3"/>
              <w:spacing w:line="336" w:lineRule="auto"/>
              <w:jc w:val="both"/>
              <w:rPr>
                <w:rFonts w:ascii="Times New Roman" w:hAnsi="Times New Roman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Cs w:val="0"/>
                <w:i w:val="0"/>
                <w:iCs w:val="0"/>
                <w:position w:val="-10"/>
                <w:sz w:val="28"/>
              </w:rPr>
              <w:object w:dxaOrig="279" w:dyaOrig="340">
                <v:shape id="_x0000_i1064" type="#_x0000_t75" style="width:14.15pt;height:16.85pt" o:ole="">
                  <v:imagedata r:id="rId81" o:title=""/>
                </v:shape>
                <o:OLEObject Type="Embed" ProgID="Equation.3" ShapeID="_x0000_i1064" DrawAspect="Content" ObjectID="_1673450596" r:id="rId82"/>
              </w:object>
            </w:r>
          </w:p>
        </w:tc>
        <w:tc>
          <w:tcPr>
            <w:tcW w:w="116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0</w: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1/2</w: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5/6</w:t>
            </w:r>
          </w:p>
        </w:tc>
      </w:tr>
      <w:tr w:rsidR="00DB088C" w:rsidRPr="00DB7729" w:rsidTr="006A4B2F">
        <w:trPr>
          <w:cantSplit/>
        </w:trPr>
        <w:tc>
          <w:tcPr>
            <w:tcW w:w="1842" w:type="dxa"/>
          </w:tcPr>
          <w:p w:rsidR="00DB088C" w:rsidRPr="00DB7729" w:rsidRDefault="00DB088C" w:rsidP="006A4B2F">
            <w:pPr>
              <w:pStyle w:val="a3"/>
              <w:spacing w:line="336" w:lineRule="auto"/>
              <w:jc w:val="both"/>
              <w:rPr>
                <w:rFonts w:ascii="Times New Roman" w:hAnsi="Times New Roman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Cs w:val="0"/>
                <w:i w:val="0"/>
                <w:iCs w:val="0"/>
                <w:position w:val="-10"/>
                <w:sz w:val="28"/>
              </w:rPr>
              <w:object w:dxaOrig="300" w:dyaOrig="340">
                <v:shape id="_x0000_i1065" type="#_x0000_t75" style="width:15.05pt;height:16.85pt" o:ole="">
                  <v:imagedata r:id="rId83" o:title=""/>
                </v:shape>
                <o:OLEObject Type="Embed" ProgID="Equation.3" ShapeID="_x0000_i1065" DrawAspect="Content" ObjectID="_1673450597" r:id="rId84"/>
              </w:object>
            </w:r>
          </w:p>
        </w:tc>
        <w:tc>
          <w:tcPr>
            <w:tcW w:w="1164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</w: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3/4</w:t>
            </w:r>
          </w:p>
        </w:tc>
        <w:tc>
          <w:tcPr>
            <w:tcW w:w="1260" w:type="dxa"/>
          </w:tcPr>
          <w:p w:rsidR="00DB088C" w:rsidRPr="00DB7729" w:rsidRDefault="00DB088C" w:rsidP="006A4B2F">
            <w:pPr>
              <w:pStyle w:val="a3"/>
              <w:spacing w:line="336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</w:rPr>
              <w:t>1/2</w:t>
            </w:r>
          </w:p>
        </w:tc>
      </w:tr>
    </w:tbl>
    <w:p w:rsidR="00DB088C" w:rsidRPr="00DB7729" w:rsidRDefault="00DB088C" w:rsidP="00DB088C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Пусть оптимальные смешанные стратегии игроков А и В уже определены:</w:t>
      </w:r>
    </w:p>
    <w:p w:rsidR="00DB088C" w:rsidRPr="00DB7729" w:rsidRDefault="00DB088C" w:rsidP="00DB088C">
      <w:pPr>
        <w:spacing w:line="336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position w:val="-28"/>
          <w:sz w:val="28"/>
          <w:szCs w:val="28"/>
        </w:rPr>
        <w:object w:dxaOrig="3980" w:dyaOrig="680">
          <v:shape id="_x0000_i1066" type="#_x0000_t75" style="width:215.55pt;height:36.9pt" o:ole="">
            <v:imagedata r:id="rId85" o:title=""/>
          </v:shape>
          <o:OLEObject Type="Embed" ProgID="Equation.3" ShapeID="_x0000_i1066" DrawAspect="Content" ObjectID="_1673450598" r:id="rId86"/>
        </w:object>
      </w:r>
    </w:p>
    <w:p w:rsidR="00DB088C" w:rsidRPr="00DB7729" w:rsidRDefault="00DB088C" w:rsidP="00DB088C">
      <w:pPr>
        <w:spacing w:line="336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Требуется определить выигрыши игрока А в ситуациях, когда</w:t>
      </w:r>
    </w:p>
    <w:p w:rsidR="00DB088C" w:rsidRPr="00DB7729" w:rsidRDefault="00DB088C" w:rsidP="00DB088C">
      <w:pPr>
        <w:numPr>
          <w:ilvl w:val="0"/>
          <w:numId w:val="1"/>
        </w:numPr>
        <w:tabs>
          <w:tab w:val="clear" w:pos="720"/>
          <w:tab w:val="num" w:pos="1276"/>
        </w:tabs>
        <w:spacing w:line="336" w:lineRule="auto"/>
        <w:ind w:left="714" w:hanging="5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игрок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В применяет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смешанную стратегию;</w:t>
      </w:r>
    </w:p>
    <w:p w:rsidR="00DB088C" w:rsidRPr="00DB7729" w:rsidRDefault="00DB088C" w:rsidP="00DB088C">
      <w:pPr>
        <w:numPr>
          <w:ilvl w:val="0"/>
          <w:numId w:val="1"/>
        </w:numPr>
        <w:tabs>
          <w:tab w:val="clear" w:pos="720"/>
          <w:tab w:val="num" w:pos="1276"/>
        </w:tabs>
        <w:spacing w:line="336" w:lineRule="auto"/>
        <w:ind w:left="714" w:right="-144" w:hanging="5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игрок В применяет одну из чистых стратегий (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067" type="#_x0000_t75" style="width:14.15pt;height:16.85pt" o:ole="">
            <v:imagedata r:id="rId75" o:title=""/>
          </v:shape>
          <o:OLEObject Type="Embed" ProgID="Equation.3" ShapeID="_x0000_i1067" DrawAspect="Content" ObjectID="_1673450599" r:id="rId87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>,</w:t>
      </w:r>
      <w:r w:rsidRPr="00DB7729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068" type="#_x0000_t75" style="width:15.05pt;height:16.85pt" o:ole="">
            <v:imagedata r:id="rId88" o:title=""/>
          </v:shape>
          <o:OLEObject Type="Embed" ProgID="Equation.3" ShapeID="_x0000_i1068" DrawAspect="Content" ObjectID="_1673450600" r:id="rId89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, или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69" type="#_x0000_t75" style="width:15.05pt;height:18.25pt" o:ole="">
            <v:imagedata r:id="rId90" o:title=""/>
          </v:shape>
          <o:OLEObject Type="Embed" ProgID="Equation.3" ShapeID="_x0000_i1069" DrawAspect="Content" ObjectID="_1673450601" r:id="rId91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>).</w:t>
      </w:r>
    </w:p>
    <w:p w:rsidR="00DB088C" w:rsidRPr="00DB7729" w:rsidRDefault="00DB088C" w:rsidP="00DB08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Проанализируйте полученные результаты.</w:t>
      </w:r>
    </w:p>
    <w:p w:rsidR="00DB088C" w:rsidRPr="00DB7729" w:rsidRDefault="00DB088C" w:rsidP="00DB088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7C3DB5" w:rsidRDefault="00AC4080"/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69C"/>
    <w:multiLevelType w:val="hybridMultilevel"/>
    <w:tmpl w:val="09CE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8C"/>
    <w:rsid w:val="00784D21"/>
    <w:rsid w:val="00AC4080"/>
    <w:rsid w:val="00AD3EB3"/>
    <w:rsid w:val="00D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ADB166A"/>
  <w15:chartTrackingRefBased/>
  <w15:docId w15:val="{355D2640-F51B-408B-9479-00CC3359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88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B088C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B088C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B088C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customXml" Target="../customXml/item2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54BDF-3DE3-4AB5-AC86-62E6D6912C06}"/>
</file>

<file path=customXml/itemProps2.xml><?xml version="1.0" encoding="utf-8"?>
<ds:datastoreItem xmlns:ds="http://schemas.openxmlformats.org/officeDocument/2006/customXml" ds:itemID="{F1B2958E-D4CB-491F-857F-4C01F9F092AB}"/>
</file>

<file path=customXml/itemProps3.xml><?xml version="1.0" encoding="utf-8"?>
<ds:datastoreItem xmlns:ds="http://schemas.openxmlformats.org/officeDocument/2006/customXml" ds:itemID="{1A5DD6B7-74A9-467D-9A19-04565916E1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2021-01-15T11:15:00Z</dcterms:created>
  <dcterms:modified xsi:type="dcterms:W3CDTF">2021-01-29T15:35:00Z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