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D0" w:rsidRPr="00DB7729" w:rsidRDefault="00596231" w:rsidP="00FC7BD0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7"/>
      <w:r>
        <w:rPr>
          <w:rFonts w:ascii="Times New Roman" w:hAnsi="Times New Roman"/>
          <w:bCs w:val="0"/>
          <w:smallCaps w:val="0"/>
          <w:lang w:val="ru-RU"/>
        </w:rPr>
        <w:t>Лабораторная работа №6</w:t>
      </w:r>
      <w:bookmarkStart w:id="1" w:name="_GoBack"/>
      <w:bookmarkEnd w:id="1"/>
      <w:r w:rsidR="00FC7BD0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FC7BD0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стохастического программирования</w:t>
      </w:r>
      <w:bookmarkEnd w:id="0"/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bookmarkStart w:id="2" w:name="_Toc162260248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>1. Задачи стохастического программирования</w:t>
      </w:r>
      <w:bookmarkEnd w:id="2"/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в ММ-формулировке</w:t>
      </w:r>
    </w:p>
    <w:p w:rsidR="00FC7BD0" w:rsidRPr="00FC7BD0" w:rsidRDefault="00FC7BD0" w:rsidP="00FC7BD0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FC7BD0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стохастического программирования (СП) (стохастической оптимизации) решаются задачи, целевая функция и (или) ограничения которых имеют вероятностный смысл. К ним относятся многие проблемы микроэкономического анализа в условиях риска – страхование, анализ инвестиций, планирование производственной деятельности фирмы, а также многие задачи финансового менеджмента.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ММ-постановке задачи СП требуется найти оптимальное значение целевой функции вида: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           </w:t>
      </w:r>
      <w:r w:rsidRPr="00DB7729">
        <w:rPr>
          <w:rFonts w:ascii="Times New Roman" w:hAnsi="Times New Roman"/>
          <w:b w:val="0"/>
          <w:position w:val="-52"/>
          <w:sz w:val="28"/>
          <w:szCs w:val="28"/>
        </w:rPr>
        <w:object w:dxaOrig="464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15pt;height:68.8pt" o:ole="">
            <v:imagedata r:id="rId5" o:title=""/>
          </v:shape>
          <o:OLEObject Type="Embed" ProgID="Equation.3" ShapeID="_x0000_i1025" DrawAspect="Content" ObjectID="_1673450618" r:id="rId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в качестве коэффициентов ЦФ используются математические ожидания ее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00" w:dyaOrig="460">
          <v:shape id="_x0000_i1026" type="#_x0000_t75" style="width:45.1pt;height:22.8pt" o:ole="">
            <v:imagedata r:id="rId7" o:title=""/>
          </v:shape>
          <o:OLEObject Type="Embed" ProgID="Equation.3" ShapeID="_x0000_i1026" DrawAspect="Content" ObjectID="_1673450619" r:id="rId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При этом предполагается, что известен вероятностный закон распределения параметров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00" w:dyaOrig="460">
          <v:shape id="_x0000_i1027" type="#_x0000_t75" style="width:15.05pt;height:22.8pt" o:ole="">
            <v:imagedata r:id="rId9" o:title=""/>
          </v:shape>
          <o:OLEObject Type="Embed" ProgID="Equation.3" ShapeID="_x0000_i1027" DrawAspect="Content" ObjectID="_1673450620" r:id="rId1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либо, по -крайней мере, их средние ожидаемые значения (математические ожидания).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данной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постановке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имеют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: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  <w:r w:rsidRPr="00DB7729">
        <w:rPr>
          <w:rFonts w:ascii="Times New Roman" w:hAnsi="Times New Roman"/>
          <w:b w:val="0"/>
          <w:position w:val="-32"/>
          <w:sz w:val="28"/>
          <w:szCs w:val="28"/>
        </w:rPr>
        <w:object w:dxaOrig="4500" w:dyaOrig="720">
          <v:shape id="_x0000_i1028" type="#_x0000_t75" style="width:285.7pt;height:45.55pt" o:ole="">
            <v:imagedata r:id="rId11" o:title=""/>
          </v:shape>
          <o:OLEObject Type="Embed" ProgID="Equation.3" ShapeID="_x0000_i1028" DrawAspect="Content" ObjectID="_1673450621" r:id="rId1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920" w:dyaOrig="480">
          <v:shape id="_x0000_i1029" type="#_x0000_t75" style="width:46.05pt;height:24.15pt" o:ole="">
            <v:imagedata r:id="rId13" o:title=""/>
          </v:shape>
          <o:OLEObject Type="Embed" ProgID="Equation.3" ShapeID="_x0000_i1029" DrawAspect="Content" ObjectID="_1673450622" r:id="rId1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математические ожидания соответствующих случайных величин, которые могут быть найдены либо теоретически по известному закону распределения, либо эмпирическим путем с помощью статистической обработки данных наблюдений.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Таким образом, в данной постановке задача сводится к обычной задаче линейного программирования путем замены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DB7729">
        <w:rPr>
          <w:rFonts w:ascii="Times New Roman" w:hAnsi="Times New Roman"/>
          <w:b w:val="0"/>
          <w:position w:val="-16"/>
          <w:sz w:val="28"/>
          <w:szCs w:val="28"/>
        </w:rPr>
        <w:object w:dxaOrig="5020" w:dyaOrig="480">
          <v:shape id="_x0000_i1030" type="#_x0000_t75" style="width:342.7pt;height:32.8pt" o:ole="">
            <v:imagedata r:id="rId15" o:title=""/>
          </v:shape>
          <o:OLEObject Type="Embed" ProgID="Equation.3" ShapeID="_x0000_i1030" DrawAspect="Content" ObjectID="_1673450623" r:id="rId16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К сожалению, данный простой подход часто не позволяет найти действительно оптимальное решение, в связи с чем приходится использовать более сложные методы решения задач СП.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lastRenderedPageBreak/>
        <w:t>Самостоятельное задание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Целевая функция имеет следующий вид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         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3879" w:dyaOrig="440">
          <v:shape id="_x0000_i1031" type="#_x0000_t75" style="width:263.4pt;height:29.6pt" o:ole="">
            <v:imagedata r:id="rId17" o:title=""/>
          </v:shape>
          <o:OLEObject Type="Embed" ProgID="Equation.3" ShapeID="_x0000_i1031" DrawAspect="Content" ObjectID="_1673450624" r:id="rId18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задачи</w:t>
      </w:r>
      <w:proofErr w:type="spellEnd"/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 xml:space="preserve">               </w:t>
      </w:r>
      <w:r w:rsidRPr="00DB7729">
        <w:rPr>
          <w:rFonts w:ascii="Times New Roman" w:hAnsi="Times New Roman"/>
          <w:b w:val="0"/>
          <w:position w:val="-88"/>
          <w:sz w:val="28"/>
          <w:szCs w:val="28"/>
        </w:rPr>
        <w:object w:dxaOrig="3920" w:dyaOrig="1920">
          <v:shape id="_x0000_i1032" type="#_x0000_t75" style="width:253.8pt;height:125.3pt" o:ole="">
            <v:imagedata r:id="rId19" o:title=""/>
          </v:shape>
          <o:OLEObject Type="Embed" ProgID="Equation.3" ShapeID="_x0000_i1032" DrawAspect="Content" ObjectID="_1673450625" r:id="rId20"/>
        </w:objec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За период 12 месяцев получены следующие данные о значениях коэффициентов целевой функции и параметрах ограничений задачи. Решите задачу в ММ-постановке.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tbl>
      <w:tblPr>
        <w:tblW w:w="8833" w:type="dxa"/>
        <w:tblInd w:w="95" w:type="dxa"/>
        <w:tblLook w:val="0000" w:firstRow="0" w:lastRow="0" w:firstColumn="0" w:lastColumn="0" w:noHBand="0" w:noVBand="0"/>
      </w:tblPr>
      <w:tblGrid>
        <w:gridCol w:w="752"/>
        <w:gridCol w:w="720"/>
        <w:gridCol w:w="720"/>
        <w:gridCol w:w="720"/>
        <w:gridCol w:w="720"/>
        <w:gridCol w:w="720"/>
        <w:gridCol w:w="720"/>
        <w:gridCol w:w="881"/>
        <w:gridCol w:w="720"/>
        <w:gridCol w:w="720"/>
        <w:gridCol w:w="720"/>
        <w:gridCol w:w="720"/>
      </w:tblGrid>
      <w:tr w:rsidR="00FC7BD0" w:rsidRPr="00DB7729" w:rsidTr="006A4B2F">
        <w:trPr>
          <w:trHeight w:val="510"/>
        </w:trPr>
        <w:tc>
          <w:tcPr>
            <w:tcW w:w="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C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22</w:t>
            </w:r>
          </w:p>
        </w:tc>
        <w:tc>
          <w:tcPr>
            <w:tcW w:w="8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a 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>33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2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  <w:r w:rsidRPr="00DB7729"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</w:rPr>
              <w:t xml:space="preserve"> 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FC7BD0" w:rsidRPr="00DB7729" w:rsidTr="006A4B2F">
        <w:trPr>
          <w:trHeight w:val="405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  <w:tr w:rsidR="00FC7BD0" w:rsidRPr="00DB7729" w:rsidTr="006A4B2F">
        <w:trPr>
          <w:trHeight w:val="420"/>
        </w:trPr>
        <w:tc>
          <w:tcPr>
            <w:tcW w:w="7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7BD0" w:rsidRPr="00DB7729" w:rsidRDefault="00FC7BD0" w:rsidP="006A4B2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B772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</w:tr>
    </w:tbl>
    <w:p w:rsidR="00FC7BD0" w:rsidRPr="00DB7729" w:rsidRDefault="00FC7BD0" w:rsidP="00FC7BD0">
      <w:pPr>
        <w:rPr>
          <w:rFonts w:ascii="Times New Roman" w:hAnsi="Times New Roman"/>
          <w:sz w:val="28"/>
          <w:szCs w:val="28"/>
        </w:rPr>
      </w:pPr>
    </w:p>
    <w:p w:rsidR="00FC7BD0" w:rsidRPr="00DB7729" w:rsidRDefault="00FC7BD0" w:rsidP="00FC7BD0">
      <w:pPr>
        <w:rPr>
          <w:rFonts w:ascii="Times New Roman" w:hAnsi="Times New Roman"/>
          <w:b/>
          <w:i/>
          <w:sz w:val="28"/>
          <w:szCs w:val="28"/>
        </w:rPr>
      </w:pPr>
      <w:bookmarkStart w:id="3" w:name="_Toc162260249"/>
      <w:r w:rsidRPr="00DB7729">
        <w:rPr>
          <w:rFonts w:ascii="Times New Roman" w:hAnsi="Times New Roman"/>
          <w:b/>
          <w:i/>
          <w:sz w:val="28"/>
          <w:szCs w:val="28"/>
        </w:rPr>
        <w:t xml:space="preserve">2.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Задачи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с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вероятностными</w:t>
      </w:r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/>
          <w:i/>
          <w:sz w:val="28"/>
          <w:szCs w:val="28"/>
        </w:rPr>
        <w:t>ограничениями</w:t>
      </w:r>
      <w:bookmarkEnd w:id="3"/>
      <w:proofErr w:type="spellEnd"/>
      <w:r w:rsidRPr="00DB7729">
        <w:rPr>
          <w:rFonts w:ascii="Times New Roman" w:hAnsi="Times New Roman"/>
          <w:b/>
          <w:i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spacing w:line="360" w:lineRule="auto"/>
        <w:ind w:firstLine="0"/>
        <w:jc w:val="both"/>
        <w:rPr>
          <w:rFonts w:ascii="Times New Roman" w:hAnsi="Times New Roman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При так называемой М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P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- формулировке задачи стохастического программирования целевая функция представляется в виде  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  <w:lang w:val="ru-RU"/>
        </w:rPr>
        <w:lastRenderedPageBreak/>
        <w:t xml:space="preserve">  </w:t>
      </w: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500" w:dyaOrig="800">
          <v:shape id="_x0000_i1033" type="#_x0000_t75" style="width:410.15pt;height:60.15pt" o:ole="">
            <v:imagedata r:id="rId21" o:title=""/>
          </v:shape>
          <o:OLEObject Type="Embed" ProgID="Equation.3" ShapeID="_x0000_i1033" DrawAspect="Content" ObjectID="_1673450626" r:id="rId2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880" w:dyaOrig="460">
          <v:shape id="_x0000_i1034" type="#_x0000_t75" style="width:39.2pt;height:21.4pt" o:ole="">
            <v:imagedata r:id="rId23" o:title=""/>
          </v:shape>
          <o:OLEObject Type="Embed" ProgID="Equation.3" ShapeID="_x0000_i1034" DrawAspect="Content" ObjectID="_1673450627" r:id="rId2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математические ожидания (средние значения) коэффициентов целевой функции. О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граничения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записываются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в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виде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5440" w:dyaOrig="800">
          <v:shape id="_x0000_i1035" type="#_x0000_t75" style="width:332.65pt;height:48.75pt" o:ole="">
            <v:imagedata r:id="rId25" o:title=""/>
          </v:shape>
          <o:OLEObject Type="Embed" ProgID="Equation.3" ShapeID="_x0000_i1035" DrawAspect="Content" ObjectID="_1673450628" r:id="rId26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т.е. предполагается, что вероятность выполнения каждого ограничения должна быть не менее заданной (установленной)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920" w:dyaOrig="360">
          <v:shape id="_x0000_i1036" type="#_x0000_t75" style="width:61.05pt;height:23.7pt" o:ole="">
            <v:imagedata r:id="rId27" o:title=""/>
          </v:shape>
          <o:OLEObject Type="Embed" ProgID="Equation.3" ShapeID="_x0000_i1036" DrawAspect="Content" ObjectID="_1673450629" r:id="rId2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Задачу в формулировке (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3)-(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4)  называют задачей с вероятностными ограничениями.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Эту задачу можно представить в виде, аналогичном стандартной формулировке задачи математического программирования. Единственным отличием будет замена коэффициентов, входящих в ограничения, их математическими ожиданиями и появление дополнительных слагаемых, связанных с дисперсией (разбросом)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740" w:dyaOrig="380">
          <v:shape id="_x0000_i1037" type="#_x0000_t75" style="width:46.95pt;height:23.7pt" o:ole="">
            <v:imagedata r:id="rId29" o:title=""/>
          </v:shape>
          <o:OLEObject Type="Embed" ProgID="Equation.3" ShapeID="_x0000_i1037" DrawAspect="Content" ObjectID="_1673450630" r:id="rId3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-  например, из-за их непостоянства во времени.</w: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Этот, так называемый детерминированный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эквивалент задачи с вероятностными ограничениями имеет вид: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92"/>
          <w:sz w:val="28"/>
          <w:szCs w:val="28"/>
        </w:rPr>
        <w:object w:dxaOrig="5940" w:dyaOrig="1960">
          <v:shape id="_x0000_i1038" type="#_x0000_t75" style="width:339.05pt;height:111.65pt" o:ole="">
            <v:imagedata r:id="rId31" o:title=""/>
          </v:shape>
          <o:OLEObject Type="Embed" ProgID="Equation.3" ShapeID="_x0000_i1038" DrawAspect="Content" ObjectID="_1673450631" r:id="rId32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sz w:val="28"/>
          <w:szCs w:val="28"/>
        </w:rPr>
        <w:tab/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Система (5) описывает задачу нелинейного программирования, которая может быть эффективно решена с помощью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MS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Excel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Определим, какие изменения вносит в исходную модель случайный характер параметров модели.</w:t>
      </w:r>
    </w:p>
    <w:p w:rsidR="00FC7BD0" w:rsidRPr="00DB7729" w:rsidRDefault="00FC7BD0" w:rsidP="00FC7BD0">
      <w:pPr>
        <w:pStyle w:val="2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Введем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обозначение</w:t>
      </w:r>
      <w:proofErr w:type="spellEnd"/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34"/>
          <w:sz w:val="28"/>
          <w:szCs w:val="28"/>
        </w:rPr>
        <w:object w:dxaOrig="4560" w:dyaOrig="780">
          <v:shape id="_x0000_i1039" type="#_x0000_t75" style="width:284.8pt;height:48.75pt" o:ole="">
            <v:imagedata r:id="rId33" o:title=""/>
          </v:shape>
          <o:OLEObject Type="Embed" ProgID="Equation.3" ShapeID="_x0000_i1039" DrawAspect="Content" ObjectID="_1673450632" r:id="rId34"/>
        </w:object>
      </w: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>Анализ вида ограничений системы (5) показывает, что ресурсы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20" w:dyaOrig="360">
          <v:shape id="_x0000_i1040" type="#_x0000_t75" style="width:14.15pt;height:23.7pt" o:ole="">
            <v:imagedata r:id="rId35" o:title=""/>
          </v:shape>
          <o:OLEObject Type="Embed" ProgID="Equation.3" ShapeID="_x0000_i1040" DrawAspect="Content" ObjectID="_1673450633" r:id="rId36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уменьшаются на величины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 xml:space="preserve"> </w:t>
      </w:r>
      <w:r w:rsidRPr="00DB7729">
        <w:rPr>
          <w:rFonts w:ascii="Times New Roman" w:hAnsi="Times New Roman"/>
          <w:i w:val="0"/>
          <w:position w:val="-12"/>
          <w:sz w:val="28"/>
          <w:szCs w:val="28"/>
        </w:rPr>
        <w:object w:dxaOrig="240" w:dyaOrig="360">
          <v:shape id="_x0000_i1041" type="#_x0000_t75" style="width:15.95pt;height:23.7pt" o:ole="">
            <v:imagedata r:id="rId37" o:title=""/>
          </v:shape>
          <o:OLEObject Type="Embed" ProgID="Equation.3" ShapeID="_x0000_i1041" DrawAspect="Content" ObjectID="_1673450634" r:id="rId38"/>
        </w:objec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,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т.е. следствием стохастичности модели является необходимость увеличения ресурсов именно на  величину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2" type="#_x0000_t75" style="width:15.95pt;height:23.7pt" o:ole="">
            <v:imagedata r:id="rId37" o:title=""/>
          </v:shape>
          <o:OLEObject Type="Embed" ProgID="Equation.3" ShapeID="_x0000_i1042" DrawAspect="Content" ObjectID="_1673450635" r:id="rId39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(«плата за риск»). Из (6) видно, что на величины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3" type="#_x0000_t75" style="width:11.85pt;height:18.25pt" o:ole="">
            <v:imagedata r:id="rId37" o:title=""/>
          </v:shape>
          <o:OLEObject Type="Embed" ProgID="Equation.3" ShapeID="_x0000_i1043" DrawAspect="Content" ObjectID="_1673450636" r:id="rId40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влияют вероятностные характеристики параметров модели: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60" w:dyaOrig="380">
          <v:shape id="_x0000_i1044" type="#_x0000_t75" style="width:42.4pt;height:25.05pt" o:ole="">
            <v:imagedata r:id="rId41" o:title=""/>
          </v:shape>
          <o:OLEObject Type="Embed" ProgID="Equation.3" ShapeID="_x0000_i1044" DrawAspect="Content" ObjectID="_1673450637" r:id="rId42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значений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норм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расхода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>;  и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</w:p>
    <w:p w:rsidR="00FC7BD0" w:rsidRPr="00DB7729" w:rsidRDefault="00FC7BD0" w:rsidP="00FC7BD0">
      <w:pPr>
        <w:pStyle w:val="2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88" w:lineRule="auto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39" w:dyaOrig="380">
          <v:shape id="_x0000_i1045" type="#_x0000_t75" style="width:41.45pt;height:25.05pt" o:ole="">
            <v:imagedata r:id="rId43" o:title=""/>
          </v:shape>
          <o:OLEObject Type="Embed" ProgID="Equation.3" ShapeID="_x0000_i1045" DrawAspect="Content" ObjectID="_1673450638" r:id="rId44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-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дисперсии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i w:val="0"/>
          <w:sz w:val="28"/>
          <w:szCs w:val="28"/>
        </w:rPr>
        <w:t>ресурсов</w:t>
      </w:r>
      <w:proofErr w:type="spellEnd"/>
      <w:r w:rsidRPr="00DB7729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Очевидно, увеличение дисперсий приводит к необходимости увеличения «страховых запасов»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6" type="#_x0000_t75" style="width:11.85pt;height:18.25pt" o:ole="">
            <v:imagedata r:id="rId37" o:title=""/>
          </v:shape>
          <o:OLEObject Type="Embed" ProgID="Equation.3" ShapeID="_x0000_i1046" DrawAspect="Content" ObjectID="_1673450639" r:id="rId4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 Важно также, что увеличение заданных уровней вероятности выполнения ограничений (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79" w:dyaOrig="360">
          <v:shape id="_x0000_i1047" type="#_x0000_t75" style="width:14.15pt;height:18.25pt" o:ole="">
            <v:imagedata r:id="rId46" o:title=""/>
          </v:shape>
          <o:OLEObject Type="Embed" ProgID="Equation.3" ShapeID="_x0000_i1047" DrawAspect="Content" ObjectID="_1673450640" r:id="rId4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) также приводит к увеличению  </w:t>
      </w:r>
      <w:r w:rsidRPr="00DB7729">
        <w:rPr>
          <w:rFonts w:ascii="Times New Roman" w:hAnsi="Times New Roman"/>
          <w:b w:val="0"/>
          <w:i w:val="0"/>
          <w:position w:val="-12"/>
          <w:sz w:val="28"/>
          <w:szCs w:val="28"/>
        </w:rPr>
        <w:object w:dxaOrig="240" w:dyaOrig="360">
          <v:shape id="_x0000_i1048" type="#_x0000_t75" style="width:11.85pt;height:18.25pt" o:ole="">
            <v:imagedata r:id="rId37" o:title=""/>
          </v:shape>
          <o:OLEObject Type="Embed" ProgID="Equation.3" ShapeID="_x0000_i1048" DrawAspect="Content" ObjectID="_1673450641" r:id="rId48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(т.к. функция распределения вероятностей является монотонно возрастающей) – это можно считать своего рода «платой за определенность».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Предположим, что все параметры задачи изменяются ежемесячно в течение года, так что их усреднение должно проводиться именно на годовом временном периоде.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Создайте форму для расчета на рабочем листе по аналогии с Рис. 1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ab/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75375" cy="40741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ind w:firstLine="708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lastRenderedPageBreak/>
        <w:t xml:space="preserve">Рис. 1. Форма для решения задачи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ячейках строк 2-13 будут располагаться данные о ежемесячных значениях параметров задачи: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целевой функции  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320" w:dyaOrig="440">
          <v:shape id="_x0000_i1049" type="#_x0000_t75" style="width:116.2pt;height:21.85pt" o:ole="">
            <v:imagedata r:id="rId50" o:title=""/>
          </v:shape>
          <o:OLEObject Type="Embed" ProgID="Equation.3" ShapeID="_x0000_i1049" DrawAspect="Content" ObjectID="_1673450642" r:id="rId5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значения параметров норм расхода </w:t>
      </w:r>
      <w:r w:rsidRPr="00DB7729">
        <w:rPr>
          <w:rFonts w:ascii="Times New Roman" w:hAnsi="Times New Roman"/>
          <w:b w:val="0"/>
          <w:i w:val="0"/>
          <w:position w:val="-16"/>
          <w:sz w:val="28"/>
          <w:szCs w:val="28"/>
        </w:rPr>
        <w:object w:dxaOrig="3540" w:dyaOrig="460">
          <v:shape id="_x0000_i1050" type="#_x0000_t75" style="width:176.8pt;height:22.8pt" o:ole="">
            <v:imagedata r:id="rId52" o:title=""/>
          </v:shape>
          <o:OLEObject Type="Embed" ProgID="Equation.3" ShapeID="_x0000_i1050" DrawAspect="Content" ObjectID="_1673450643" r:id="rId53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, и в диапазоне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13 – ежемесячные величины ресурсов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620" w:dyaOrig="440">
          <v:shape id="_x0000_i1051" type="#_x0000_t75" style="width:31pt;height:21.85pt" o:ole="">
            <v:imagedata r:id="rId54" o:title=""/>
          </v:shape>
          <o:OLEObject Type="Embed" ProgID="Equation.3" ShapeID="_x0000_i1051" DrawAspect="Content" ObjectID="_1673450644" r:id="rId55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ячейки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введите формулы для расчета соответствующих средних значений всех параметров, 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D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18: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18 – формулы для расчета дисперсий параметров задачи (функция ДИСП). 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B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19 поместите формулу для расчета параметра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2" type="#_x0000_t75" style="width:11.85pt;height:19.15pt" o:ole="">
            <v:imagedata r:id="rId56" o:title=""/>
          </v:shape>
          <o:OLEObject Type="Embed" ProgID="Equation.3" ShapeID="_x0000_i1052" DrawAspect="Content" ObjectID="_1673450645" r:id="rId57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(НОРМСТОБР).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A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C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отведите под значения независимых переменных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1-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X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3, а формулу для целевой функции введите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H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ячеек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25 введите формулы,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 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определяющие левые части ограничений задачи: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DB7729">
        <w:rPr>
          <w:rFonts w:ascii="Times New Roman" w:hAnsi="Times New Roman"/>
          <w:b w:val="0"/>
          <w:position w:val="-78"/>
          <w:sz w:val="28"/>
          <w:szCs w:val="28"/>
        </w:rPr>
        <w:object w:dxaOrig="7880" w:dyaOrig="1680">
          <v:shape id="_x0000_i1053" type="#_x0000_t75" style="width:458.9pt;height:97.5pt" o:ole="">
            <v:imagedata r:id="rId58" o:title=""/>
          </v:shape>
          <o:OLEObject Type="Embed" ProgID="Equation.3" ShapeID="_x0000_i1053" DrawAspect="Content" ObjectID="_1673450646" r:id="rId59"/>
        </w:objec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При этом, например, в ячейку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J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23 вводится формула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</w:rPr>
        <w:t>=D16*$A$23+E16*$B$23+F16*$C$23+$B$19*(($D$18*($A$23^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</w:rPr>
        <w:t>2)+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</w:rPr>
        <w:t>$E$18*($B$23^2)+$F$18*($C$23^2)+$M$18)^0,5).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В диапазон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23: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L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25 введите ссылки на ячейки, в которых находятся рассчитанные математические ожидания ресурсов </w:t>
      </w:r>
      <w:proofErr w:type="gramStart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(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M</w:t>
      </w:r>
      <w:proofErr w:type="gramEnd"/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16,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N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16 и 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t>O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16 соответственно).</w:t>
      </w: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С помощью </w:t>
      </w:r>
      <w:r w:rsidRPr="00DB7729">
        <w:rPr>
          <w:rFonts w:ascii="Times New Roman" w:hAnsi="Times New Roman"/>
          <w:i w:val="0"/>
          <w:sz w:val="28"/>
          <w:szCs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 проведите оптимизационный расчет для варианта, численные данные для которого приведены ниже.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422900" cy="3449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  <w:r w:rsidRPr="00DB7729">
        <w:rPr>
          <w:rFonts w:ascii="Times New Roman" w:hAnsi="Times New Roman"/>
          <w:i w:val="0"/>
          <w:sz w:val="28"/>
          <w:szCs w:val="28"/>
          <w:lang w:val="ru-RU"/>
        </w:rPr>
        <w:t>Самостоятельное задание 1</w:t>
      </w:r>
      <w:r w:rsidRPr="00DB7729">
        <w:rPr>
          <w:rFonts w:ascii="Times New Roman" w:hAnsi="Times New Roman"/>
          <w:b w:val="0"/>
          <w:sz w:val="28"/>
          <w:szCs w:val="28"/>
          <w:lang w:val="ru-RU"/>
        </w:rPr>
        <w:t xml:space="preserve">. 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360" w:lineRule="auto"/>
        <w:ind w:firstLine="709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Проверьте, как сказывается на величине ЦФ изменение вероятности (надежности) </w:t>
      </w:r>
      <w:r w:rsidRPr="00DB7729">
        <w:rPr>
          <w:rFonts w:ascii="Times New Roman" w:hAnsi="Times New Roman"/>
          <w:b w:val="0"/>
          <w:i w:val="0"/>
          <w:position w:val="-14"/>
          <w:sz w:val="28"/>
          <w:szCs w:val="28"/>
        </w:rPr>
        <w:object w:dxaOrig="240" w:dyaOrig="380">
          <v:shape id="_x0000_i1054" type="#_x0000_t75" style="width:11.85pt;height:19.15pt" o:ole="">
            <v:imagedata r:id="rId56" o:title=""/>
          </v:shape>
          <o:OLEObject Type="Embed" ProgID="Equation.3" ShapeID="_x0000_i1054" DrawAspect="Content" ObjectID="_1673450647" r:id="rId61"/>
        </w:object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. Для этого последовательно проведите расчет для следующих значений </w:t>
      </w:r>
      <w:r w:rsidRPr="00DB7729">
        <w:rPr>
          <w:rFonts w:ascii="Times New Roman" w:hAnsi="Times New Roman"/>
          <w:b w:val="0"/>
          <w:i w:val="0"/>
          <w:sz w:val="28"/>
          <w:szCs w:val="28"/>
        </w:rPr>
        <w:sym w:font="Symbol" w:char="F062"/>
      </w: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 xml:space="preserve">: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8"/>
        <w:gridCol w:w="718"/>
        <w:gridCol w:w="718"/>
        <w:gridCol w:w="718"/>
        <w:gridCol w:w="717"/>
        <w:gridCol w:w="717"/>
        <w:gridCol w:w="717"/>
        <w:gridCol w:w="717"/>
        <w:gridCol w:w="608"/>
        <w:gridCol w:w="717"/>
        <w:gridCol w:w="717"/>
        <w:gridCol w:w="717"/>
        <w:gridCol w:w="846"/>
      </w:tblGrid>
      <w:tr w:rsidR="00FC7BD0" w:rsidRPr="00D00F9E" w:rsidTr="006A4B2F">
        <w:trPr>
          <w:trHeight w:val="335"/>
        </w:trPr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0,15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0,25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0,35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0,45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0,55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0,65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0,75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0,85</w:t>
            </w:r>
          </w:p>
        </w:tc>
        <w:tc>
          <w:tcPr>
            <w:tcW w:w="73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0,95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0,97</w:t>
            </w:r>
          </w:p>
        </w:tc>
        <w:tc>
          <w:tcPr>
            <w:tcW w:w="752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</w:t>
            </w:r>
          </w:p>
        </w:tc>
        <w:tc>
          <w:tcPr>
            <w:tcW w:w="846" w:type="dxa"/>
            <w:shd w:val="clear" w:color="auto" w:fill="auto"/>
          </w:tcPr>
          <w:p w:rsidR="00FC7BD0" w:rsidRPr="00D00F9E" w:rsidRDefault="00FC7BD0" w:rsidP="006A4B2F">
            <w:pPr>
              <w:pStyle w:val="2"/>
              <w:spacing w:line="288" w:lineRule="auto"/>
              <w:ind w:firstLine="0"/>
              <w:jc w:val="both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b w:val="0"/>
                <w:sz w:val="28"/>
                <w:szCs w:val="28"/>
              </w:rPr>
              <w:t>0,999</w:t>
            </w:r>
          </w:p>
        </w:tc>
      </w:tr>
    </w:tbl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sz w:val="28"/>
          <w:szCs w:val="28"/>
          <w:lang w:val="ru-RU"/>
        </w:rPr>
        <w:t>Постройте график. Должна получиться зависимость типа изображенной на Рис. 2.</w:t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  <w:r w:rsidRPr="00DB7729">
        <w:rPr>
          <w:rFonts w:ascii="Times New Roman" w:hAnsi="Times New Roman"/>
          <w:b w:val="0"/>
          <w:i w:val="0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27305</wp:posOffset>
            </wp:positionV>
            <wp:extent cx="3240405" cy="2423795"/>
            <wp:effectExtent l="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i w:val="0"/>
          <w:sz w:val="28"/>
          <w:szCs w:val="28"/>
          <w:lang w:val="ru-RU"/>
        </w:rPr>
      </w:pPr>
    </w:p>
    <w:p w:rsidR="00FC7BD0" w:rsidRPr="00DB7729" w:rsidRDefault="00FC7BD0" w:rsidP="00FC7BD0">
      <w:pPr>
        <w:pStyle w:val="2"/>
        <w:spacing w:line="288" w:lineRule="auto"/>
        <w:ind w:firstLine="0"/>
        <w:jc w:val="both"/>
        <w:rPr>
          <w:rFonts w:ascii="Times New Roman" w:hAnsi="Times New Roman"/>
          <w:b w:val="0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Рис. 2.</w:t>
      </w:r>
    </w:p>
    <w:p w:rsidR="00FC7BD0" w:rsidRPr="00DB7729" w:rsidRDefault="00FC7BD0" w:rsidP="00FC7BD0">
      <w:pPr>
        <w:spacing w:line="288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Самостоятельное задание 2. 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 теперь, что параметры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1120" w:dyaOrig="420">
          <v:shape id="_x0000_i1055" type="#_x0000_t75" style="width:56.05pt;height:20.95pt" o:ole="">
            <v:imagedata r:id="rId63" o:title=""/>
          </v:shape>
          <o:OLEObject Type="Embed" ProgID="Equation.3" ShapeID="_x0000_i1055" DrawAspect="Content" ObjectID="_1673450648" r:id="rId64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могут меняться независимо друг от друга, а параметр надежности </w:t>
      </w:r>
      <w:r w:rsidRPr="00DB7729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56" type="#_x0000_t75" style="width:14.15pt;height:18.25pt" o:ole="">
            <v:imagedata r:id="rId65" o:title=""/>
          </v:shape>
          <o:OLEObject Type="Embed" ProgID="Equation.3" ShapeID="_x0000_i1056" DrawAspect="Content" ObjectID="_1673450649" r:id="rId66"/>
        </w:objec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остается неизменным и </w:t>
      </w:r>
      <w:r w:rsidRPr="00DB7729">
        <w:rPr>
          <w:rFonts w:ascii="Times New Roman" w:hAnsi="Times New Roman"/>
          <w:sz w:val="28"/>
          <w:szCs w:val="28"/>
          <w:u w:val="single"/>
          <w:lang w:val="ru-RU"/>
        </w:rPr>
        <w:t>равным 0,9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B7729">
        <w:rPr>
          <w:rFonts w:ascii="Times New Roman" w:hAnsi="Times New Roman"/>
          <w:sz w:val="28"/>
          <w:szCs w:val="28"/>
        </w:rPr>
        <w:t>Проведите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необходимые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для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заполнения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таблицы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расчеты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B7729">
        <w:rPr>
          <w:rFonts w:ascii="Times New Roman" w:hAnsi="Times New Roman"/>
          <w:sz w:val="28"/>
          <w:szCs w:val="28"/>
        </w:rPr>
        <w:t>постройте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поверхностную</w:t>
      </w:r>
      <w:proofErr w:type="spellEnd"/>
      <w:r w:rsidRPr="00DB7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7729">
        <w:rPr>
          <w:rFonts w:ascii="Times New Roman" w:hAnsi="Times New Roman"/>
          <w:sz w:val="28"/>
          <w:szCs w:val="28"/>
        </w:rPr>
        <w:t>диаграмму</w:t>
      </w:r>
      <w:proofErr w:type="spellEnd"/>
    </w:p>
    <w:p w:rsidR="00FC7BD0" w:rsidRPr="00DB7729" w:rsidRDefault="00FC7BD0" w:rsidP="00FC7BD0">
      <w:pPr>
        <w:spacing w:line="264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"/>
        <w:gridCol w:w="1036"/>
        <w:gridCol w:w="853"/>
        <w:gridCol w:w="853"/>
        <w:gridCol w:w="853"/>
        <w:gridCol w:w="853"/>
        <w:gridCol w:w="854"/>
        <w:gridCol w:w="854"/>
        <w:gridCol w:w="961"/>
      </w:tblGrid>
      <w:tr w:rsidR="00FC7BD0" w:rsidRPr="00D00F9E" w:rsidTr="006A4B2F">
        <w:trPr>
          <w:jc w:val="center"/>
        </w:trPr>
        <w:tc>
          <w:tcPr>
            <w:tcW w:w="928" w:type="dxa"/>
            <w:vMerge w:val="restart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117" w:type="dxa"/>
            <w:gridSpan w:val="8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420">
                <v:shape id="_x0000_i1057" type="#_x0000_t75" style="width:18.25pt;height:20.95pt" o:ole="">
                  <v:imagedata r:id="rId67" o:title=""/>
                </v:shape>
                <o:OLEObject Type="Embed" ProgID="Equation.3" ShapeID="_x0000_i1057" DrawAspect="Content" ObjectID="_1673450650" r:id="rId68"/>
              </w:object>
            </w:r>
          </w:p>
        </w:tc>
      </w:tr>
      <w:tr w:rsidR="00FC7BD0" w:rsidRPr="00D00F9E" w:rsidTr="006A4B2F">
        <w:trPr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4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961" w:type="dxa"/>
            <w:shd w:val="clear" w:color="auto" w:fill="CCFFCC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 w:val="restart"/>
            <w:shd w:val="clear" w:color="auto" w:fill="auto"/>
            <w:textDirection w:val="btLr"/>
          </w:tcPr>
          <w:p w:rsidR="00FC7BD0" w:rsidRPr="00D00F9E" w:rsidRDefault="00FC7BD0" w:rsidP="006A4B2F">
            <w:pPr>
              <w:spacing w:line="288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Значения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00F9E">
              <w:rPr>
                <w:rFonts w:ascii="Times New Roman" w:hAnsi="Times New Roman"/>
                <w:sz w:val="28"/>
                <w:szCs w:val="28"/>
              </w:rPr>
              <w:t>параметра</w:t>
            </w:r>
            <w:proofErr w:type="spellEnd"/>
            <w:r w:rsidRPr="00D00F9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0F9E">
              <w:rPr>
                <w:rFonts w:ascii="Times New Roman" w:hAnsi="Times New Roman"/>
                <w:sz w:val="28"/>
                <w:szCs w:val="28"/>
              </w:rPr>
              <w:sym w:font="Symbol" w:char="F062"/>
            </w:r>
            <w:r w:rsidRPr="00D00F9E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  <w:p w:rsidR="00FC7BD0" w:rsidRPr="00D00F9E" w:rsidRDefault="00FC7BD0" w:rsidP="006A4B2F">
            <w:pPr>
              <w:spacing w:line="288" w:lineRule="auto"/>
              <w:ind w:left="113" w:right="11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0,4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0,6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0,8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0,95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C7BD0" w:rsidRPr="00D00F9E" w:rsidTr="006A4B2F">
        <w:trPr>
          <w:trHeight w:val="510"/>
          <w:jc w:val="center"/>
        </w:trPr>
        <w:tc>
          <w:tcPr>
            <w:tcW w:w="928" w:type="dxa"/>
            <w:vMerge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6" w:type="dxa"/>
            <w:shd w:val="clear" w:color="auto" w:fill="CCFFFF"/>
          </w:tcPr>
          <w:p w:rsidR="00FC7BD0" w:rsidRPr="00D00F9E" w:rsidRDefault="00FC7BD0" w:rsidP="006A4B2F">
            <w:pPr>
              <w:spacing w:line="288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0F9E">
              <w:rPr>
                <w:rFonts w:ascii="Times New Roman" w:hAnsi="Times New Roman"/>
                <w:sz w:val="28"/>
                <w:szCs w:val="28"/>
              </w:rPr>
              <w:t>0,99</w:t>
            </w: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3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4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61" w:type="dxa"/>
            <w:shd w:val="clear" w:color="auto" w:fill="auto"/>
          </w:tcPr>
          <w:p w:rsidR="00FC7BD0" w:rsidRPr="00D00F9E" w:rsidRDefault="00FC7BD0" w:rsidP="006A4B2F">
            <w:pPr>
              <w:spacing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C7BD0" w:rsidRPr="00DB7729" w:rsidRDefault="00FC7BD0" w:rsidP="00FC7BD0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7C3DB5" w:rsidRDefault="00FC7BD0" w:rsidP="00FC7BD0">
      <w:r w:rsidRPr="00DB7729">
        <w:rPr>
          <w:rFonts w:ascii="Times New Roman" w:hAnsi="Times New Roman"/>
          <w:lang w:val="ru-RU"/>
        </w:rPr>
        <w:br w:type="page"/>
      </w:r>
    </w:p>
    <w:sectPr w:rsidR="007C3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9BA"/>
    <w:multiLevelType w:val="hybridMultilevel"/>
    <w:tmpl w:val="4C8E41B0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D0"/>
    <w:rsid w:val="00596231"/>
    <w:rsid w:val="00784D21"/>
    <w:rsid w:val="00AD3EB3"/>
    <w:rsid w:val="00FC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  <w14:docId w14:val="3591847F"/>
  <w15:chartTrackingRefBased/>
  <w15:docId w15:val="{09EC1721-B511-49D5-80F3-2DD842AA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BD0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FC7BD0"/>
    <w:pPr>
      <w:spacing w:line="312" w:lineRule="auto"/>
      <w:ind w:firstLine="720"/>
      <w:jc w:val="center"/>
    </w:pPr>
    <w:rPr>
      <w:b/>
      <w:i/>
      <w:iCs/>
      <w:sz w:val="36"/>
      <w:szCs w:val="20"/>
    </w:rPr>
  </w:style>
  <w:style w:type="character" w:customStyle="1" w:styleId="20">
    <w:name w:val="Основной текст с отступом 2 Знак"/>
    <w:basedOn w:val="a0"/>
    <w:link w:val="2"/>
    <w:rsid w:val="00FC7BD0"/>
    <w:rPr>
      <w:rFonts w:ascii="Calibri" w:eastAsia="Times New Roman" w:hAnsi="Calibri" w:cs="Times New Roman"/>
      <w:b/>
      <w:i/>
      <w:iCs/>
      <w:sz w:val="36"/>
      <w:szCs w:val="20"/>
      <w:lang w:val="en-US" w:bidi="en-US"/>
    </w:rPr>
  </w:style>
  <w:style w:type="paragraph" w:customStyle="1" w:styleId="21">
    <w:name w:val="заголовок 2"/>
    <w:basedOn w:val="a"/>
    <w:next w:val="a"/>
    <w:rsid w:val="00FC7BD0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2.bin"/><Relationship Id="rId5" Type="http://schemas.openxmlformats.org/officeDocument/2006/relationships/image" Target="media/image1.wmf"/><Relationship Id="rId61" Type="http://schemas.openxmlformats.org/officeDocument/2006/relationships/oleObject" Target="embeddings/oleObject30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image" Target="media/image25.wmf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customXml" Target="../customXml/item2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png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3.wmf"/><Relationship Id="rId60" Type="http://schemas.openxmlformats.org/officeDocument/2006/relationships/image" Target="media/image27.png"/><Relationship Id="rId65" Type="http://schemas.openxmlformats.org/officeDocument/2006/relationships/image" Target="media/image30.wmf"/><Relationship Id="rId73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" Type="http://schemas.openxmlformats.org/officeDocument/2006/relationships/image" Target="media/image2.wmf"/><Relationship Id="rId7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DDB31E-AE14-461E-908D-73745BF0F5DB}"/>
</file>

<file path=customXml/itemProps2.xml><?xml version="1.0" encoding="utf-8"?>
<ds:datastoreItem xmlns:ds="http://schemas.openxmlformats.org/officeDocument/2006/customXml" ds:itemID="{944197FF-29EB-4EA8-9648-722D8AF5D7B5}"/>
</file>

<file path=customXml/itemProps3.xml><?xml version="1.0" encoding="utf-8"?>
<ds:datastoreItem xmlns:ds="http://schemas.openxmlformats.org/officeDocument/2006/customXml" ds:itemID="{EF579BC8-6526-4DCE-8AA5-BD31F44A9F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2021-01-15T11:26:00Z</dcterms:created>
  <dcterms:modified xsi:type="dcterms:W3CDTF">2021-01-29T15:37:00Z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