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7C1EF46B" w:rsidR="0063743D" w:rsidRDefault="009A2B69">
      <w:r w:rsidRPr="009A2B69">
        <w:t>La inteligencia artificial (IA) busca simular procesos de la inteligencia humana en sistemas computacionales. Incluye áreas como aprendizaje automático, reconocimiento de patrones y razonamiento automatizado. La IA permite a las máquinas interpretar datos complejos, tomar decisiones y mejorar su rendimiento con el tiempo. Se aplica en asistentes virtuales, vehículos autónomos y sistemas de recomendación. Además, plantea retos éticos: privacidad, sesgos y responsabilidad. Su avance depende de grandes volúmenes de datos, potencia de cómputo y algoritmos cada vez más sofisticados.</w:t>
      </w:r>
    </w:p>
    <w:sectPr w:rsidR="00637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A75C8"/>
    <w:rsid w:val="001D0FD0"/>
    <w:rsid w:val="002A066E"/>
    <w:rsid w:val="0063743D"/>
    <w:rsid w:val="009A2B69"/>
    <w:rsid w:val="009A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1</cp:revision>
  <dcterms:created xsi:type="dcterms:W3CDTF">2025-05-24T20:57:00Z</dcterms:created>
  <dcterms:modified xsi:type="dcterms:W3CDTF">2025-05-24T20:59:00Z</dcterms:modified>
</cp:coreProperties>
</file>