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8136"/>
      </w:tblGrid>
      <w:tr>
        <w:trPr>
          <w:cantSplit/>
          <w:tblHeader/>
        </w:trPr>
        <w:tc>
          <w:tcPr>
            <w:tcW w:type="dxa" w:w="1656"/>
            <w:vAlign w:val="center"/>
            <w:shd w:fill="243746"/>
            <w:tcMar>
              <w:top w:w="90" w:type="dxa"/>
              <w:left w:w="90" w:type="dxa"/>
              <w:bottom w:w="90" w:type="dxa"/>
              <w:right w:w="90" w:type="dxa"/>
            </w:tcMar>
          </w:tcPr>
          <w:p>
            <w:pPr>
              <w:spacing w:after="40" w:before="40"/>
            </w:pPr>
            <w:r>
              <w:rPr>
                <w:b/>
                <w:color w:val="FFFFFF"/>
                <w:sz w:val="20"/>
              </w:rPr>
              <w:t>Champ</w:t>
            </w:r>
          </w:p>
        </w:tc>
        <w:tc>
          <w:tcPr>
            <w:tcW w:type="dxa" w:w="8136"/>
            <w:vAlign w:val="center"/>
            <w:shd w:fill="243746"/>
            <w:tcMar>
              <w:top w:w="90" w:type="dxa"/>
              <w:left w:w="90" w:type="dxa"/>
              <w:bottom w:w="90" w:type="dxa"/>
              <w:right w:w="90" w:type="dxa"/>
            </w:tcMar>
          </w:tcPr>
          <w:p>
            <w:pPr>
              <w:spacing w:after="40" w:before="40"/>
            </w:pPr>
            <w:r>
              <w:rPr>
                <w:b/>
                <w:color w:val="FFFFFF"/>
                <w:sz w:val="20"/>
              </w:rPr>
              <w:t>Valeur</w:t>
            </w:r>
          </w:p>
        </w:tc>
      </w:tr>
      <w:tr>
        <w:trPr>
          <w:cantSplit/>
        </w:trPr>
        <w:tc>
          <w:tcPr>
            <w:tcW w:type="dxa" w:w="1656"/>
            <w:vAlign w:val="center"/>
            <w:shd w:fill="FFFFFF"/>
            <w:tcMar>
              <w:top w:w="90" w:type="dxa"/>
              <w:left w:w="90" w:type="dxa"/>
              <w:bottom w:w="90" w:type="dxa"/>
              <w:right w:w="90" w:type="dxa"/>
            </w:tcMar>
          </w:tcPr>
          <w:p>
            <w:pPr>
              <w:spacing w:after="40" w:before="40"/>
            </w:pPr>
            <w:r>
              <w:rPr>
                <w:color w:val="000000"/>
                <w:sz w:val="20"/>
              </w:rPr>
              <w:t>Titre</w:t>
            </w:r>
          </w:p>
        </w:tc>
        <w:tc>
          <w:tcPr>
            <w:tcW w:type="dxa" w:w="8136"/>
            <w:vAlign w:val="center"/>
            <w:shd w:fill="FFFFFF"/>
            <w:tcMar>
              <w:top w:w="90" w:type="dxa"/>
              <w:left w:w="90" w:type="dxa"/>
              <w:bottom w:w="90" w:type="dxa"/>
              <w:right w:w="90" w:type="dxa"/>
            </w:tcMar>
          </w:tcPr>
          <w:p>
            <w:pPr>
              <w:spacing w:after="40" w:before="40"/>
            </w:pPr>
            <w:r>
              <w:rPr>
                <w:color w:val="000000"/>
                <w:sz w:val="20"/>
              </w:rPr>
              <w:t>Cyberharcèlement : que faire quand son enfant est visé ?</w:t>
            </w:r>
          </w:p>
        </w:tc>
      </w:tr>
      <w:tr>
        <w:trPr>
          <w:cantSplit/>
        </w:trPr>
        <w:tc>
          <w:tcPr>
            <w:tcW w:type="dxa" w:w="1656"/>
            <w:vAlign w:val="center"/>
            <w:shd w:fill="F4F6F7"/>
            <w:tcMar>
              <w:top w:w="90" w:type="dxa"/>
              <w:left w:w="90" w:type="dxa"/>
              <w:bottom w:w="90" w:type="dxa"/>
              <w:right w:w="90" w:type="dxa"/>
            </w:tcMar>
          </w:tcPr>
          <w:p>
            <w:pPr>
              <w:spacing w:after="40" w:before="40"/>
            </w:pPr>
            <w:r>
              <w:rPr>
                <w:color w:val="000000"/>
                <w:sz w:val="20"/>
              </w:rPr>
              <w:t>Slug</w:t>
            </w:r>
          </w:p>
        </w:tc>
        <w:tc>
          <w:tcPr>
            <w:tcW w:type="dxa" w:w="8136"/>
            <w:vAlign w:val="center"/>
            <w:shd w:fill="F4F6F7"/>
            <w:tcMar>
              <w:top w:w="90" w:type="dxa"/>
              <w:left w:w="90" w:type="dxa"/>
              <w:bottom w:w="90" w:type="dxa"/>
              <w:right w:w="90" w:type="dxa"/>
            </w:tcMar>
          </w:tcPr>
          <w:p>
            <w:pPr>
              <w:spacing w:after="40" w:before="40"/>
            </w:pPr>
            <w:r>
              <w:rPr>
                <w:color w:val="000000"/>
                <w:sz w:val="20"/>
              </w:rPr>
              <w:t>cyberharcelement-signaux-faibles</w:t>
            </w:r>
          </w:p>
        </w:tc>
      </w:tr>
      <w:tr>
        <w:trPr>
          <w:cantSplit/>
        </w:trPr>
        <w:tc>
          <w:tcPr>
            <w:tcW w:type="dxa" w:w="1656"/>
            <w:vAlign w:val="center"/>
            <w:shd w:fill="FFFFFF"/>
            <w:tcMar>
              <w:top w:w="90" w:type="dxa"/>
              <w:left w:w="90" w:type="dxa"/>
              <w:bottom w:w="90" w:type="dxa"/>
              <w:right w:w="90" w:type="dxa"/>
            </w:tcMar>
          </w:tcPr>
          <w:p>
            <w:pPr>
              <w:spacing w:after="40" w:before="40"/>
            </w:pPr>
            <w:r>
              <w:rPr>
                <w:color w:val="000000"/>
                <w:sz w:val="20"/>
              </w:rPr>
              <w:t>Catégorie</w:t>
            </w:r>
          </w:p>
        </w:tc>
        <w:tc>
          <w:tcPr>
            <w:tcW w:type="dxa" w:w="8136"/>
            <w:vAlign w:val="center"/>
            <w:shd w:fill="FFFFFF"/>
            <w:tcMar>
              <w:top w:w="90" w:type="dxa"/>
              <w:left w:w="90" w:type="dxa"/>
              <w:bottom w:w="90" w:type="dxa"/>
              <w:right w:w="90" w:type="dxa"/>
            </w:tcMar>
          </w:tcPr>
          <w:p>
            <w:pPr>
              <w:spacing w:after="40" w:before="40"/>
            </w:pPr>
            <w:r>
              <w:rPr>
                <w:color w:val="000000"/>
                <w:sz w:val="20"/>
              </w:rPr>
              <w:t>parentalite-numerique</w:t>
            </w:r>
          </w:p>
        </w:tc>
      </w:tr>
      <w:tr>
        <w:trPr>
          <w:cantSplit/>
        </w:trPr>
        <w:tc>
          <w:tcPr>
            <w:tcW w:type="dxa" w:w="1656"/>
            <w:vAlign w:val="center"/>
            <w:shd w:fill="F4F6F7"/>
            <w:tcMar>
              <w:top w:w="90" w:type="dxa"/>
              <w:left w:w="90" w:type="dxa"/>
              <w:bottom w:w="90" w:type="dxa"/>
              <w:right w:w="90" w:type="dxa"/>
            </w:tcMar>
          </w:tcPr>
          <w:p>
            <w:pPr>
              <w:spacing w:after="40" w:before="40"/>
            </w:pPr>
            <w:r>
              <w:rPr>
                <w:color w:val="000000"/>
                <w:sz w:val="20"/>
              </w:rPr>
              <w:t>Auteur</w:t>
            </w:r>
          </w:p>
        </w:tc>
        <w:tc>
          <w:tcPr>
            <w:tcW w:type="dxa" w:w="8136"/>
            <w:vAlign w:val="center"/>
            <w:shd w:fill="F4F6F7"/>
            <w:tcMar>
              <w:top w:w="90" w:type="dxa"/>
              <w:left w:w="90" w:type="dxa"/>
              <w:bottom w:w="90" w:type="dxa"/>
              <w:right w:w="90" w:type="dxa"/>
            </w:tcMar>
          </w:tcPr>
          <w:p>
            <w:pPr>
              <w:spacing w:after="40" w:before="40"/>
            </w:pPr>
            <w:r>
              <w:rPr>
                <w:color w:val="000000"/>
                <w:sz w:val="20"/>
              </w:rPr>
              <w:t>Totem Avisé</w:t>
            </w:r>
          </w:p>
        </w:tc>
      </w:tr>
      <w:tr>
        <w:trPr>
          <w:cantSplit/>
        </w:trPr>
        <w:tc>
          <w:tcPr>
            <w:tcW w:type="dxa" w:w="1656"/>
            <w:vAlign w:val="center"/>
            <w:shd w:fill="FFFFFF"/>
            <w:tcMar>
              <w:top w:w="90" w:type="dxa"/>
              <w:left w:w="90" w:type="dxa"/>
              <w:bottom w:w="90" w:type="dxa"/>
              <w:right w:w="90" w:type="dxa"/>
            </w:tcMar>
          </w:tcPr>
          <w:p>
            <w:pPr>
              <w:spacing w:after="40" w:before="40"/>
            </w:pPr>
            <w:r>
              <w:rPr>
                <w:color w:val="000000"/>
                <w:sz w:val="20"/>
              </w:rPr>
              <w:t>Résumé</w:t>
            </w:r>
          </w:p>
        </w:tc>
        <w:tc>
          <w:tcPr>
            <w:tcW w:type="dxa" w:w="8136"/>
            <w:vAlign w:val="center"/>
            <w:shd w:fill="FFFFFF"/>
            <w:tcMar>
              <w:top w:w="90" w:type="dxa"/>
              <w:left w:w="90" w:type="dxa"/>
              <w:bottom w:w="90" w:type="dxa"/>
              <w:right w:w="90" w:type="dxa"/>
            </w:tcMar>
          </w:tcPr>
          <w:p>
            <w:pPr>
              <w:spacing w:after="40" w:before="40"/>
            </w:pPr>
            <w:r>
              <w:rPr>
                <w:color w:val="000000"/>
                <w:sz w:val="20"/>
              </w:rPr>
              <w:t>Écoutez l'enfant, gardez les éléments utiles et demandez de l'aide. En France, le 3018 accompagne les familles face aux violences numériques.</w:t>
            </w:r>
          </w:p>
        </w:tc>
      </w:tr>
      <w:tr>
        <w:trPr>
          <w:cantSplit/>
        </w:trPr>
        <w:tc>
          <w:tcPr>
            <w:tcW w:type="dxa" w:w="1656"/>
            <w:vAlign w:val="center"/>
            <w:shd w:fill="F4F6F7"/>
            <w:tcMar>
              <w:top w:w="90" w:type="dxa"/>
              <w:left w:w="90" w:type="dxa"/>
              <w:bottom w:w="90" w:type="dxa"/>
              <w:right w:w="90" w:type="dxa"/>
            </w:tcMar>
          </w:tcPr>
          <w:p>
            <w:pPr>
              <w:spacing w:after="40" w:before="40"/>
            </w:pPr>
            <w:r>
              <w:rPr>
                <w:color w:val="000000"/>
                <w:sz w:val="20"/>
              </w:rPr>
              <w:t>Titre SEO</w:t>
            </w:r>
          </w:p>
        </w:tc>
        <w:tc>
          <w:tcPr>
            <w:tcW w:type="dxa" w:w="8136"/>
            <w:vAlign w:val="center"/>
            <w:shd w:fill="F4F6F7"/>
            <w:tcMar>
              <w:top w:w="90" w:type="dxa"/>
              <w:left w:w="90" w:type="dxa"/>
              <w:bottom w:w="90" w:type="dxa"/>
              <w:right w:w="90" w:type="dxa"/>
            </w:tcMar>
          </w:tcPr>
          <w:p>
            <w:pPr>
              <w:spacing w:after="40" w:before="40"/>
            </w:pPr>
            <w:r>
              <w:rPr>
                <w:color w:val="000000"/>
                <w:sz w:val="20"/>
              </w:rPr>
              <w:t>Cyberharcèlement enfant — signes et premiers gestes</w:t>
            </w:r>
          </w:p>
        </w:tc>
      </w:tr>
      <w:tr>
        <w:trPr>
          <w:cantSplit/>
        </w:trPr>
        <w:tc>
          <w:tcPr>
            <w:tcW w:type="dxa" w:w="1656"/>
            <w:vAlign w:val="center"/>
            <w:shd w:fill="FFFFFF"/>
            <w:tcMar>
              <w:top w:w="90" w:type="dxa"/>
              <w:left w:w="90" w:type="dxa"/>
              <w:bottom w:w="90" w:type="dxa"/>
              <w:right w:w="90" w:type="dxa"/>
            </w:tcMar>
          </w:tcPr>
          <w:p>
            <w:pPr>
              <w:spacing w:after="40" w:before="40"/>
            </w:pPr>
            <w:r>
              <w:rPr>
                <w:color w:val="000000"/>
                <w:sz w:val="20"/>
              </w:rPr>
              <w:t>Description SEO</w:t>
            </w:r>
          </w:p>
        </w:tc>
        <w:tc>
          <w:tcPr>
            <w:tcW w:type="dxa" w:w="8136"/>
            <w:vAlign w:val="center"/>
            <w:shd w:fill="FFFFFF"/>
            <w:tcMar>
              <w:top w:w="90" w:type="dxa"/>
              <w:left w:w="90" w:type="dxa"/>
              <w:bottom w:w="90" w:type="dxa"/>
              <w:right w:w="90" w:type="dxa"/>
            </w:tcMar>
          </w:tcPr>
          <w:p>
            <w:pPr>
              <w:spacing w:after="40" w:before="40"/>
            </w:pPr>
            <w:r>
              <w:rPr>
                <w:color w:val="000000"/>
                <w:sz w:val="20"/>
              </w:rPr>
              <w:t>Les signes qui méritent une conversation, quoi conserver, un message à adapter pour l'école et les contacts utiles en France, dont le 3018.</w:t>
            </w:r>
          </w:p>
        </w:tc>
      </w:tr>
    </w:tbl>
    <w:p>
      <w:pPr>
        <w:pStyle w:val="Heading1"/>
      </w:pPr>
      <w:r>
        <w:t>Cyberharcèlement : que faire quand son enfant est visé ?</w:t>
      </w:r>
    </w:p>
    <w:p>
      <w:pPr/>
      <w:r>
        <w:t>Votre enfant change d'humeur après un message. Il ne veut plus aller à une activité qu'il aimait. Ou il vous montre enfin ce qui circule dans un groupe depuis plusieurs jours.</w:t>
      </w:r>
    </w:p>
    <w:p>
      <w:pPr/>
      <w:r>
        <w:t>Vous n'avez pas besoin d'avoir tout compris pour commencer à l'aider. Écoutez ce qu'il raconte, dites-lui que vous prenez la situation au sérieux et cherchez avec lui le prochain adulte à contacter.</w:t>
      </w:r>
    </w:p>
    <w:p>
      <w:pPr/>
      <w:r>
        <w:t xml:space="preserve">En France, le </w:t>
      </w:r>
      <w:r>
        <w:rPr>
          <w:b/>
        </w:rPr>
        <w:t>3018</w:t>
      </w:r>
      <w:r>
        <w:t xml:space="preserve"> accompagne les jeunes et les familles face au harcèlement et aux violences numériques. Le service est gratuit, anonyme et confidentiel, tous les jours de 9 h à 23 h, par téléphone et via son application. Vous pouvez appeler avec un doute, sans attendre de savoir qualifier juridiquement les faits. </w:t>
      </w:r>
      <w:hyperlink r:id="rId9">
        <w:r>
          <w:rPr>
            <w:color w:val="205C77"/>
          </w:rPr>
          <w:t>Contacter le 3018</w:t>
        </w:r>
      </w:hyperlink>
      <w:r>
        <w:t>.</w:t>
      </w:r>
    </w:p>
    <w:p>
      <w:pPr>
        <w:pStyle w:val="Heading2"/>
      </w:pPr>
      <w:r>
        <w:t>Les changements qui méritent une conversation</w:t>
      </w:r>
    </w:p>
    <w:p>
      <w:pPr/>
      <w:r>
        <w:t>Un écran refermé à votre arrivée ne prouve rien. Un adolescent a aussi besoin d'intimité. Ce qui mérite votre attention, c'est un changement qui dure, plusieurs signes qui se cumulent ou une réaction liée à certains échanges.</w:t>
      </w:r>
    </w:p>
    <w:p>
      <w:pPr/>
      <w:r>
        <w:t>L'enfant peut éviter un groupe, une activité ou une personne sans réussir à expliquer pourquoi. Il peut devenir très inquiet à chaque notification, vérifier son téléphone pendant la nuit, vouloir supprimer ses photos ou demander brusquement à changer d'établissement.</w:t>
      </w:r>
    </w:p>
    <w:p>
      <w:pPr/>
      <w:r>
        <w:t>Des troubles du sommeil, une fatigue inhabituelle, des maux de ventre ou un retrait peuvent avoir de nombreuses causes. Ils justifient de prendre des nouvelles et, s'ils persistent, de demander un avis médical. Ne cherchez pas à établir seul un diagnostic à partir d'une liste.</w:t>
      </w:r>
    </w:p>
    <w:p>
      <w:pPr/>
      <w:r>
        <w:t>Commencez par ce que vous avez observé : « Depuis quelques jours, tu sembles inquiet quand ce groupe t'écrit. Est-ce qu'il se passe quelque chose ? » Puis laissez du temps pour répondre.</w:t>
      </w:r>
    </w:p>
    <w:p>
      <w:pPr>
        <w:pStyle w:val="Heading2"/>
      </w:pPr>
      <w:r>
        <w:t>Quand l'enfant commence à raconter</w:t>
      </w:r>
    </w:p>
    <w:p>
      <w:pPr/>
      <w:r>
        <w:t>Choisissez un endroit où vous pouvez l'écouter. Évitez de répondre immédiatement à sa place ou de contacter les autres parents dans la colère.</w:t>
      </w:r>
    </w:p>
    <w:p>
      <w:pPr/>
      <w:r>
        <w:t>Quelques phrases peuvent aider :</w:t>
      </w:r>
    </w:p>
    <w:p>
      <w:pPr>
        <w:numPr>
          <w:ilvl w:val="0"/>
          <w:numId w:val="1003"/>
        </w:numPr>
        <w:spacing w:after="80"/>
      </w:pPr>
      <w:r>
        <w:t>« Merci de m'en avoir parlé. »</w:t>
      </w:r>
    </w:p>
    <w:p>
      <w:pPr>
        <w:numPr>
          <w:ilvl w:val="0"/>
          <w:numId w:val="1003"/>
        </w:numPr>
        <w:spacing w:after="80"/>
      </w:pPr>
      <w:r>
        <w:t>« Ce qu'on te fait subir n'est pas de ta faute. »</w:t>
      </w:r>
    </w:p>
    <w:p>
      <w:pPr>
        <w:numPr>
          <w:ilvl w:val="0"/>
          <w:numId w:val="1003"/>
        </w:numPr>
        <w:spacing w:after="80"/>
      </w:pPr>
      <w:r>
        <w:t>« Tu peux me montrer ce que tu veux, on regardera ensemble. »</w:t>
      </w:r>
    </w:p>
    <w:p>
      <w:pPr>
        <w:numPr>
          <w:ilvl w:val="0"/>
          <w:numId w:val="1003"/>
        </w:numPr>
        <w:spacing w:after="80"/>
      </w:pPr>
      <w:r>
        <w:t>« Je vais t'expliquer les démarches que je propose. »</w:t>
      </w:r>
    </w:p>
    <w:p>
      <w:pPr/>
      <w:r>
        <w:t>Ne promettez pas de ne rien dire à personne. Vous aurez peut-être besoin de l'école, d'un professionnel ou des autorités pour le protéger. Vous pouvez en revanche lui expliquer qui sera contacté et pourquoi.</w:t>
      </w:r>
    </w:p>
    <w:p>
      <w:pPr/>
      <w:r>
        <w:t>S'il a lui-même répondu, insulté quelqu'un ou envoyé une image qu'il regrette, cela ne retire rien à son droit d'être aidé. Vous pourrez reparler de ses actes une fois la situation prise en charge.</w:t>
      </w:r>
    </w:p>
    <w:p>
      <w:pPr>
        <w:pStyle w:val="Heading2"/>
      </w:pPr>
      <w:r>
        <w:t>Conserver les éléments sans les faire circuler</w:t>
      </w:r>
    </w:p>
    <w:p>
      <w:pPr/>
      <w:r>
        <w:t xml:space="preserve">Avant de supprimer des messages ou de fermer un compte, gardez les renseignements utiles : dates, pseudonymes, adresses des contenus, nom du groupe, captures des échanges. Conservez le contexte, pas seulement une phrase isolée. </w:t>
      </w:r>
      <w:hyperlink r:id="rId22">
        <w:r>
          <w:rPr>
            <w:color w:val="205C77"/>
          </w:rPr>
          <w:t>Service-Public détaille les preuves et les démarches possibles</w:t>
        </w:r>
      </w:hyperlink>
      <w:r>
        <w:t>.</w:t>
      </w:r>
    </w:p>
    <w:p>
      <w:pPr/>
      <w:r>
        <w:t>Vous pouvez tenir une note courte :</w:t>
      </w:r>
    </w:p>
    <w:p>
      <w:pPr>
        <w:numPr>
          <w:ilvl w:val="0"/>
          <w:numId w:val="1003"/>
        </w:numPr>
        <w:spacing w:after="80"/>
      </w:pPr>
      <w:r>
        <w:t>Date et plateforme.</w:t>
      </w:r>
    </w:p>
    <w:p>
      <w:pPr>
        <w:numPr>
          <w:ilvl w:val="0"/>
          <w:numId w:val="1003"/>
        </w:numPr>
        <w:spacing w:after="80"/>
      </w:pPr>
      <w:r>
        <w:t>Ce qui a été publié ou envoyé.</w:t>
      </w:r>
    </w:p>
    <w:p>
      <w:pPr>
        <w:numPr>
          <w:ilvl w:val="0"/>
          <w:numId w:val="1003"/>
        </w:numPr>
        <w:spacing w:after="80"/>
      </w:pPr>
      <w:r>
        <w:t>Compte ou groupe concerné.</w:t>
      </w:r>
    </w:p>
    <w:p>
      <w:pPr>
        <w:numPr>
          <w:ilvl w:val="0"/>
          <w:numId w:val="1003"/>
        </w:numPr>
        <w:spacing w:after="80"/>
      </w:pPr>
      <w:r>
        <w:t>Conséquence observée ou racontée par l'enfant.</w:t>
      </w:r>
    </w:p>
    <w:p>
      <w:pPr>
        <w:numPr>
          <w:ilvl w:val="0"/>
          <w:numId w:val="1003"/>
        </w:numPr>
        <w:spacing w:after="80"/>
      </w:pPr>
      <w:r>
        <w:t>Démarche déjà faite et réponse reçue.</w:t>
      </w:r>
    </w:p>
    <w:p>
      <w:pPr/>
      <w:r>
        <w:t>Évitez de transférer les contenus humiliants dans un groupe de parents. Cela peut prolonger leur diffusion. Si des images intimes d'un mineur sont en cause, ne les repartagez pas ; demandez au 3018 ou aux forces de l'ordre comment procéder.</w:t>
      </w:r>
    </w:p>
    <w:p>
      <w:pPr/>
      <w:r>
        <w:t>Bloquer un compte et signaler un contenu peuvent limiter les contacts. Ces démarches ne remplacent pas l'aide nécessaire si la situation continue.</w:t>
      </w:r>
    </w:p>
    <w:p>
      <w:pPr>
        <w:pStyle w:val="Heading2"/>
      </w:pPr>
      <w:r>
        <w:t>Écrire à l'établissement scolaire</w:t>
      </w:r>
    </w:p>
    <w:p>
      <w:pPr/>
      <w:r>
        <w:t>Si des élèves sont impliqués, informez l'établissement, même si les échanges ont lieu hors des cours. Décrivez les faits connus, sans présenter une supposition comme une certitude.</w:t>
      </w:r>
    </w:p>
    <w:p>
      <w:pPr/>
      <w:r>
        <w:t>Voici un message à adapter :</w:t>
      </w:r>
    </w:p>
    <w:p>
      <w:pPr/>
      <w:r>
        <w:t>« Bonjour, mon enfant m'a signalé des messages et publications qui le visent sur [plateforme ou groupe]. Les faits dont j'ai connaissance datent de [dates]. J'ai conservé les éléments disponibles. Il m'indique que cela affecte [son sommeil, sa venue en classe, ses relations…]. Je souhaite un échange rapide pour convenir des mesures de protection et du suivi. Pouvez-vous me préciser à qui transmettre ces éléments et quand nous pourrons faire le point ? »</w:t>
      </w:r>
    </w:p>
    <w:p>
      <w:pPr/>
      <w:r>
        <w:t>Utilisez le canal officiel de l'établissement pour les informations personnelles. Gardez une copie du message et demandez un interlocuteur identifié ainsi qu'une date de suivi.</w:t>
      </w:r>
    </w:p>
    <w:p>
      <w:pPr/>
      <w:r>
        <w:t>Le 3018 peut vous accompagner dans ces démarches. Un signalement ou une plainte reste également possible auprès des forces de l'ordre ; l'accord de l'auteur présumé n'est pas nécessaire pour demander de l'aide.</w:t>
      </w:r>
    </w:p>
    <w:p>
      <w:pPr>
        <w:pStyle w:val="Heading2"/>
      </w:pPr>
      <w:r>
        <w:t>En cas de danger immédiat</w:t>
      </w:r>
    </w:p>
    <w:p>
      <w:pPr/>
      <w:r>
        <w:t xml:space="preserve">Si votre enfant parle de se faire du mal, prenez ses propos au sérieux. En France, le </w:t>
      </w:r>
      <w:r>
        <w:rPr>
          <w:b/>
        </w:rPr>
        <w:t>3114</w:t>
      </w:r>
      <w:r>
        <w:t xml:space="preserve">, numéro national de prévention du suicide, répond aussi à l'entourage, gratuitement, 24 h sur 24 et 7 jours sur 7. En cas d'urgence vitale ou de passage à l'acte imminent, appelez le </w:t>
      </w:r>
      <w:r>
        <w:rPr>
          <w:b/>
        </w:rPr>
        <w:t>15</w:t>
      </w:r>
      <w:r>
        <w:t xml:space="preserve">. </w:t>
      </w:r>
      <w:hyperlink r:id="rId10">
        <w:r>
          <w:rPr>
            <w:color w:val="205C77"/>
          </w:rPr>
          <w:t>Repères et contacts</w:t>
        </w:r>
      </w:hyperlink>
      <w:r>
        <w:t xml:space="preserve">, </w:t>
      </w:r>
      <w:hyperlink r:id="rId11">
        <w:r>
          <w:rPr>
            <w:color w:val="205C77"/>
          </w:rPr>
          <w:t>conduite en situation de crise</w:t>
        </w:r>
      </w:hyperlink>
      <w:r>
        <w:t>.</w:t>
      </w:r>
    </w:p>
    <w:p>
      <w:pPr/>
      <w:r>
        <w:t>Ces numéros concernent la France. Ailleurs, contactez les services locaux d'urgence et d'aide aux jeunes.</w:t>
      </w:r>
    </w:p>
    <w:p>
      <w:pPr>
        <w:pStyle w:val="Heading2"/>
      </w:pPr>
      <w:r>
        <w:t>Après le premier signalement</w:t>
      </w:r>
    </w:p>
    <w:p>
      <w:pPr/>
      <w:r>
        <w:t>Revenez vers l'enfant. Demandez si les messages ont cessé, si un autre compte a pris le relais et comment se passent les moments à l'école. Le retrait d'un contenu n'efface pas forcément ce qu'il a vécu.</w:t>
      </w:r>
    </w:p>
    <w:p>
      <w:pPr/>
      <w:r>
        <w:t>Gardez aussi les activités et les personnes qui lui font du bien. Il ne devrait pas avoir à disparaître de toute vie sociale pour échapper à ceux qui le harcèlent.</w:t>
      </w:r>
    </w:p>
    <w:p>
      <w:pPr/>
      <w:r>
        <w:t>Avant même qu'un problème arrive, vous pouvez enregistrer le 3018 ensemble et montrer comment bloquer ou signaler un compte. C'est une conversation utile à avoir un jour ordinaire, quand personne n'est encore inquiet.</w:t>
      </w:r>
    </w:p>
    <w:p>
      <w:pPr>
        <w:pStyle w:val="Heading2"/>
      </w:pPr>
      <w:r>
        <w:t>Sources</w:t>
      </w:r>
    </w:p>
    <w:p>
      <w:pPr>
        <w:numPr>
          <w:ilvl w:val="0"/>
          <w:numId w:val="1003"/>
        </w:numPr>
        <w:spacing w:after="80"/>
      </w:pPr>
      <w:hyperlink r:id="rId9">
        <w:r>
          <w:rPr>
            <w:color w:val="205C77"/>
          </w:rPr>
          <w:t>3018 — Contacts et accompagnement</w:t>
        </w:r>
      </w:hyperlink>
    </w:p>
    <w:p>
      <w:pPr>
        <w:numPr>
          <w:ilvl w:val="0"/>
          <w:numId w:val="1003"/>
        </w:numPr>
        <w:spacing w:after="80"/>
      </w:pPr>
      <w:hyperlink r:id="rId22">
        <w:r>
          <w:rPr>
            <w:color w:val="205C77"/>
          </w:rPr>
          <w:t>Service-Public — Cyberharcèlement</w:t>
        </w:r>
      </w:hyperlink>
    </w:p>
    <w:p>
      <w:pPr>
        <w:numPr>
          <w:ilvl w:val="0"/>
          <w:numId w:val="1003"/>
        </w:numPr>
        <w:spacing w:after="80"/>
      </w:pPr>
      <w:hyperlink r:id="rId10">
        <w:r>
          <w:rPr>
            <w:color w:val="205C77"/>
          </w:rPr>
          <w:t>Gendarmerie nationale — Le 3114</w:t>
        </w:r>
      </w:hyperlink>
    </w:p>
    <w:p>
      <w:pPr>
        <w:numPr>
          <w:ilvl w:val="0"/>
          <w:numId w:val="1003"/>
        </w:numPr>
        <w:spacing w:after="80"/>
      </w:pPr>
      <w:hyperlink r:id="rId11">
        <w:r>
          <w:rPr>
            <w:color w:val="205C77"/>
          </w:rPr>
          <w:t>Éducation nationale — Santé mentale et situations de crise</w:t>
        </w:r>
      </w:hyperlink>
    </w:p>
    <w:sectPr>
      <w:footnotePr>
        <w:numRestart w:val="eachSect"/>
      </w:footnotePr>
      <w:pgSz w:w="12240" w:h="15840"/>
      <w:pgMar w:top="1152" w:bottom="1152" w:left="1224" w:right="12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abstractNum w:abstractNumId="992">
    <w:lvl w:ilvl="0">
      <w:start w:val="1"/>
      <w:numFmt w:val="bullet"/>
      <w:lvlText w:val="•"/>
      <w:lvlJc w:val="left"/>
      <w:pPr>
        <w:ind w:left="360" w:hanging="180"/>
      </w:pPr>
    </w:lvl>
  </w:abstractNum>
  <w:num w:numId="1003">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after="120" w:line="259" w:lineRule="auto"/>
    </w:pPr>
    <w:rPr>
      <w:rFonts w:ascii="Calibri" w:hAnsi="Calibri"/>
      <w:color w:val="000000"/>
      <w:sz w:val="22"/>
    </w:rPr>
  </w:style>
  <w:style w:styleId="BodyText" w:type="paragraph">
    <w:name w:val="Body Text"/>
    <w:basedOn w:val="Normal"/>
    <w:link w:val="BodyTextChar"/>
    <w:qFormat/>
    <w:pPr>
      <w:widowControl/>
      <w:spacing w:after="120" w:before="180" w:line="259" w:lineRule="auto"/>
    </w:pPr>
    <w:rPr>
      <w:rFonts w:ascii="Calibri" w:hAnsi="Calibri"/>
      <w:color w:val="000000"/>
      <w:sz w:val="22"/>
    </w:rPr>
  </w:style>
  <w:style w:customStyle="1" w:styleId="FirstParagraph" w:type="paragraph">
    <w:name w:val="First Paragraph"/>
    <w:basedOn w:val="BodyText"/>
    <w:next w:val="BodyText"/>
    <w:qFormat/>
    <w:pPr>
      <w:widowControl/>
      <w:spacing w:after="120" w:line="259" w:lineRule="auto"/>
    </w:pPr>
    <w:rPr>
      <w:rFonts w:ascii="Calibri" w:hAnsi="Calibri"/>
      <w:color w:val="000000"/>
      <w:sz w:val="22"/>
    </w:rPr>
  </w:style>
  <w:style w:customStyle="1" w:styleId="Compact" w:type="paragraph">
    <w:name w:val="Compact"/>
    <w:basedOn w:val="BodyText"/>
    <w:qFormat/>
    <w:pPr>
      <w:widowControl/>
      <w:spacing w:after="120" w:before="36" w:line="259" w:lineRule="auto"/>
    </w:pPr>
    <w:rPr>
      <w:rFonts w:ascii="Calibri" w:hAnsi="Calibri"/>
      <w:color w:val="000000"/>
      <w:sz w:val="22"/>
    </w:rPr>
  </w:style>
  <w:style w:styleId="Title" w:type="paragraph">
    <w:name w:val="Title"/>
    <w:basedOn w:val="Normal"/>
    <w:next w:val="BodyText"/>
    <w:link w:val="TitleChar"/>
    <w:uiPriority w:val="10"/>
    <w:qFormat/>
    <w:rsid w:val="00A10FD9"/>
    <w:pPr>
      <w:keepNext/>
      <w:spacing w:after="120" w:line="240" w:lineRule="auto" w:before="240"/>
      <w:contextualSpacing/>
      <w:jc w:val="center"/>
    </w:pPr>
    <w:rPr>
      <w:rFonts w:asciiTheme="majorHAnsi" w:cstheme="majorBidi" w:eastAsiaTheme="majorEastAsia" w:hAnsiTheme="majorHAnsi" w:ascii="Calibri" w:hAnsi="Calibri"/>
      <w:color w:val="000000"/>
      <w:sz w:val="40"/>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240"/>
      <w:outlineLvl w:val="0"/>
    </w:pPr>
    <w:rPr>
      <w:rFonts w:asciiTheme="majorHAnsi" w:cstheme="majorBidi" w:eastAsiaTheme="majorEastAsia" w:hAnsiTheme="majorHAnsi" w:ascii="Calibri" w:hAnsi="Calibri"/>
      <w:color w:val="000000"/>
      <w:sz w:val="40"/>
      <w:szCs w:val="40"/>
    </w:rPr>
  </w:style>
  <w:style w:styleId="Heading2" w:type="paragraph">
    <w:name w:val="heading 2"/>
    <w:basedOn w:val="Normal"/>
    <w:next w:val="BodyText"/>
    <w:link w:val="Heading2Char"/>
    <w:uiPriority w:val="9"/>
    <w:semiHidden/>
    <w:unhideWhenUsed/>
    <w:qFormat/>
    <w:rsid w:val="00A10FD9"/>
    <w:pPr>
      <w:keepNext/>
      <w:keepLines/>
      <w:spacing w:after="120" w:before="240"/>
      <w:outlineLvl w:val="1"/>
    </w:pPr>
    <w:rPr>
      <w:rFonts w:asciiTheme="majorHAnsi" w:cstheme="majorBidi" w:eastAsiaTheme="majorEastAsia" w:hAnsiTheme="majorHAnsi" w:ascii="Calibri" w:hAnsi="Calibri"/>
      <w:color w:val="000000"/>
      <w:sz w:val="28"/>
      <w:szCs w:val="32"/>
    </w:rPr>
  </w:style>
  <w:style w:styleId="Heading3" w:type="paragraph">
    <w:name w:val="heading 3"/>
    <w:basedOn w:val="Normal"/>
    <w:next w:val="BodyText"/>
    <w:link w:val="Heading3Char"/>
    <w:uiPriority w:val="9"/>
    <w:semiHidden/>
    <w:unhideWhenUsed/>
    <w:qFormat/>
    <w:rsid w:val="00A10FD9"/>
    <w:pPr>
      <w:keepNext/>
      <w:keepLines/>
      <w:spacing w:after="120" w:before="240"/>
      <w:outlineLvl w:val="2"/>
    </w:pPr>
    <w:rPr>
      <w:rFonts w:cstheme="majorBidi" w:eastAsiaTheme="majorEastAsia" w:ascii="Calibri" w:hAnsi="Calibri"/>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6" Type="http://schemas.openxmlformats.org/officeDocument/2006/relationships/hyperlink" Target="/blog/reseaux-sociaux-avant-15-ans" TargetMode="External"/><Relationship Id="rId17" Type="http://schemas.openxmlformats.org/officeDocument/2006/relationships/hyperlink" Target="/blog/temps-ecran-regles-famille" TargetMode="External"/><Relationship Id="rId14" Type="http://schemas.openxmlformats.org/officeDocument/2006/relationships/hyperlink" Target="/guides" TargetMode="External"/><Relationship Id="rId18" Type="http://schemas.openxmlformats.org/officeDocument/2006/relationships/hyperlink" Target="/objectif" TargetMode="External"/><Relationship Id="rId21" Type="http://schemas.openxmlformats.org/officeDocument/2006/relationships/hyperlink" Target="https://www.3018.fr/" TargetMode="External"/><Relationship Id="rId23" Type="http://schemas.openxmlformats.org/officeDocument/2006/relationships/hyperlink" Target="https://www.masecurite.interieur.gouv.fr/fr/demarches-en-ligne/plateforme-signalement-cyberharcelement" TargetMode="External"/><Relationship Id="rId22" Type="http://schemas.openxmlformats.org/officeDocument/2006/relationships/hyperlink" Target="https://www.service-public.gouv.fr/particuliers/vosdroits/F32239" TargetMode="External"/><Relationship Id="rId9" Type="http://schemas.openxmlformats.org/officeDocument/2006/relationships/hyperlink" Target="https://e-enfance.org/besoin-daide/" TargetMode="External"/><Relationship Id="rId10" Type="http://schemas.openxmlformats.org/officeDocument/2006/relationships/hyperlink" Target="https://www.gendarmerie.interieur.gouv.fr/gendinfo/actualites/2023/3114-le-numero-national-dedie-a-la-prevention-du-suicide" TargetMode="External"/><Relationship Id="rId11" Type="http://schemas.openxmlformats.org/officeDocument/2006/relationships/hyperlink" Target="https://www.education.gouv.fr/agir-pour-la-sante-mentale-des-enfants-et-des-jeunes-450198" TargetMode="External"/></Relationships>
</file>

<file path=word/_rels/footnotes.xml.rels><?xml version='1.0' encoding='UTF-8' standalone='yes'?>
<Relationships xmlns="http://schemas.openxmlformats.org/package/2006/relationships"><Relationship Id="rId16" Type="http://schemas.openxmlformats.org/officeDocument/2006/relationships/hyperlink" Target="/blog/reseaux-sociaux-avant-15-ans" TargetMode="External"/><Relationship Id="rId17" Type="http://schemas.openxmlformats.org/officeDocument/2006/relationships/hyperlink" Target="/blog/temps-ecran-regles-famille" TargetMode="External"/><Relationship Id="rId14" Type="http://schemas.openxmlformats.org/officeDocument/2006/relationships/hyperlink" Target="/guides" TargetMode="External"/><Relationship Id="rId18" Type="http://schemas.openxmlformats.org/officeDocument/2006/relationships/hyperlink" Target="/objectif" TargetMode="External"/><Relationship Id="rId21" Type="http://schemas.openxmlformats.org/officeDocument/2006/relationships/hyperlink" Target="https://www.3018.fr/" TargetMode="External"/><Relationship Id="rId23" Type="http://schemas.openxmlformats.org/officeDocument/2006/relationships/hyperlink" Target="https://www.masecurite.interieur.gouv.fr/fr/demarches-en-ligne/plateforme-signalement-cyberharcelement" TargetMode="External"/><Relationship Id="rId22" Type="http://schemas.openxmlformats.org/officeDocument/2006/relationships/hyperlink" Target="https://www.service-public.gouv.fr/particuliers/vosdroits/F3223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Cyberharcèlement : que faire quand son enfant est visé ?</dc:title>
  <dc:creator>Totem Avisé</dc:creator>
  <cp:keywords/>
  <dcterms:created xsi:type="dcterms:W3CDTF">2026-06-21T14:05:56Z</dcterms:created>
  <dcterms:modified xsi:type="dcterms:W3CDTF">2026-06-21T14:05:56Z</dcterms:modified>
  <dc:subject>Brouillon éditorial</dc:subject>
</cp:coreProperties>
</file>

<file path=docProps/custom.xml><?xml version="1.0" encoding="utf-8"?>
<Properties xmlns="http://schemas.openxmlformats.org/officeDocument/2006/custom-properties" xmlns:vt="http://schemas.openxmlformats.org/officeDocument/2006/docPropsVTypes"/>
</file>