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8136"/>
      </w:tblGrid>
      <w:tr>
        <w:trPr>
          <w:cantSplit/>
          <w:tblHeader/>
        </w:trPr>
        <w:tc>
          <w:tcPr>
            <w:tcW w:type="dxa" w:w="1656"/>
            <w:vAlign w:val="center"/>
            <w:shd w:fill="243746"/>
            <w:tcMar>
              <w:top w:w="90" w:type="dxa"/>
              <w:left w:w="90" w:type="dxa"/>
              <w:bottom w:w="90" w:type="dxa"/>
              <w:right w:w="90" w:type="dxa"/>
            </w:tcMar>
          </w:tcPr>
          <w:p>
            <w:pPr>
              <w:spacing w:after="40" w:before="40"/>
            </w:pPr>
            <w:r>
              <w:rPr>
                <w:b/>
                <w:color w:val="FFFFFF"/>
                <w:sz w:val="20"/>
              </w:rPr>
              <w:t>Champ</w:t>
            </w:r>
          </w:p>
        </w:tc>
        <w:tc>
          <w:tcPr>
            <w:tcW w:type="dxa" w:w="8136"/>
            <w:vAlign w:val="center"/>
            <w:shd w:fill="243746"/>
            <w:tcMar>
              <w:top w:w="90" w:type="dxa"/>
              <w:left w:w="90" w:type="dxa"/>
              <w:bottom w:w="90" w:type="dxa"/>
              <w:right w:w="90" w:type="dxa"/>
            </w:tcMar>
          </w:tcPr>
          <w:p>
            <w:pPr>
              <w:spacing w:after="40" w:before="40"/>
            </w:pPr>
            <w:r>
              <w:rPr>
                <w:b/>
                <w:color w:val="FFFFFF"/>
                <w:sz w:val="20"/>
              </w:rPr>
              <w:t>Valeur</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Titre</w:t>
            </w:r>
          </w:p>
        </w:tc>
        <w:tc>
          <w:tcPr>
            <w:tcW w:type="dxa" w:w="8136"/>
            <w:vAlign w:val="center"/>
            <w:shd w:fill="FFFFFF"/>
            <w:tcMar>
              <w:top w:w="90" w:type="dxa"/>
              <w:left w:w="90" w:type="dxa"/>
              <w:bottom w:w="90" w:type="dxa"/>
              <w:right w:w="90" w:type="dxa"/>
            </w:tcMar>
          </w:tcPr>
          <w:p>
            <w:pPr>
              <w:spacing w:after="40" w:before="40"/>
            </w:pPr>
            <w:r>
              <w:rPr>
                <w:color w:val="000000"/>
                <w:sz w:val="20"/>
              </w:rPr>
              <w:t>Premier téléphone : quoi préparer avant de le donner</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Slug</w:t>
            </w:r>
          </w:p>
        </w:tc>
        <w:tc>
          <w:tcPr>
            <w:tcW w:type="dxa" w:w="8136"/>
            <w:vAlign w:val="center"/>
            <w:shd w:fill="F4F6F7"/>
            <w:tcMar>
              <w:top w:w="90" w:type="dxa"/>
              <w:left w:w="90" w:type="dxa"/>
              <w:bottom w:w="90" w:type="dxa"/>
              <w:right w:w="90" w:type="dxa"/>
            </w:tcMar>
          </w:tcPr>
          <w:p>
            <w:pPr>
              <w:spacing w:after="40" w:before="40"/>
            </w:pPr>
            <w:r>
              <w:rPr>
                <w:color w:val="000000"/>
                <w:sz w:val="20"/>
              </w:rPr>
              <w:t>premier-smartphone-enfant</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Catégorie</w:t>
            </w:r>
          </w:p>
        </w:tc>
        <w:tc>
          <w:tcPr>
            <w:tcW w:type="dxa" w:w="8136"/>
            <w:vAlign w:val="center"/>
            <w:shd w:fill="FFFFFF"/>
            <w:tcMar>
              <w:top w:w="90" w:type="dxa"/>
              <w:left w:w="90" w:type="dxa"/>
              <w:bottom w:w="90" w:type="dxa"/>
              <w:right w:w="90" w:type="dxa"/>
            </w:tcMar>
          </w:tcPr>
          <w:p>
            <w:pPr>
              <w:spacing w:after="40" w:before="40"/>
            </w:pPr>
            <w:r>
              <w:rPr>
                <w:color w:val="000000"/>
                <w:sz w:val="20"/>
              </w:rPr>
              <w:t>guides-pratiques</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Auteur</w:t>
            </w:r>
          </w:p>
        </w:tc>
        <w:tc>
          <w:tcPr>
            <w:tcW w:type="dxa" w:w="8136"/>
            <w:vAlign w:val="center"/>
            <w:shd w:fill="F4F6F7"/>
            <w:tcMar>
              <w:top w:w="90" w:type="dxa"/>
              <w:left w:w="90" w:type="dxa"/>
              <w:bottom w:w="90" w:type="dxa"/>
              <w:right w:w="90" w:type="dxa"/>
            </w:tcMar>
          </w:tcPr>
          <w:p>
            <w:pPr>
              <w:spacing w:after="40" w:before="40"/>
            </w:pPr>
            <w:r>
              <w:rPr>
                <w:color w:val="000000"/>
                <w:sz w:val="20"/>
              </w:rPr>
              <w:t>Totem Avisé</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Résumé</w:t>
            </w:r>
          </w:p>
        </w:tc>
        <w:tc>
          <w:tcPr>
            <w:tcW w:type="dxa" w:w="8136"/>
            <w:vAlign w:val="center"/>
            <w:shd w:fill="FFFFFF"/>
            <w:tcMar>
              <w:top w:w="90" w:type="dxa"/>
              <w:left w:w="90" w:type="dxa"/>
              <w:bottom w:w="90" w:type="dxa"/>
              <w:right w:w="90" w:type="dxa"/>
            </w:tcMar>
          </w:tcPr>
          <w:p>
            <w:pPr>
              <w:spacing w:after="40" w:before="40"/>
            </w:pPr>
            <w:r>
              <w:rPr>
                <w:color w:val="000000"/>
                <w:sz w:val="20"/>
              </w:rPr>
              <w:t>Partez du besoin réel, puis choisissez l'appareil. Réglez les comptes, les achats et les contacts avant de confier le téléphone à votre enfant.</w:t>
            </w:r>
          </w:p>
        </w:tc>
      </w:tr>
      <w:tr>
        <w:trPr>
          <w:cantSplit/>
        </w:trPr>
        <w:tc>
          <w:tcPr>
            <w:tcW w:type="dxa" w:w="1656"/>
            <w:vAlign w:val="center"/>
            <w:shd w:fill="F4F6F7"/>
            <w:tcMar>
              <w:top w:w="90" w:type="dxa"/>
              <w:left w:w="90" w:type="dxa"/>
              <w:bottom w:w="90" w:type="dxa"/>
              <w:right w:w="90" w:type="dxa"/>
            </w:tcMar>
          </w:tcPr>
          <w:p>
            <w:pPr>
              <w:spacing w:after="40" w:before="40"/>
            </w:pPr>
            <w:r>
              <w:rPr>
                <w:color w:val="000000"/>
                <w:sz w:val="20"/>
              </w:rPr>
              <w:t>Titre SEO</w:t>
            </w:r>
          </w:p>
        </w:tc>
        <w:tc>
          <w:tcPr>
            <w:tcW w:type="dxa" w:w="8136"/>
            <w:vAlign w:val="center"/>
            <w:shd w:fill="F4F6F7"/>
            <w:tcMar>
              <w:top w:w="90" w:type="dxa"/>
              <w:left w:w="90" w:type="dxa"/>
              <w:bottom w:w="90" w:type="dxa"/>
              <w:right w:w="90" w:type="dxa"/>
            </w:tcMar>
          </w:tcPr>
          <w:p>
            <w:pPr>
              <w:spacing w:after="40" w:before="40"/>
            </w:pPr>
            <w:r>
              <w:rPr>
                <w:color w:val="000000"/>
                <w:sz w:val="20"/>
              </w:rPr>
              <w:t>Premier téléphone enfant — âge, choix et réglages</w:t>
            </w:r>
          </w:p>
        </w:tc>
      </w:tr>
      <w:tr>
        <w:trPr>
          <w:cantSplit/>
        </w:trPr>
        <w:tc>
          <w:tcPr>
            <w:tcW w:type="dxa" w:w="1656"/>
            <w:vAlign w:val="center"/>
            <w:shd w:fill="FFFFFF"/>
            <w:tcMar>
              <w:top w:w="90" w:type="dxa"/>
              <w:left w:w="90" w:type="dxa"/>
              <w:bottom w:w="90" w:type="dxa"/>
              <w:right w:w="90" w:type="dxa"/>
            </w:tcMar>
          </w:tcPr>
          <w:p>
            <w:pPr>
              <w:spacing w:after="40" w:before="40"/>
            </w:pPr>
            <w:r>
              <w:rPr>
                <w:color w:val="000000"/>
                <w:sz w:val="20"/>
              </w:rPr>
              <w:t>Description SEO</w:t>
            </w:r>
          </w:p>
        </w:tc>
        <w:tc>
          <w:tcPr>
            <w:tcW w:type="dxa" w:w="8136"/>
            <w:vAlign w:val="center"/>
            <w:shd w:fill="FFFFFF"/>
            <w:tcMar>
              <w:top w:w="90" w:type="dxa"/>
              <w:left w:w="90" w:type="dxa"/>
              <w:bottom w:w="90" w:type="dxa"/>
              <w:right w:w="90" w:type="dxa"/>
            </w:tcMar>
          </w:tcPr>
          <w:p>
            <w:pPr>
              <w:spacing w:after="40" w:before="40"/>
            </w:pPr>
            <w:r>
              <w:rPr>
                <w:color w:val="000000"/>
                <w:sz w:val="20"/>
              </w:rPr>
              <w:t>Téléphone simple ou smartphone, besoins selon l'âge, contrôles parentaux Android et iPhone, achats et règles à préparer avant de le donner.</w:t>
            </w:r>
          </w:p>
        </w:tc>
      </w:tr>
    </w:tbl>
    <w:p>
      <w:pPr>
        <w:pStyle w:val="Heading1"/>
      </w:pPr>
      <w:r>
        <w:t>Premier téléphone : quoi préparer avant de le donner</w:t>
      </w:r>
    </w:p>
    <w:p>
      <w:pPr/>
      <w:r>
        <w:t>Votre enfant commence à faire un trajet seul et vous souhaitez pouvoir le joindre. Lui aimerait surtout avoir le même téléphone que ses amis. Ces deux envies peuvent se retrouver dans la même discussion, mais elles ne demandent pas forcément le même équipement.</w:t>
      </w:r>
    </w:p>
    <w:p>
      <w:pPr/>
      <w:r>
        <w:t>Avant de comparer les appareils, écrivez ce que le téléphone doit permettre aujourd'hui. Appeler en cas de retard ? Recevoir un message ? Consulter un itinéraire ? Vous aurez ensuite une base pour décider ce qui peut attendre.</w:t>
      </w:r>
    </w:p>
    <w:p>
      <w:pPr>
        <w:pStyle w:val="Heading2"/>
      </w:pPr>
      <w:r>
        <w:t>Choisir selon le besoin</w:t>
      </w:r>
    </w:p>
    <w:p>
      <w:pPr/>
      <w:r>
        <w:rPr>
          <w:b/>
        </w:rPr>
        <w:t>Pour appeler et recevoir des SMS</w:t>
      </w:r>
      <w:r>
        <w:t>, un téléphone simple peut suffire. Vérifiez qu'il fonctionne avec le réseau de l'opérateur, que l'enfant sait s'en servir et que les numéros utiles sont enregistrés. L'étiquette « téléphone pour enfant » ne remplace pas ces vérifications.</w:t>
      </w:r>
    </w:p>
    <w:p>
      <w:pPr/>
      <w:r>
        <w:rPr>
          <w:b/>
        </w:rPr>
        <w:t>Pour consulter des itinéraires ou une application nécessaire</w:t>
      </w:r>
      <w:r>
        <w:t>, un smartphone configuré peut être envisagé lorsque l'âge et l'autonomie le permettent. Commencez avec les fonctions dont vous avez parlé. L'accès aux réseaux sociaux mérite une décision séparée.</w:t>
      </w:r>
    </w:p>
    <w:p>
      <w:pPr/>
      <w:r>
        <w:rPr>
          <w:b/>
        </w:rPr>
        <w:t>Pour un usage occasionnel à la maison</w:t>
      </w:r>
      <w:r>
        <w:t>, un appareil familial partagé évite parfois un achat et un équipement personnel prématuré. Prévoyez un compte ou un accès adapté, sans exposer les messages, photos et moyens de paiement d'un adulte.</w:t>
      </w:r>
    </w:p>
    <w:p>
      <w:pPr/>
      <w:r>
        <w:t>Une montre connectée n'est pas automatiquement une solution plus simple. Elle peut demander un abonnement, transmettre la localisation et proposer des contacts ou des applications. Examinez ses fonctions avec la même attention.</w:t>
      </w:r>
    </w:p>
    <w:p>
      <w:pPr>
        <w:pStyle w:val="Heading2"/>
      </w:pPr>
      <w:r>
        <w:t>L'âge reste un repère</w:t>
      </w:r>
    </w:p>
    <w:p>
      <w:pPr/>
      <w:r>
        <w:t xml:space="preserve">Les </w:t>
      </w:r>
      <w:hyperlink r:id="rId22">
        <w:r>
          <w:rPr>
            <w:color w:val="205C77"/>
          </w:rPr>
          <w:t>recommandations de l'Éducation nationale</w:t>
        </w:r>
      </w:hyperlink>
      <w:r>
        <w:t xml:space="preserve"> vont vers une entrée progressive dans le numérique et déconseillent l'équipement personnel précoce. L'entrée au collège ne vaut donc pas feu vert automatique pour un smartphone.</w:t>
      </w:r>
    </w:p>
    <w:p>
      <w:pPr/>
      <w:r>
        <w:t>L'organisation de la famille compte aussi : durée des trajets, adultes joignables, accès à un téléphone en cas de problème. Si le besoin se limite aux appels, dites-le clairement : « On cherche un appareil pour que tu puisses nous joindre. Les applications sociales, on en reparlera séparément. »</w:t>
      </w:r>
    </w:p>
    <w:p>
      <w:pPr/>
      <w:r>
        <w:t xml:space="preserve">En France, l'usage du téléphone est interdit à l'école et au collège. La </w:t>
      </w:r>
      <w:hyperlink r:id="rId9">
        <w:r>
          <w:rPr>
            <w:color w:val="205C77"/>
          </w:rPr>
          <w:t>loi du 24 août 2026 étend cette interdiction aux lycées</w:t>
        </w:r>
      </w:hyperlink>
      <w:r>
        <w:t>, avec des modalités et exceptions précisées par les établissements. Consultez leur règlement avant d'organiser les appels autour de la journée scolaire.</w:t>
      </w:r>
    </w:p>
    <w:p>
      <w:pPr>
        <w:pStyle w:val="Heading2"/>
      </w:pPr>
      <w:r>
        <w:t>Préparer le compte avant de donner l'appareil</w:t>
      </w:r>
    </w:p>
    <w:p>
      <w:pPr/>
      <w:r>
        <w:t>Utilisez la vraie date de naissance de l'enfant et la procédure prévue par le fabricant. Elle détermine une partie des protections et des autorisations disponibles.</w:t>
      </w:r>
    </w:p>
    <w:p>
      <w:pPr/>
      <w:r>
        <w:t xml:space="preserve">Sur Android, </w:t>
      </w:r>
      <w:hyperlink r:id="rId11">
        <w:r>
          <w:rPr>
            <w:color w:val="205C77"/>
          </w:rPr>
          <w:t>Google Family Link</w:t>
        </w:r>
      </w:hyperlink>
      <w:r>
        <w:t xml:space="preserve"> permet de gérer un compte enfant compatible et des réglages comme les applications ou le temps d'utilisation. Vérifiez les appareils pris en charge : installer l'application du côté parent ne signifie pas que toutes les fonctions sont disponibles sur n'importe quel téléphone enfant.</w:t>
      </w:r>
    </w:p>
    <w:p>
      <w:pPr/>
      <w:r>
        <w:t xml:space="preserve">Sur iPhone, le </w:t>
      </w:r>
      <w:hyperlink r:id="rId12">
        <w:r>
          <w:rPr>
            <w:color w:val="205C77"/>
          </w:rPr>
          <w:t>partage familial et Temps d'écran</w:t>
        </w:r>
      </w:hyperlink>
      <w:r>
        <w:t xml:space="preserve"> permettent de régler les restrictions de contenu et de confidentialité pour le compte enfant. Depuis les réglages familiaux, vérifiez aussi les demandes d'achat et les limites prévues.</w:t>
      </w:r>
    </w:p>
    <w:p>
      <w:pPr/>
      <w:r>
        <w:t>Les menus évoluent. Suivez les notices officielles correspondant à la version de l'appareil, puis faites un essai avec l'enfant. Un réglage coché ne vous dira pas toujours à quoi ressemble son écran.</w:t>
      </w:r>
    </w:p>
    <w:p>
      <w:pPr>
        <w:pStyle w:val="Heading2"/>
      </w:pPr>
      <w:r>
        <w:t>Les vérifications à faire ensemble</w:t>
      </w:r>
    </w:p>
    <w:p>
      <w:pPr/>
      <w:r>
        <w:t>Avant de confier le téléphone, prenez quelques minutes pour vérifier ces points :</w:t>
      </w:r>
    </w:p>
    <w:p>
      <w:pPr>
        <w:numPr>
          <w:ilvl w:val="0"/>
          <w:numId w:val="1003"/>
        </w:numPr>
        <w:spacing w:after="80"/>
      </w:pPr>
      <w:r>
        <w:t>L'enfant sait appeler les adultes prévus et retrouve les numéros utiles.</w:t>
      </w:r>
    </w:p>
    <w:p>
      <w:pPr>
        <w:numPr>
          <w:ilvl w:val="0"/>
          <w:numId w:val="1003"/>
        </w:numPr>
        <w:spacing w:after="80"/>
      </w:pPr>
      <w:r>
        <w:t>Une demande de téléchargement ou d'achat suit bien la procédure choisie.</w:t>
      </w:r>
    </w:p>
    <w:p>
      <w:pPr>
        <w:numPr>
          <w:ilvl w:val="0"/>
          <w:numId w:val="1003"/>
        </w:numPr>
        <w:spacing w:after="80"/>
      </w:pPr>
      <w:r>
        <w:t>Les applications installées sont celles que vous avez convenu d'utiliser.</w:t>
      </w:r>
    </w:p>
    <w:p>
      <w:pPr>
        <w:numPr>
          <w:ilvl w:val="0"/>
          <w:numId w:val="1003"/>
        </w:numPr>
        <w:spacing w:after="80"/>
      </w:pPr>
      <w:r>
        <w:t>La localisation n'est partagée qu'avec les personnes choisies, pour un motif expliqué.</w:t>
      </w:r>
    </w:p>
    <w:p>
      <w:pPr>
        <w:numPr>
          <w:ilvl w:val="0"/>
          <w:numId w:val="1003"/>
        </w:numPr>
        <w:spacing w:after="80"/>
      </w:pPr>
      <w:r>
        <w:t>Les notifications inutiles sont coupées.</w:t>
      </w:r>
    </w:p>
    <w:p>
      <w:pPr>
        <w:numPr>
          <w:ilvl w:val="0"/>
          <w:numId w:val="1003"/>
        </w:numPr>
        <w:spacing w:after="80"/>
      </w:pPr>
      <w:r>
        <w:t>Les réglages préservent les contacts nécessaires et les appels d'urgence.</w:t>
      </w:r>
    </w:p>
    <w:p>
      <w:pPr>
        <w:numPr>
          <w:ilvl w:val="0"/>
          <w:numId w:val="1003"/>
        </w:numPr>
        <w:spacing w:after="80"/>
      </w:pPr>
      <w:r>
        <w:t>Vous savez comment récupérer le compte ou bloquer l'appareil en cas de perte.</w:t>
      </w:r>
    </w:p>
    <w:p>
      <w:pPr/>
      <w:r>
        <w:t>Ne créez pas une véritable dépense pour tester les achats. Regardez la demande d'autorisation ou les restrictions sans finaliser la transaction.</w:t>
      </w:r>
    </w:p>
    <w:p>
      <w:pPr/>
      <w:r>
        <w:t>Un vieux smartphone sans carte SIM peut encore accéder à internet en Wi-Fi. Retirer la carte n'en fait donc pas un appareil sans accès au web.</w:t>
      </w:r>
    </w:p>
    <w:p>
      <w:pPr>
        <w:pStyle w:val="Heading2"/>
      </w:pPr>
      <w:r>
        <w:t>La localisation ne règle pas tout</w:t>
      </w:r>
    </w:p>
    <w:p>
      <w:pPr/>
      <w:r>
        <w:t>Voir un point sur une carte peut rassurer. Cela ne garantit pas que l'enfant est en sécurité : le téléphone peut être déchargé, oublié ou mal localisé.</w:t>
      </w:r>
    </w:p>
    <w:p>
      <w:pPr/>
      <w:r>
        <w:t>Expliquez ce que vous consultez et dans quelles situations. Convenez surtout d'une marche à suivre en cas de retard ou de batterie vide : quel adulte prévenir, où attendre, à qui demander de l'aide. L'enfant doit connaître cette solution même sans son écran.</w:t>
      </w:r>
    </w:p>
    <w:p>
      <w:pPr>
        <w:pStyle w:val="Heading2"/>
      </w:pPr>
      <w:r>
        <w:t>Des règles courtes pour la première semaine</w:t>
      </w:r>
    </w:p>
    <w:p>
      <w:pPr/>
      <w:r>
        <w:t>Vous pouvez partir de quatre décisions :</w:t>
      </w:r>
    </w:p>
    <w:p>
      <w:pPr>
        <w:numPr>
          <w:ilvl w:val="0"/>
          <w:numId w:val="1003"/>
        </w:numPr>
        <w:spacing w:after="80"/>
      </w:pPr>
      <w:r>
        <w:t>Le téléphone passe la nuit dans une pièce commune.</w:t>
      </w:r>
    </w:p>
    <w:p>
      <w:pPr>
        <w:numPr>
          <w:ilvl w:val="0"/>
          <w:numId w:val="1003"/>
        </w:numPr>
        <w:spacing w:after="80"/>
      </w:pPr>
      <w:r>
        <w:t>Une nouvelle application se demande avant installation.</w:t>
      </w:r>
    </w:p>
    <w:p>
      <w:pPr>
        <w:numPr>
          <w:ilvl w:val="0"/>
          <w:numId w:val="1003"/>
        </w:numPr>
        <w:spacing w:after="80"/>
      </w:pPr>
      <w:r>
        <w:t>Une photo d'une autre personne ne se publie pas sans son accord.</w:t>
      </w:r>
    </w:p>
    <w:p>
      <w:pPr>
        <w:numPr>
          <w:ilvl w:val="0"/>
          <w:numId w:val="1003"/>
        </w:numPr>
        <w:spacing w:after="80"/>
      </w:pPr>
      <w:r>
        <w:t>Un message inquiétant se montre à un adulte de confiance.</w:t>
      </w:r>
    </w:p>
    <w:p>
      <w:pPr/>
      <w:r>
        <w:t>Précisez aussi ce que vous regarderez sur l'appareil. Évitez de promettre une autonomie totale pour contrôler ensuite les conversations en secret. Le suivi doit être expliqué et proportionné à l'âge et aux difficultés rencontrées.</w:t>
      </w:r>
    </w:p>
    <w:p>
      <w:pPr/>
      <w:r>
        <w:t>Choisissez une date pour faire le point. Demandez à l'enfant ce qui lui a servi, ce qui l'a gêné et ce qu'il ne comprend pas. Vous pourrez modifier un réglage ou maintenir une limite avec une raison précise.</w:t>
      </w:r>
    </w:p>
    <w:p>
      <w:pPr>
        <w:pStyle w:val="Heading2"/>
      </w:pPr>
      <w:r>
        <w:t>Garder l'achat réversible dans ses usages</w:t>
      </w:r>
    </w:p>
    <w:p>
      <w:pPr/>
      <w:r>
        <w:t>Il est plus facile d'ajouter une application après quelques semaines que d'en retirer dix le lendemain du cadeau. Vous pouvez donner le téléphone avec un périmètre simple et annoncer ce qui sera réévalué plus tard.</w:t>
      </w:r>
    </w:p>
    <w:p>
      <w:pPr/>
      <w:r>
        <w:t xml:space="preserve">Pour choisir les jeux ou les films auxquels il aura accès, regardez leur contenu avec lui dans le </w:t>
      </w:r>
      <w:hyperlink r:id="rId14">
        <w:r>
          <w:rPr>
            <w:color w:val="205C77"/>
          </w:rPr>
          <w:t>catalogue Totem Avisé</w:t>
        </w:r>
      </w:hyperlink>
      <w:r>
        <w:t>. Le contrôle parental et les classifications aident à limiter l'accès ; le choix d'un titre demande encore de s'intéresser à ce qu'il propose.</w:t>
      </w:r>
    </w:p>
    <w:p>
      <w:pPr/>
      <w:r>
        <w:t>Le premier soir, l'essentiel est déjà concret : votre enfant sait pourquoi il a ce téléphone, comment joindre quelqu'un et où le ranger pour la nuit.</w:t>
      </w:r>
    </w:p>
    <w:p>
      <w:pPr>
        <w:pStyle w:val="Heading2"/>
      </w:pPr>
      <w:r>
        <w:t>Sources</w:t>
      </w:r>
    </w:p>
    <w:p>
      <w:pPr>
        <w:numPr>
          <w:ilvl w:val="0"/>
          <w:numId w:val="1003"/>
        </w:numPr>
        <w:spacing w:after="80"/>
      </w:pPr>
      <w:hyperlink r:id="rId22">
        <w:r>
          <w:rPr>
            <w:color w:val="205C77"/>
          </w:rPr>
          <w:t>Éducation nationale — Repères par âge</w:t>
        </w:r>
      </w:hyperlink>
    </w:p>
    <w:p>
      <w:pPr>
        <w:numPr>
          <w:ilvl w:val="0"/>
          <w:numId w:val="1003"/>
        </w:numPr>
        <w:spacing w:after="80"/>
      </w:pPr>
      <w:hyperlink r:id="rId9">
        <w:r>
          <w:rPr>
            <w:color w:val="205C77"/>
          </w:rPr>
          <w:t>Gouvernement — Téléphones au lycée</w:t>
        </w:r>
      </w:hyperlink>
    </w:p>
    <w:p>
      <w:pPr>
        <w:numPr>
          <w:ilvl w:val="0"/>
          <w:numId w:val="1003"/>
        </w:numPr>
        <w:spacing w:after="80"/>
      </w:pPr>
      <w:hyperlink r:id="rId11">
        <w:r>
          <w:rPr>
            <w:color w:val="205C77"/>
          </w:rPr>
          <w:t>Google — Premiers pas avec Family Link</w:t>
        </w:r>
      </w:hyperlink>
    </w:p>
    <w:p>
      <w:pPr>
        <w:numPr>
          <w:ilvl w:val="0"/>
          <w:numId w:val="1003"/>
        </w:numPr>
        <w:spacing w:after="80"/>
      </w:pPr>
      <w:hyperlink r:id="rId12">
        <w:r>
          <w:rPr>
            <w:color w:val="205C77"/>
          </w:rPr>
          <w:t>Apple — Contrôle parental sur iPhone et iPad</w:t>
        </w:r>
      </w:hyperlink>
    </w:p>
    <w:sectPr>
      <w:footnotePr>
        <w:numRestart w:val="eachSect"/>
      </w:footnotePr>
      <w:pgSz w:w="12240" w:h="15840"/>
      <w:pgMar w:top="1152" w:bottom="1152" w:left="1224" w:right="1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abstractNum w:abstractNumId="992">
    <w:lvl w:ilvl="0">
      <w:start w:val="1"/>
      <w:numFmt w:val="bullet"/>
      <w:lvlText w:val="•"/>
      <w:lvlJc w:val="left"/>
      <w:pPr>
        <w:ind w:left="360" w:hanging="180"/>
      </w:pPr>
    </w:lvl>
  </w:abstractNum>
  <w:num w:numId="100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line="259" w:lineRule="auto"/>
    </w:pPr>
    <w:rPr>
      <w:rFonts w:ascii="Calibri" w:hAnsi="Calibri"/>
      <w:color w:val="000000"/>
      <w:sz w:val="22"/>
    </w:rPr>
  </w:style>
  <w:style w:styleId="BodyText" w:type="paragraph">
    <w:name w:val="Body Text"/>
    <w:basedOn w:val="Normal"/>
    <w:link w:val="BodyTextChar"/>
    <w:qFormat/>
    <w:pPr>
      <w:widowControl/>
      <w:spacing w:after="120" w:before="180" w:line="259" w:lineRule="auto"/>
    </w:pPr>
    <w:rPr>
      <w:rFonts w:ascii="Calibri" w:hAnsi="Calibri"/>
      <w:color w:val="000000"/>
      <w:sz w:val="22"/>
    </w:rPr>
  </w:style>
  <w:style w:customStyle="1" w:styleId="FirstParagraph" w:type="paragraph">
    <w:name w:val="First Paragraph"/>
    <w:basedOn w:val="BodyText"/>
    <w:next w:val="BodyText"/>
    <w:qFormat/>
    <w:pPr>
      <w:widowControl/>
      <w:spacing w:after="120" w:line="259" w:lineRule="auto"/>
    </w:pPr>
    <w:rPr>
      <w:rFonts w:ascii="Calibri" w:hAnsi="Calibri"/>
      <w:color w:val="000000"/>
      <w:sz w:val="22"/>
    </w:rPr>
  </w:style>
  <w:style w:customStyle="1" w:styleId="Compact" w:type="paragraph">
    <w:name w:val="Compact"/>
    <w:basedOn w:val="BodyText"/>
    <w:qFormat/>
    <w:pPr>
      <w:widowControl/>
      <w:spacing w:after="120" w:before="36" w:line="259" w:lineRule="auto"/>
    </w:pPr>
    <w:rPr>
      <w:rFonts w:ascii="Calibri" w:hAnsi="Calibri"/>
      <w:color w:val="000000"/>
      <w:sz w:val="22"/>
    </w:rPr>
  </w:style>
  <w:style w:styleId="Title" w:type="paragraph">
    <w:name w:val="Title"/>
    <w:basedOn w:val="Normal"/>
    <w:next w:val="BodyText"/>
    <w:link w:val="TitleChar"/>
    <w:uiPriority w:val="10"/>
    <w:qFormat/>
    <w:rsid w:val="00A10FD9"/>
    <w:pPr>
      <w:keepNext/>
      <w:spacing w:after="120" w:line="240" w:lineRule="auto" w:before="240"/>
      <w:contextualSpacing/>
      <w:jc w:val="center"/>
    </w:pPr>
    <w:rPr>
      <w:rFonts w:asciiTheme="majorHAnsi" w:cstheme="majorBidi" w:eastAsiaTheme="majorEastAsia" w:hAnsiTheme="majorHAnsi" w:ascii="Calibri" w:hAnsi="Calibri"/>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Calibri" w:hAnsi="Calibr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Calibri" w:hAnsi="Calibri"/>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Calibri" w:hAnsi="Calibri"/>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hyperlink" Target="/blog/cyberharcelement-signaux-faibles" TargetMode="External"/><Relationship Id="rId10" Type="http://schemas.openxmlformats.org/officeDocument/2006/relationships/hyperlink" Target="/blog/reseaux-sociaux-avant-15-ans" TargetMode="External"/><Relationship Id="rId17" Type="http://schemas.openxmlformats.org/officeDocument/2006/relationships/hyperlink" Target="/guides" TargetMode="External"/><Relationship Id="rId18" Type="http://schemas.openxmlformats.org/officeDocument/2006/relationships/hyperlink" Target="/notre-methode" TargetMode="External"/><Relationship Id="rId23" Type="http://schemas.openxmlformats.org/officeDocument/2006/relationships/hyperlink" Target="https://jeprotegemonenfant.gouv.fr/" TargetMode="External"/><Relationship Id="rId22" Type="http://schemas.openxmlformats.org/officeDocument/2006/relationships/hyperlink" Target="https://www.education.gouv.fr/bien-grandir-avec-les-ecrans-des-reperes-pour-chaque-age-451121" TargetMode="External"/><Relationship Id="rId21" Type="http://schemas.openxmlformats.org/officeDocument/2006/relationships/hyperlink" Target="https://www.education.gouv.fr/interdiction-du-telephone-portable-dans-les-ecoles-et-les-colleges-et-pause-numerique-455181" TargetMode="External"/><Relationship Id="rId9" Type="http://schemas.openxmlformats.org/officeDocument/2006/relationships/hyperlink" Target="https://www.info.gouv.fr/actualite/interdiction-des-telephones-portables-au-lycee-ce-que-dit-la-loi" TargetMode="External"/><Relationship Id="rId11" Type="http://schemas.openxmlformats.org/officeDocument/2006/relationships/hyperlink" Target="https://support.google.com/families/answer/7101025?hl=fr" TargetMode="External"/><Relationship Id="rId12" Type="http://schemas.openxmlformats.org/officeDocument/2006/relationships/hyperlink" Target="https://support.apple.com/fr-fr/105121" TargetMode="External"/><Relationship Id="rId14" Type="http://schemas.openxmlformats.org/officeDocument/2006/relationships/hyperlink" Target="https://totemavise.com/jeux" TargetMode="External"/></Relationships>
</file>

<file path=word/_rels/footnotes.xml.rels><?xml version='1.0' encoding='UTF-8' standalone='yes'?>
<Relationships xmlns="http://schemas.openxmlformats.org/package/2006/relationships"><Relationship Id="rId13" Type="http://schemas.openxmlformats.org/officeDocument/2006/relationships/hyperlink" Target="/blog/cyberharcelement-signaux-faibles" TargetMode="External"/><Relationship Id="rId10" Type="http://schemas.openxmlformats.org/officeDocument/2006/relationships/hyperlink" Target="/blog/reseaux-sociaux-avant-15-ans" TargetMode="External"/><Relationship Id="rId17" Type="http://schemas.openxmlformats.org/officeDocument/2006/relationships/hyperlink" Target="/guides" TargetMode="External"/><Relationship Id="rId18" Type="http://schemas.openxmlformats.org/officeDocument/2006/relationships/hyperlink" Target="/notre-methode" TargetMode="External"/><Relationship Id="rId23" Type="http://schemas.openxmlformats.org/officeDocument/2006/relationships/hyperlink" Target="https://jeprotegemonenfant.gouv.fr/" TargetMode="External"/><Relationship Id="rId22" Type="http://schemas.openxmlformats.org/officeDocument/2006/relationships/hyperlink" Target="https://www.education.gouv.fr/bien-grandir-avec-les-ecrans-des-reperes-pour-chaque-age-451121" TargetMode="External"/><Relationship Id="rId21" Type="http://schemas.openxmlformats.org/officeDocument/2006/relationships/hyperlink" Target="https://www.education.gouv.fr/interdiction-du-telephone-portable-dans-les-ecoles-et-les-colleges-et-pause-numerique-4551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Premier téléphone : quoi préparer avant de le donner</dc:title>
  <dc:creator>Totem Avisé</dc:creator>
  <cp:keywords/>
  <dcterms:created xsi:type="dcterms:W3CDTF">2026-06-21T14:05:57Z</dcterms:created>
  <dcterms:modified xsi:type="dcterms:W3CDTF">2026-06-21T14:05:57Z</dcterms:modified>
  <dc:subject>Brouillon éditorial</dc:subject>
</cp:coreProperties>
</file>

<file path=docProps/custom.xml><?xml version="1.0" encoding="utf-8"?>
<Properties xmlns="http://schemas.openxmlformats.org/officeDocument/2006/custom-properties" xmlns:vt="http://schemas.openxmlformats.org/officeDocument/2006/docPropsVTypes"/>
</file>