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136"/>
      </w:tblGrid>
      <w:tr>
        <w:trPr>
          <w:cantSplit/>
          <w:tblHeader/>
        </w:trPr>
        <w:tc>
          <w:tcPr>
            <w:tcW w:type="dxa" w:w="1656"/>
            <w:vAlign w:val="center"/>
            <w:shd w:fill="243746"/>
            <w:tcMar>
              <w:top w:w="90" w:type="dxa"/>
              <w:left w:w="90" w:type="dxa"/>
              <w:bottom w:w="90" w:type="dxa"/>
              <w:right w:w="90" w:type="dxa"/>
            </w:tcMar>
          </w:tcPr>
          <w:p>
            <w:pPr>
              <w:spacing w:after="40" w:before="40"/>
            </w:pPr>
            <w:r>
              <w:rPr>
                <w:b/>
                <w:color w:val="FFFFFF"/>
                <w:sz w:val="20"/>
              </w:rPr>
              <w:t>Champ</w:t>
            </w:r>
          </w:p>
        </w:tc>
        <w:tc>
          <w:tcPr>
            <w:tcW w:type="dxa" w:w="8136"/>
            <w:vAlign w:val="center"/>
            <w:shd w:fill="243746"/>
            <w:tcMar>
              <w:top w:w="90" w:type="dxa"/>
              <w:left w:w="90" w:type="dxa"/>
              <w:bottom w:w="90" w:type="dxa"/>
              <w:right w:w="90" w:type="dxa"/>
            </w:tcMar>
          </w:tcPr>
          <w:p>
            <w:pPr>
              <w:spacing w:after="40" w:before="40"/>
            </w:pPr>
            <w:r>
              <w:rPr>
                <w:b/>
                <w:color w:val="FFFFFF"/>
                <w:sz w:val="20"/>
              </w:rPr>
              <w:t>Valeur</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Titre</w:t>
            </w:r>
          </w:p>
        </w:tc>
        <w:tc>
          <w:tcPr>
            <w:tcW w:type="dxa" w:w="8136"/>
            <w:vAlign w:val="center"/>
            <w:shd w:fill="FFFFFF"/>
            <w:tcMar>
              <w:top w:w="90" w:type="dxa"/>
              <w:left w:w="90" w:type="dxa"/>
              <w:bottom w:w="90" w:type="dxa"/>
              <w:right w:w="90" w:type="dxa"/>
            </w:tcMar>
          </w:tcPr>
          <w:p>
            <w:pPr>
              <w:spacing w:after="40" w:before="40"/>
            </w:pPr>
            <w:r>
              <w:rPr>
                <w:color w:val="000000"/>
                <w:sz w:val="20"/>
              </w:rPr>
              <w:t>Un film qui fait peur est-il adapté à votre enfant ?</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Slug</w:t>
            </w:r>
          </w:p>
        </w:tc>
        <w:tc>
          <w:tcPr>
            <w:tcW w:type="dxa" w:w="8136"/>
            <w:vAlign w:val="center"/>
            <w:shd w:fill="F4F6F7"/>
            <w:tcMar>
              <w:top w:w="90" w:type="dxa"/>
              <w:left w:w="90" w:type="dxa"/>
              <w:bottom w:w="90" w:type="dxa"/>
              <w:right w:w="90" w:type="dxa"/>
            </w:tcMar>
          </w:tcPr>
          <w:p>
            <w:pPr>
              <w:spacing w:after="40" w:before="40"/>
            </w:pPr>
            <w:r>
              <w:rPr>
                <w:color w:val="000000"/>
                <w:sz w:val="20"/>
              </w:rPr>
              <w:t>films-qui-font-peur-enfant-pret</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Catégorie</w:t>
            </w:r>
          </w:p>
        </w:tc>
        <w:tc>
          <w:tcPr>
            <w:tcW w:type="dxa" w:w="8136"/>
            <w:vAlign w:val="center"/>
            <w:shd w:fill="FFFFFF"/>
            <w:tcMar>
              <w:top w:w="90" w:type="dxa"/>
              <w:left w:w="90" w:type="dxa"/>
              <w:bottom w:w="90" w:type="dxa"/>
              <w:right w:w="90" w:type="dxa"/>
            </w:tcMar>
          </w:tcPr>
          <w:p>
            <w:pPr>
              <w:spacing w:after="40" w:before="40"/>
            </w:pPr>
            <w:r>
              <w:rPr>
                <w:color w:val="000000"/>
                <w:sz w:val="20"/>
              </w:rPr>
              <w:t>films-series</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Auteur</w:t>
            </w:r>
          </w:p>
        </w:tc>
        <w:tc>
          <w:tcPr>
            <w:tcW w:type="dxa" w:w="8136"/>
            <w:vAlign w:val="center"/>
            <w:shd w:fill="F4F6F7"/>
            <w:tcMar>
              <w:top w:w="90" w:type="dxa"/>
              <w:left w:w="90" w:type="dxa"/>
              <w:bottom w:w="90" w:type="dxa"/>
              <w:right w:w="90" w:type="dxa"/>
            </w:tcMar>
          </w:tcPr>
          <w:p>
            <w:pPr>
              <w:spacing w:after="40" w:before="40"/>
            </w:pPr>
            <w:r>
              <w:rPr>
                <w:color w:val="000000"/>
                <w:sz w:val="20"/>
              </w:rPr>
              <w:t>Totem Avisé</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Résumé</w:t>
            </w:r>
          </w:p>
        </w:tc>
        <w:tc>
          <w:tcPr>
            <w:tcW w:type="dxa" w:w="8136"/>
            <w:vAlign w:val="center"/>
            <w:shd w:fill="FFFFFF"/>
            <w:tcMar>
              <w:top w:w="90" w:type="dxa"/>
              <w:left w:w="90" w:type="dxa"/>
              <w:bottom w:w="90" w:type="dxa"/>
              <w:right w:w="90" w:type="dxa"/>
            </w:tcMar>
          </w:tcPr>
          <w:p>
            <w:pPr>
              <w:spacing w:after="40" w:before="40"/>
            </w:pPr>
            <w:r>
              <w:rPr>
                <w:color w:val="000000"/>
                <w:sz w:val="20"/>
              </w:rPr>
              <w:t>Cherchez ce qui risque de l'impressionner, vérifiez les repères d'âge et prévoyez le droit d'arrêter. La peur des monstres et celle de perdre un proche diffèrent.</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Titre SEO</w:t>
            </w:r>
          </w:p>
        </w:tc>
        <w:tc>
          <w:tcPr>
            <w:tcW w:type="dxa" w:w="8136"/>
            <w:vAlign w:val="center"/>
            <w:shd w:fill="F4F6F7"/>
            <w:tcMar>
              <w:top w:w="90" w:type="dxa"/>
              <w:left w:w="90" w:type="dxa"/>
              <w:bottom w:w="90" w:type="dxa"/>
              <w:right w:w="90" w:type="dxa"/>
            </w:tcMar>
          </w:tcPr>
          <w:p>
            <w:pPr>
              <w:spacing w:after="40" w:before="40"/>
            </w:pPr>
            <w:r>
              <w:rPr>
                <w:color w:val="000000"/>
                <w:sz w:val="20"/>
              </w:rPr>
              <w:t>Film qui fait peur enfant — comment décider</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Description SEO</w:t>
            </w:r>
          </w:p>
        </w:tc>
        <w:tc>
          <w:tcPr>
            <w:tcW w:type="dxa" w:w="8136"/>
            <w:vAlign w:val="center"/>
            <w:shd w:fill="FFFFFF"/>
            <w:tcMar>
              <w:top w:w="90" w:type="dxa"/>
              <w:left w:w="90" w:type="dxa"/>
              <w:bottom w:w="90" w:type="dxa"/>
              <w:right w:w="90" w:type="dxa"/>
            </w:tcMar>
          </w:tcPr>
          <w:p>
            <w:pPr>
              <w:spacing w:after="40" w:before="40"/>
            </w:pPr>
            <w:r>
              <w:rPr>
                <w:color w:val="000000"/>
                <w:sz w:val="20"/>
              </w:rPr>
              <w:t>Scènes sensibles, âge, envie de l'enfant et conditions de séance : une méthode concrète pour choisir un film sans imposer de frissons.</w:t>
            </w:r>
          </w:p>
        </w:tc>
      </w:tr>
    </w:tbl>
    <w:p>
      <w:pPr>
        <w:pStyle w:val="Heading1"/>
      </w:pPr>
      <w:r>
        <w:t>Un film qui fait peur est-il adapté à votre enfant ?</w:t>
      </w:r>
    </w:p>
    <w:p>
      <w:pPr/>
      <w:r>
        <w:t>« Ça ne fait pas peur, tu verras. » On l'a parfois dit en toute bonne foi, avant de redécouvrir une scène oubliée. Le film de notre enfance avait laissé le souvenir des chansons ; notre enfant, lui, vient de voir un parent mourir.</w:t>
      </w:r>
    </w:p>
    <w:p>
      <w:pPr/>
      <w:r>
        <w:t>Pour décider, cherchez ce qui pourrait l'impressionner dans ce film précis. Un monstre, une séparation et une menace réaliste ne posent pas les mêmes questions. L'âge conseillé vous donne un premier repère ; le contenu et ce que vous connaissez de votre enfant permettent de préciser le choix.</w:t>
      </w:r>
    </w:p>
    <w:p>
      <w:pPr>
        <w:pStyle w:val="Heading2"/>
      </w:pPr>
      <w:r>
        <w:t>Identifier la peur plutôt que compter les scènes d'action</w:t>
      </w:r>
    </w:p>
    <w:p>
      <w:pPr/>
      <w:r>
        <w:t>Pensez aux dernières histoires qu'il a vues ou entendues. Qu'est-ce qui l'a dérangé ? Une image sombre, un bruit soudain, un personnage perdu, une injustice ?</w:t>
      </w:r>
    </w:p>
    <w:p>
      <w:pPr/>
      <w:r>
        <w:t>Vous pouvez distinguer quelques situations :</w:t>
      </w:r>
    </w:p>
    <w:p>
      <w:pPr>
        <w:numPr>
          <w:ilvl w:val="0"/>
          <w:numId w:val="1003"/>
        </w:numPr>
        <w:spacing w:after="80"/>
      </w:pPr>
      <w:r>
        <w:t>Les créatures et transformations, impressionnantes par leur apparence.</w:t>
      </w:r>
    </w:p>
    <w:p>
      <w:pPr>
        <w:numPr>
          <w:ilvl w:val="0"/>
          <w:numId w:val="1003"/>
        </w:numPr>
        <w:spacing w:after="80"/>
      </w:pPr>
      <w:r>
        <w:t>Le suspense, où l'on attend un danger sans savoir quand il arrivera.</w:t>
      </w:r>
    </w:p>
    <w:p>
      <w:pPr>
        <w:numPr>
          <w:ilvl w:val="0"/>
          <w:numId w:val="1003"/>
        </w:numPr>
        <w:spacing w:after="80"/>
      </w:pPr>
      <w:r>
        <w:t>Les séparations, la maladie ou la mort d'un proche.</w:t>
      </w:r>
    </w:p>
    <w:p>
      <w:pPr>
        <w:numPr>
          <w:ilvl w:val="0"/>
          <w:numId w:val="1003"/>
        </w:numPr>
        <w:spacing w:after="80"/>
      </w:pPr>
      <w:r>
        <w:t>Les violences réalistes, qui ressemblent à un événement possible dans la vie.</w:t>
      </w:r>
    </w:p>
    <w:p>
      <w:pPr>
        <w:numPr>
          <w:ilvl w:val="0"/>
          <w:numId w:val="1003"/>
        </w:numPr>
        <w:spacing w:after="80"/>
      </w:pPr>
      <w:r>
        <w:t>Les sons brusques et les poursuites, parfois difficiles à supporter même sans comprendre toute l'histoire.</w:t>
      </w:r>
    </w:p>
    <w:p>
      <w:pPr/>
      <w:r>
        <w:t>Cette liste sert à chercher une information précise sur le film. Elle ne permet pas de prédire à coup sûr la réaction de l'enfant.</w:t>
      </w:r>
    </w:p>
    <w:p>
      <w:pPr>
        <w:pStyle w:val="Heading2"/>
      </w:pPr>
      <w:r>
        <w:t>Trois films familiaux qui ne posent pas la même question</w:t>
      </w:r>
    </w:p>
    <w:p>
      <w:pPr/>
      <w:r>
        <w:rPr>
          <w:b/>
        </w:rPr>
        <w:t>Attention, le premier exemple révèle un événement important de l'histoire.</w:t>
      </w:r>
    </w:p>
    <w:p>
      <w:pPr/>
      <w:r>
        <w:t xml:space="preserve">Dans </w:t>
      </w:r>
      <w:r>
        <w:rPr>
          <w:b/>
        </w:rPr>
        <w:t>Le Roi lion de 1994</w:t>
      </w:r>
      <w:r>
        <w:t xml:space="preserve">, la mort de Mufasa et la culpabilité de Simba peuvent compter davantage que les combats. Avant de choisir ce film, demandez-vous si votre enfant est à l'aise avec une histoire où le parent du héros meurt. Le </w:t>
      </w:r>
      <w:hyperlink r:id="rId9">
        <w:r>
          <w:rPr>
            <w:color w:val="205C77"/>
          </w:rPr>
          <w:t>résumé de Larousse</w:t>
        </w:r>
      </w:hyperlink>
      <w:r>
        <w:t xml:space="preserve"> confirme cet élément du récit. Vérifiez aussi que la </w:t>
      </w:r>
      <w:hyperlink r:id="rId12">
        <w:r>
          <w:rPr>
            <w:color w:val="205C77"/>
          </w:rPr>
          <w:t>fiche consultée</w:t>
        </w:r>
      </w:hyperlink>
      <w:r>
        <w:t xml:space="preserve"> correspond bien à la version que vous allez regarder.</w:t>
      </w:r>
    </w:p>
    <w:p>
      <w:pPr/>
      <w:r>
        <w:t xml:space="preserve">Dans </w:t>
      </w:r>
      <w:r>
        <w:rPr>
          <w:b/>
        </w:rPr>
        <w:t>Coco</w:t>
      </w:r>
      <w:r>
        <w:t xml:space="preserve">, le monde des morts et la mémoire familiale sont au cœur de l'aventure. Pour un enfant, les squelettes peuvent être amusants ; pour un autre, le sujet de la mort sera difficile. La </w:t>
      </w:r>
      <w:hyperlink r:id="rId13">
        <w:r>
          <w:rPr>
            <w:color w:val="205C77"/>
          </w:rPr>
          <w:t>présentation de Pixar</w:t>
        </w:r>
      </w:hyperlink>
      <w:r>
        <w:t xml:space="preserve"> et la </w:t>
      </w:r>
      <w:hyperlink r:id="rId14">
        <w:r>
          <w:rPr>
            <w:color w:val="205C77"/>
          </w:rPr>
          <w:t>fiche du film</w:t>
        </w:r>
      </w:hyperlink>
      <w:r>
        <w:t xml:space="preserve"> donnent des points de départ pour votre choix.</w:t>
      </w:r>
    </w:p>
    <w:p>
      <w:pPr/>
      <w:r>
        <w:t xml:space="preserve">Dans </w:t>
      </w:r>
      <w:r>
        <w:rPr>
          <w:b/>
        </w:rPr>
        <w:t>Vice-versa</w:t>
      </w:r>
      <w:r>
        <w:t xml:space="preserve">, un déménagement bouleverse les repères de Riley. Le sujet qui touche votre enfant peut donc être la tristesse ou l'éloignement, même s'il supporte bien les monstres. </w:t>
      </w:r>
      <w:hyperlink r:id="rId15">
        <w:r>
          <w:rPr>
            <w:color w:val="205C77"/>
          </w:rPr>
          <w:t>Présentation du studio</w:t>
        </w:r>
      </w:hyperlink>
      <w:r>
        <w:t xml:space="preserve">, </w:t>
      </w:r>
      <w:hyperlink r:id="rId16">
        <w:r>
          <w:rPr>
            <w:color w:val="205C77"/>
          </w:rPr>
          <w:t>fiche Totem</w:t>
        </w:r>
      </w:hyperlink>
      <w:r>
        <w:t>.</w:t>
      </w:r>
    </w:p>
    <w:p>
      <w:pPr/>
      <w:r>
        <w:t>Ces films ne constituent pas une progression du moins effrayant au plus effrayant. Ils montrent pourquoi « il a déjà vu un film d'aventure » renseigne assez peu sur sa réaction au suivant.</w:t>
      </w:r>
    </w:p>
    <w:p>
      <w:pPr>
        <w:pStyle w:val="Heading2"/>
      </w:pPr>
      <w:r>
        <w:t>Distinguer son envie de la pression des autres</w:t>
      </w:r>
    </w:p>
    <w:p>
      <w:pPr/>
      <w:r>
        <w:t>Demandez ce qui lui donne envie de voir le film. Le personnage ? L'histoire ? Le fait que ses amis en parlent ? Toutes ces raisons peuvent compter, mais elles n'impliquent pas la même envie de vivre des scènes impressionnantes.</w:t>
      </w:r>
    </w:p>
    <w:p>
      <w:pPr/>
      <w:r>
        <w:t>Si l'enfant hésite, vous pouvez lui décrire le type de situation sans raconter tout le film : « Il y a des moments où un enfant est séparé de sa famille. » Laissez-lui la possibilité de préférer autre chose.</w:t>
      </w:r>
    </w:p>
    <w:p>
      <w:pPr/>
      <w:r>
        <w:t>Évitez de présenter le visionnage comme une épreuve à réussir. Un enfant n'a rien à prouver en restant devant une scène qui le gêne.</w:t>
      </w:r>
    </w:p>
    <w:p>
      <w:pPr>
        <w:pStyle w:val="Heading2"/>
      </w:pPr>
      <w:r>
        <w:t>Préparer une séance facile à interrompre</w:t>
      </w:r>
    </w:p>
    <w:p>
      <w:pPr/>
      <w:r>
        <w:t>Choisissez un moment éloigné du coucher, où vous pourrez rester avec lui. Vérifiez les repères d'âge et ne comptez pas sur votre présence pour rendre n'importe quel contenu approprié.</w:t>
      </w:r>
    </w:p>
    <w:p>
      <w:pPr/>
      <w:r>
        <w:t>Dites avant de commencer : « Si tu veux arrêter, tu me le dis. » Gardez la télécommande accessible. Si des frères et sœurs sont présents, prévoyez une solution qui permette à l'un de s'arrêter sans être moqué ni obliger les autres à commenter sa peur.</w:t>
      </w:r>
    </w:p>
    <w:p>
      <w:pPr/>
      <w:r>
        <w:t>Au cinéma, l'intensité sonore et l'impossibilité de mettre sur pause changent les conditions. Une première découverte à la maison peut être plus facile à interrompre lorsqu'un doute subsiste, si le film y est disponible légalement.</w:t>
      </w:r>
    </w:p>
    <w:p>
      <w:pPr/>
      <w:r>
        <w:t>La bande-annonce ne suffit pas toujours pour juger : elle peut accentuer les moments spectaculaires ou laisser de côté un thème important.</w:t>
      </w:r>
    </w:p>
    <w:p>
      <w:pPr>
        <w:pStyle w:val="Heading2"/>
      </w:pPr>
      <w:r>
        <w:t>Pendant et après le film</w:t>
      </w:r>
    </w:p>
    <w:p>
      <w:pPr/>
      <w:r>
        <w:t>Si l'enfant se cache, se fige ou demande de façon répétée si tout va bien se terminer, proposez une pause. Demandez simplement s'il veut continuer. Son silence n'est pas forcément un accord.</w:t>
      </w:r>
    </w:p>
    <w:p>
      <w:pPr/>
      <w:r>
        <w:t>Si une scène a été trop forte, reconnaissez sa réaction : « Je comprends qu'elle t'ait fait peur. » Vous pouvez expliquer les acteurs, le dessin ou la musique s'il souhaite comprendre la fabrication. Inutile d'imposer une nouvelle vision de la scène pour le convaincre qu'elle est sans danger.</w:t>
      </w:r>
    </w:p>
    <w:p>
      <w:pPr/>
      <w:r>
        <w:t xml:space="preserve">Retrouvez ensuite une activité familière. Si les cauchemars, l'anxiété ou les difficultés de sommeil persistent ou vous inquiètent, demandez un avis à un professionnel de santé. N'attribuez pas automatiquement tous les troubles au film : le sommeil peut être perturbé pour plusieurs raisons. </w:t>
      </w:r>
      <w:hyperlink r:id="rId20">
        <w:r>
          <w:rPr>
            <w:color w:val="205C77"/>
          </w:rPr>
          <w:t>Repères d'Ameli sur le sommeil de l'enfant</w:t>
        </w:r>
      </w:hyperlink>
      <w:r>
        <w:t>.</w:t>
      </w:r>
    </w:p>
    <w:p>
      <w:pPr>
        <w:pStyle w:val="Heading2"/>
      </w:pPr>
      <w:r>
        <w:t>Garder une alternative prête</w:t>
      </w:r>
    </w:p>
    <w:p>
      <w:pPr/>
      <w:r>
        <w:t>Un refus passe mieux quand la soirée reste possible. Cherchez un film dont vous connaissez déjà les moments sensibles, ou revenez à un favori de l'enfant. Vous pourrez garder l'autre titre pour plus tard.</w:t>
      </w:r>
    </w:p>
    <w:p>
      <w:pPr/>
      <w:r>
        <w:t xml:space="preserve">Dans les </w:t>
      </w:r>
      <w:hyperlink r:id="rId23">
        <w:r>
          <w:rPr>
            <w:color w:val="205C77"/>
          </w:rPr>
          <w:t>films Totem Avisé</w:t>
        </w:r>
      </w:hyperlink>
      <w:r>
        <w:t>, partez des repères d'âge, puis lisez ce qui concerne la peur et les thèmes sensibles. Si le point qui vous inquiète n'est pas renseigné, vérifiez-le ailleurs avant de décider. L'absence d'avertissement ne garantit pas l'absence d'une scène.</w:t>
      </w:r>
    </w:p>
    <w:p>
      <w:pPr/>
      <w:r>
        <w:t xml:space="preserve">Pour comprendre ce que recouvrent les chiffres affichés, lisez aussi </w:t>
      </w:r>
      <w:hyperlink r:id="rId24">
        <w:r>
          <w:rPr>
            <w:color w:val="205C77"/>
          </w:rPr>
          <w:t>comment lire les recommandations d'âge d'un film</w:t>
        </w:r>
      </w:hyperlink>
      <w:r>
        <w:t>.</w:t>
      </w:r>
    </w:p>
    <w:p>
      <w:pPr>
        <w:pStyle w:val="Heading2"/>
      </w:pPr>
      <w:r>
        <w:t>Sources</w:t>
      </w:r>
    </w:p>
    <w:p>
      <w:pPr>
        <w:numPr>
          <w:ilvl w:val="0"/>
          <w:numId w:val="1003"/>
        </w:numPr>
        <w:spacing w:after="80"/>
      </w:pPr>
      <w:hyperlink r:id="rId9">
        <w:r>
          <w:rPr>
            <w:color w:val="205C77"/>
          </w:rPr>
          <w:t>Larousse — Le Roi lion de 1994</w:t>
        </w:r>
      </w:hyperlink>
    </w:p>
    <w:p>
      <w:pPr>
        <w:numPr>
          <w:ilvl w:val="0"/>
          <w:numId w:val="1003"/>
        </w:numPr>
        <w:spacing w:after="80"/>
      </w:pPr>
      <w:hyperlink r:id="rId13">
        <w:r>
          <w:rPr>
            <w:color w:val="205C77"/>
          </w:rPr>
          <w:t>Pixar — Coco</w:t>
        </w:r>
      </w:hyperlink>
    </w:p>
    <w:p>
      <w:pPr>
        <w:numPr>
          <w:ilvl w:val="0"/>
          <w:numId w:val="1003"/>
        </w:numPr>
        <w:spacing w:after="80"/>
      </w:pPr>
      <w:hyperlink r:id="rId15">
        <w:r>
          <w:rPr>
            <w:color w:val="205C77"/>
          </w:rPr>
          <w:t>Pixar — Vice-versa</w:t>
        </w:r>
      </w:hyperlink>
    </w:p>
    <w:p>
      <w:pPr>
        <w:numPr>
          <w:ilvl w:val="0"/>
          <w:numId w:val="1003"/>
        </w:numPr>
        <w:spacing w:after="80"/>
      </w:pPr>
      <w:hyperlink r:id="rId20">
        <w:r>
          <w:rPr>
            <w:color w:val="205C77"/>
          </w:rPr>
          <w:t>Ameli — Sommeil et troubles chez l'enfant</w:t>
        </w:r>
      </w:hyperlink>
    </w:p>
    <w:sectPr>
      <w:footnotePr>
        <w:numRestart w:val="eachSect"/>
      </w:footnotePr>
      <w:pgSz w:w="12240" w:h="15840"/>
      <w:pgMar w:top="1152" w:bottom="1152"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abstractNum w:abstractNumId="992">
    <w:lvl w:ilvl="0">
      <w:start w:val="1"/>
      <w:numFmt w:val="bullet"/>
      <w:lvlText w:val="•"/>
      <w:lvlJc w:val="left"/>
      <w:pPr>
        <w:ind w:left="360" w:hanging="180"/>
      </w:pPr>
    </w:lvl>
  </w:abstractNum>
  <w:num w:numId="10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59" w:lineRule="auto"/>
    </w:pPr>
    <w:rPr>
      <w:rFonts w:ascii="Calibri" w:hAnsi="Calibri"/>
      <w:color w:val="000000"/>
      <w:sz w:val="22"/>
    </w:rPr>
  </w:style>
  <w:style w:styleId="BodyText" w:type="paragraph">
    <w:name w:val="Body Text"/>
    <w:basedOn w:val="Normal"/>
    <w:link w:val="BodyTextChar"/>
    <w:qFormat/>
    <w:pPr>
      <w:widowControl/>
      <w:spacing w:after="120" w:before="180" w:line="259" w:lineRule="auto"/>
    </w:pPr>
    <w:rPr>
      <w:rFonts w:ascii="Calibri" w:hAnsi="Calibri"/>
      <w:color w:val="000000"/>
      <w:sz w:val="22"/>
    </w:rPr>
  </w:style>
  <w:style w:customStyle="1" w:styleId="FirstParagraph" w:type="paragraph">
    <w:name w:val="First Paragraph"/>
    <w:basedOn w:val="BodyText"/>
    <w:next w:val="BodyText"/>
    <w:qFormat/>
    <w:pPr>
      <w:widowControl/>
      <w:spacing w:after="120" w:line="259" w:lineRule="auto"/>
    </w:pPr>
    <w:rPr>
      <w:rFonts w:ascii="Calibri" w:hAnsi="Calibri"/>
      <w:color w:val="000000"/>
      <w:sz w:val="22"/>
    </w:rPr>
  </w:style>
  <w:style w:customStyle="1" w:styleId="Compact" w:type="paragraph">
    <w:name w:val="Compact"/>
    <w:basedOn w:val="BodyText"/>
    <w:qFormat/>
    <w:pPr>
      <w:widowControl/>
      <w:spacing w:after="120" w:before="36" w:line="259" w:lineRule="auto"/>
    </w:pPr>
    <w:rPr>
      <w:rFonts w:ascii="Calibri" w:hAnsi="Calibri"/>
      <w:color w:val="000000"/>
      <w:sz w:val="22"/>
    </w:rPr>
  </w:style>
  <w:style w:styleId="Title" w:type="paragraph">
    <w:name w:val="Title"/>
    <w:basedOn w:val="Normal"/>
    <w:next w:val="BodyText"/>
    <w:link w:val="TitleChar"/>
    <w:uiPriority w:val="10"/>
    <w:qFormat/>
    <w:rsid w:val="00A10FD9"/>
    <w:pPr>
      <w:keepNext/>
      <w:spacing w:after="120" w:line="240" w:lineRule="auto" w:before="240"/>
      <w:contextualSpacing/>
      <w:jc w:val="center"/>
    </w:pPr>
    <w:rPr>
      <w:rFonts w:asciiTheme="majorHAnsi" w:cstheme="majorBidi" w:eastAsiaTheme="majorEastAsia" w:hAnsiTheme="majorHAnsi" w:ascii="Calibri" w:hAnsi="Calibri"/>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blog/bon-age-film-enfant" TargetMode="External"/><Relationship Id="rId19" Type="http://schemas.openxmlformats.org/officeDocument/2006/relationships/hyperlink" Target="/blog/films-vraiment-educatifs-enfants" TargetMode="External"/><Relationship Id="rId17" Type="http://schemas.openxmlformats.org/officeDocument/2006/relationships/hyperlink" Target="/films" TargetMode="External"/><Relationship Id="rId11" Type="http://schemas.openxmlformats.org/officeDocument/2006/relationships/hyperlink" Target="/notre-methode" TargetMode="External"/><Relationship Id="rId18" Type="http://schemas.openxmlformats.org/officeDocument/2006/relationships/hyperlink" Target="/series" TargetMode="External"/><Relationship Id="rId21" Type="http://schemas.openxmlformats.org/officeDocument/2006/relationships/hyperlink" Target="https://www.ameli.fr/assure/sante/themes/ecrans-enfance-adolescence/ecran-sante-enfant-adolescent" TargetMode="External"/><Relationship Id="rId22" Type="http://schemas.openxmlformats.org/officeDocument/2006/relationships/hyperlink" Target="https://www.education.gouv.fr/bien-grandir-avec-les-ecrans-des-reperes-pour-chaque-age-451121" TargetMode="External"/><Relationship Id="rId9" Type="http://schemas.openxmlformats.org/officeDocument/2006/relationships/hyperlink" Target="https://www.larousse.fr/encyclopedie/film/le_Roi_Lion/3366" TargetMode="External"/><Relationship Id="rId12" Type="http://schemas.openxmlformats.org/officeDocument/2006/relationships/hyperlink" Target="https://totemavise.com/media/movie:a81d4991-583c-46e6-9269-7b6e1820624e" TargetMode="External"/><Relationship Id="rId13" Type="http://schemas.openxmlformats.org/officeDocument/2006/relationships/hyperlink" Target="https://www.pixar.com/coco" TargetMode="External"/><Relationship Id="rId14" Type="http://schemas.openxmlformats.org/officeDocument/2006/relationships/hyperlink" Target="https://totemavise.com/media/movie:3393ce29-40eb-4078-bb35-ef0e89738212" TargetMode="External"/><Relationship Id="rId15" Type="http://schemas.openxmlformats.org/officeDocument/2006/relationships/hyperlink" Target="https://www.pixar.com/inside-out" TargetMode="External"/><Relationship Id="rId16" Type="http://schemas.openxmlformats.org/officeDocument/2006/relationships/hyperlink" Target="https://totemavise.com/media/movie:23985d35-c8be-4b2e-ac43-323d782fb4b6" TargetMode="External"/><Relationship Id="rId20" Type="http://schemas.openxmlformats.org/officeDocument/2006/relationships/hyperlink" Target="https://www.ameli.fr/assure/sante/themes/troubles-sommeil-enfant/sommeil-enfant-importance-troubles-etapes" TargetMode="External"/><Relationship Id="rId23" Type="http://schemas.openxmlformats.org/officeDocument/2006/relationships/hyperlink" Target="https://totemavise.com/films" TargetMode="External"/><Relationship Id="rId24" Type="http://schemas.openxmlformats.org/officeDocument/2006/relationships/hyperlink" Target="https://totemavise.com/blog/bon-age-film-enfant"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blog/bon-age-film-enfant" TargetMode="External"/><Relationship Id="rId19" Type="http://schemas.openxmlformats.org/officeDocument/2006/relationships/hyperlink" Target="/blog/films-vraiment-educatifs-enfants" TargetMode="External"/><Relationship Id="rId17" Type="http://schemas.openxmlformats.org/officeDocument/2006/relationships/hyperlink" Target="/films" TargetMode="External"/><Relationship Id="rId11" Type="http://schemas.openxmlformats.org/officeDocument/2006/relationships/hyperlink" Target="/notre-methode" TargetMode="External"/><Relationship Id="rId18" Type="http://schemas.openxmlformats.org/officeDocument/2006/relationships/hyperlink" Target="/series" TargetMode="External"/><Relationship Id="rId21" Type="http://schemas.openxmlformats.org/officeDocument/2006/relationships/hyperlink" Target="https://www.ameli.fr/assure/sante/themes/ecrans-enfance-adolescence/ecran-sante-enfant-adolescent" TargetMode="External"/><Relationship Id="rId22" Type="http://schemas.openxmlformats.org/officeDocument/2006/relationships/hyperlink" Target="https://www.education.gouv.fr/bien-grandir-avec-les-ecrans-des-reperes-pour-chaque-age-4511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film qui fait peur est-il adapté à votre enfant ?</dc:title>
  <dc:creator>Totem Avisé</dc:creator>
  <cp:keywords/>
  <dcterms:created xsi:type="dcterms:W3CDTF">2026-06-21T14:05:58Z</dcterms:created>
  <dcterms:modified xsi:type="dcterms:W3CDTF">2026-06-21T14:05:58Z</dcterms:modified>
  <dc:subject>Brouillon éditorial</dc:subject>
</cp:coreProperties>
</file>

<file path=docProps/custom.xml><?xml version="1.0" encoding="utf-8"?>
<Properties xmlns="http://schemas.openxmlformats.org/officeDocument/2006/custom-properties" xmlns:vt="http://schemas.openxmlformats.org/officeDocument/2006/docPropsVTypes"/>
</file>