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136"/>
      </w:tblGrid>
      <w:tr>
        <w:trPr>
          <w:cantSplit/>
          <w:tblHeader/>
        </w:trPr>
        <w:tc>
          <w:tcPr>
            <w:tcW w:type="dxa" w:w="1656"/>
            <w:vAlign w:val="center"/>
            <w:shd w:fill="243746"/>
            <w:tcMar>
              <w:top w:w="90" w:type="dxa"/>
              <w:left w:w="90" w:type="dxa"/>
              <w:bottom w:w="90" w:type="dxa"/>
              <w:right w:w="90" w:type="dxa"/>
            </w:tcMar>
          </w:tcPr>
          <w:p>
            <w:pPr>
              <w:spacing w:after="40" w:before="40"/>
            </w:pPr>
            <w:r>
              <w:rPr>
                <w:b/>
                <w:color w:val="FFFFFF"/>
                <w:sz w:val="20"/>
              </w:rPr>
              <w:t>Champ</w:t>
            </w:r>
          </w:p>
        </w:tc>
        <w:tc>
          <w:tcPr>
            <w:tcW w:type="dxa" w:w="8136"/>
            <w:vAlign w:val="center"/>
            <w:shd w:fill="243746"/>
            <w:tcMar>
              <w:top w:w="90" w:type="dxa"/>
              <w:left w:w="90" w:type="dxa"/>
              <w:bottom w:w="90" w:type="dxa"/>
              <w:right w:w="90" w:type="dxa"/>
            </w:tcMar>
          </w:tcPr>
          <w:p>
            <w:pPr>
              <w:spacing w:after="40" w:before="40"/>
            </w:pPr>
            <w:r>
              <w:rPr>
                <w:b/>
                <w:color w:val="FFFFFF"/>
                <w:sz w:val="20"/>
              </w:rPr>
              <w:t>Valeur</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Titre</w:t>
            </w:r>
          </w:p>
        </w:tc>
        <w:tc>
          <w:tcPr>
            <w:tcW w:type="dxa" w:w="8136"/>
            <w:vAlign w:val="center"/>
            <w:shd w:fill="FFFFFF"/>
            <w:tcMar>
              <w:top w:w="90" w:type="dxa"/>
              <w:left w:w="90" w:type="dxa"/>
              <w:bottom w:w="90" w:type="dxa"/>
              <w:right w:w="90" w:type="dxa"/>
            </w:tcMar>
          </w:tcPr>
          <w:p>
            <w:pPr>
              <w:spacing w:after="40" w:before="40"/>
            </w:pPr>
            <w:r>
              <w:rPr>
                <w:color w:val="000000"/>
                <w:sz w:val="20"/>
              </w:rPr>
              <w:t>Réviser avec un écran : a-t-on vraiment appris ?</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Slug</w:t>
            </w:r>
          </w:p>
        </w:tc>
        <w:tc>
          <w:tcPr>
            <w:tcW w:type="dxa" w:w="8136"/>
            <w:vAlign w:val="center"/>
            <w:shd w:fill="F4F6F7"/>
            <w:tcMar>
              <w:top w:w="90" w:type="dxa"/>
              <w:left w:w="90" w:type="dxa"/>
              <w:bottom w:w="90" w:type="dxa"/>
              <w:right w:w="90" w:type="dxa"/>
            </w:tcMar>
          </w:tcPr>
          <w:p>
            <w:pPr>
              <w:spacing w:after="40" w:before="40"/>
            </w:pPr>
            <w:r>
              <w:rPr>
                <w:color w:val="000000"/>
                <w:sz w:val="20"/>
              </w:rPr>
              <w:t>revisions-ecrans-outils-numeriques</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Catégorie</w:t>
            </w:r>
          </w:p>
        </w:tc>
        <w:tc>
          <w:tcPr>
            <w:tcW w:type="dxa" w:w="8136"/>
            <w:vAlign w:val="center"/>
            <w:shd w:fill="FFFFFF"/>
            <w:tcMar>
              <w:top w:w="90" w:type="dxa"/>
              <w:left w:w="90" w:type="dxa"/>
              <w:bottom w:w="90" w:type="dxa"/>
              <w:right w:w="90" w:type="dxa"/>
            </w:tcMar>
          </w:tcPr>
          <w:p>
            <w:pPr>
              <w:spacing w:after="40" w:before="40"/>
            </w:pPr>
            <w:r>
              <w:rPr>
                <w:color w:val="000000"/>
                <w:sz w:val="20"/>
              </w:rPr>
              <w:t>guides-pratiques</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Auteur</w:t>
            </w:r>
          </w:p>
        </w:tc>
        <w:tc>
          <w:tcPr>
            <w:tcW w:type="dxa" w:w="8136"/>
            <w:vAlign w:val="center"/>
            <w:shd w:fill="F4F6F7"/>
            <w:tcMar>
              <w:top w:w="90" w:type="dxa"/>
              <w:left w:w="90" w:type="dxa"/>
              <w:bottom w:w="90" w:type="dxa"/>
              <w:right w:w="90" w:type="dxa"/>
            </w:tcMar>
          </w:tcPr>
          <w:p>
            <w:pPr>
              <w:spacing w:after="40" w:before="40"/>
            </w:pPr>
            <w:r>
              <w:rPr>
                <w:color w:val="000000"/>
                <w:sz w:val="20"/>
              </w:rPr>
              <w:t>Totem Avisé</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Résumé</w:t>
            </w:r>
          </w:p>
        </w:tc>
        <w:tc>
          <w:tcPr>
            <w:tcW w:type="dxa" w:w="8136"/>
            <w:vAlign w:val="center"/>
            <w:shd w:fill="FFFFFF"/>
            <w:tcMar>
              <w:top w:w="90" w:type="dxa"/>
              <w:left w:w="90" w:type="dxa"/>
              <w:bottom w:w="90" w:type="dxa"/>
              <w:right w:w="90" w:type="dxa"/>
            </w:tcMar>
          </w:tcPr>
          <w:p>
            <w:pPr>
              <w:spacing w:after="40" w:before="40"/>
            </w:pPr>
            <w:r>
              <w:rPr>
                <w:color w:val="000000"/>
                <w:sz w:val="20"/>
              </w:rPr>
              <w:t>Choisissez une notion, une ressource et un exercice à refaire sans écran. Lumni, Les fondamentaux et quelques cartes mémoire peuvent suffire.</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Titre SEO</w:t>
            </w:r>
          </w:p>
        </w:tc>
        <w:tc>
          <w:tcPr>
            <w:tcW w:type="dxa" w:w="8136"/>
            <w:vAlign w:val="center"/>
            <w:shd w:fill="F4F6F7"/>
            <w:tcMar>
              <w:top w:w="90" w:type="dxa"/>
              <w:left w:w="90" w:type="dxa"/>
              <w:bottom w:w="90" w:type="dxa"/>
              <w:right w:w="90" w:type="dxa"/>
            </w:tcMar>
          </w:tcPr>
          <w:p>
            <w:pPr>
              <w:spacing w:after="40" w:before="40"/>
            </w:pPr>
            <w:r>
              <w:rPr>
                <w:color w:val="000000"/>
                <w:sz w:val="20"/>
              </w:rPr>
              <w:t>Révisions sur écran — outils et séance pratique</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Description SEO</w:t>
            </w:r>
          </w:p>
        </w:tc>
        <w:tc>
          <w:tcPr>
            <w:tcW w:type="dxa" w:w="8136"/>
            <w:vAlign w:val="center"/>
            <w:shd w:fill="FFFFFF"/>
            <w:tcMar>
              <w:top w:w="90" w:type="dxa"/>
              <w:left w:w="90" w:type="dxa"/>
              <w:bottom w:w="90" w:type="dxa"/>
              <w:right w:w="90" w:type="dxa"/>
            </w:tcMar>
          </w:tcPr>
          <w:p>
            <w:pPr>
              <w:spacing w:after="40" w:before="40"/>
            </w:pPr>
            <w:r>
              <w:rPr>
                <w:color w:val="000000"/>
                <w:sz w:val="20"/>
              </w:rPr>
              <w:t>Une séance de révision à adapter, des ressources Lumni et Canopé, et une méthode pour vérifier ce qui a été retenu sans multiplier les applications.</w:t>
            </w:r>
          </w:p>
        </w:tc>
      </w:tr>
    </w:tbl>
    <w:p>
      <w:pPr>
        <w:pStyle w:val="Heading1"/>
      </w:pPr>
      <w:r>
        <w:t>Réviser avec un écran : a-t-on vraiment appris ?</w:t>
      </w:r>
    </w:p>
    <w:p>
      <w:pPr/>
      <w:r>
        <w:t>« J'ai révisé pendant une heure. » Très bien. Mais quelle notion est devenue plus claire ?</w:t>
      </w:r>
    </w:p>
    <w:p>
      <w:pPr/>
      <w:r>
        <w:t>Une vidéo peut débloquer une explication, un quiz faire apparaître une erreur, un document partagé aider à préparer un oral. Le problème arrive quand l'enfant passe de l'un à l'autre sans savoir ce qu'il cherche à apprendre.</w:t>
      </w:r>
    </w:p>
    <w:p>
      <w:pPr/>
      <w:r>
        <w:t>Avant d'ouvrir un outil, faites nommer une tâche assez précise pour pouvoir la terminer : comparer deux fractions, retenir huit mots, expliquer les causes d'un événement. Vous pourrez ensuite choisir la ressource qui lui correspond.</w:t>
      </w:r>
    </w:p>
    <w:p>
      <w:pPr>
        <w:pStyle w:val="Heading2"/>
      </w:pPr>
      <w:r>
        <w:t>Trois ressources selon le travail à faire</w:t>
      </w:r>
    </w:p>
    <w:p>
      <w:pPr>
        <w:pStyle w:val="Heading3"/>
      </w:pPr>
      <w:r>
        <w:t>Une explication courte avec Les fondamentaux</w:t>
      </w:r>
    </w:p>
    <w:p>
      <w:pPr/>
      <w:r>
        <w:t xml:space="preserve">Les vidéos </w:t>
      </w:r>
      <w:r>
        <w:rPr>
          <w:b/>
        </w:rPr>
        <w:t>Les fondamentaux</w:t>
      </w:r>
      <w:r>
        <w:t xml:space="preserve">, conçues par Réseau Canopé, abordent des notions scolaires et disposent de documents d'accompagnement. La </w:t>
      </w:r>
      <w:hyperlink r:id="rId9">
        <w:r>
          <w:rPr>
            <w:color w:val="205C77"/>
          </w:rPr>
          <w:t>présentation de Canopé</w:t>
        </w:r>
      </w:hyperlink>
      <w:r>
        <w:t xml:space="preserve"> indique à quels publics elles s'adressent et comment les utiliser.</w:t>
      </w:r>
    </w:p>
    <w:p>
      <w:pPr/>
      <w:r>
        <w:t xml:space="preserve">Pour une difficulté précise, cherchez le nom de la notion plutôt que de lancer toute une série. Le dossier </w:t>
      </w:r>
      <w:hyperlink r:id="rId10">
        <w:r>
          <w:rPr>
            <w:color w:val="205C77"/>
          </w:rPr>
          <w:t>Nombres et calcul sur Lumni</w:t>
        </w:r>
      </w:hyperlink>
      <w:r>
        <w:t xml:space="preserve"> peut servir de point de départ.</w:t>
      </w:r>
    </w:p>
    <w:p>
      <w:pPr/>
      <w:r>
        <w:rPr>
          <w:b/>
        </w:rPr>
        <w:t>À faire après :</w:t>
      </w:r>
      <w:r>
        <w:t xml:space="preserve"> fermer la vidéo et refaire un exemple sur papier. Si l'enfant a besoin de revoir un passage, revenez à celui-là. Il n'est pas nécessaire de tout recommencer ni d'enchaîner trois nouvelles vidéos.</w:t>
      </w:r>
    </w:p>
    <w:p>
      <w:pPr>
        <w:pStyle w:val="Heading3"/>
      </w:pPr>
      <w:r>
        <w:t>Un dossier Lumni pour préparer un exposé</w:t>
      </w:r>
    </w:p>
    <w:p>
      <w:pPr/>
      <w:hyperlink r:id="rId11">
        <w:r>
          <w:rPr>
            <w:color w:val="205C77"/>
          </w:rPr>
          <w:t>Lumni</w:t>
        </w:r>
      </w:hyperlink>
      <w:r>
        <w:t xml:space="preserve"> rassemble des ressources classées par niveau et matière. Choisissez une page adaptée au niveau de l'élève et au sujet demandé.</w:t>
      </w:r>
    </w:p>
    <w:p>
      <w:pPr/>
      <w:r>
        <w:rPr>
          <w:b/>
        </w:rPr>
        <w:t>À faire après :</w:t>
      </w:r>
      <w:r>
        <w:t xml:space="preserve"> relever deux informations utiles, le titre de la ressource et son auteur ou éditeur. L'enfant doit pouvoir retrouver d'où vient ce qu'il a noté. Pour une recherche, une vidéo vue sans conserver sa référence sera difficile à citer ensuite.</w:t>
      </w:r>
    </w:p>
    <w:p>
      <w:pPr/>
      <w:r>
        <w:t>Ce premier document peut orienter la recherche, mais un exposé demande parfois de croiser plusieurs sources et de respecter les consignes de l'enseignant.</w:t>
      </w:r>
    </w:p>
    <w:p>
      <w:pPr>
        <w:pStyle w:val="Heading3"/>
      </w:pPr>
      <w:r>
        <w:t>Des cartes pour retrouver la réponse de mémoire</w:t>
      </w:r>
    </w:p>
    <w:p>
      <w:pPr/>
      <w:r>
        <w:t>Pour le vocabulaire, une question d'un côté et une réponse de l'autre suffisent. Vous pouvez utiliser du papier ou un outil déjà connu de l'enfant. Le choix d'une nouvelle application n'est pas toujours nécessaire.</w:t>
      </w:r>
    </w:p>
    <w:p>
      <w:pPr/>
      <w:r>
        <w:rPr>
          <w:b/>
        </w:rPr>
        <w:t>À faire après :</w:t>
      </w:r>
      <w:r>
        <w:t xml:space="preserve"> répondre avant de retourner la carte. Séparez les éléments retrouvés facilement de ceux à reprendre. Vérifiez les réponses avec le cours avant de mémoriser les cartes.</w:t>
      </w:r>
    </w:p>
    <w:p>
      <w:pPr/>
      <w:r>
        <w:t>Une carte qui contient tout un paragraphe peut être difficile à utiliser. Découpez plutôt en questions précises, sans réduire une notion complexe à une formule trompeuse.</w:t>
      </w:r>
    </w:p>
    <w:p>
      <w:pPr>
        <w:pStyle w:val="Heading2"/>
      </w:pPr>
      <w:r>
        <w:t>Une séance concrète autour des fractions</w:t>
      </w:r>
    </w:p>
    <w:p>
      <w:pPr/>
      <w:r>
        <w:t>Voici un exemple d'organisation à adapter, pas une durée recommandée pour tous les âges.</w:t>
      </w:r>
    </w:p>
    <w:p>
      <w:pPr/>
      <w:r>
        <w:t xml:space="preserve">L'objectif est de savoir comparer </w:t>
      </w:r>
      <w:r>
        <w:rPr>
          <w:b/>
        </w:rPr>
        <w:t>1/2 et 1/4</w:t>
      </w:r>
      <w:r>
        <w:t xml:space="preserve">, puis </w:t>
      </w:r>
      <w:r>
        <w:rPr>
          <w:b/>
        </w:rPr>
        <w:t>2/3 et 3/4</w:t>
      </w:r>
      <w:r>
        <w:t>.</w:t>
      </w:r>
    </w:p>
    <w:p>
      <w:pPr/>
      <w:r>
        <w:t>Commencez avec deux dessins de la même taille. Partagez l'un en deux, l'autre en quatre. Une moitié est plus grande qu'un quart. Si cette étape reste floue, choisissez une explication sur le partage en parts égales dans les ressources de Canopé ou reprenez le manuel.</w:t>
      </w:r>
    </w:p>
    <w:p>
      <w:pPr/>
      <w:r>
        <w:t>Pour le second calcul, le passage aux douzièmes donne 2/3 = 8/12 et 3/4 = 9/12. Donc 2/3 est plus petit que 3/4. Le cours peut proposer une autre méthode adaptée à ce qui a déjà été appris en classe.</w:t>
      </w:r>
    </w:p>
    <w:p>
      <w:pPr/>
      <w:r>
        <w:t xml:space="preserve">Fermez la ressource et faites expliquer </w:t>
      </w:r>
      <w:r>
        <w:rPr>
          <w:b/>
        </w:rPr>
        <w:t>pourquoi on ne peut pas conclure que la fraction ayant le plus grand dénominateur est toujours la plus grande</w:t>
      </w:r>
      <w:r>
        <w:t>. Si l'enfant hésite, utilisez de nouveau les dessins. C'est le point à travailler ; nul besoin d'ajouter immédiatement une autre application.</w:t>
      </w:r>
    </w:p>
    <w:p>
      <w:pPr/>
      <w:r>
        <w:t>La séance peut se terminer par une note : « Je sais comparer des parts d'une même unité ; je dois encore travailler le dénominateur commun. » Elle sera utile la prochaine fois.</w:t>
      </w:r>
    </w:p>
    <w:p>
      <w:pPr>
        <w:pStyle w:val="Heading2"/>
      </w:pPr>
      <w:r>
        <w:t>Préparer l'appareil pour cette seule tâche</w:t>
      </w:r>
    </w:p>
    <w:p>
      <w:pPr/>
      <w:r>
        <w:t>Ouvrez la ressource choisie et fermez les onglets sans rapport. Coupez les notifications qui peuvent attendre. Gardez le cahier, une feuille et de quoi écrire à côté.</w:t>
      </w:r>
    </w:p>
    <w:p>
      <w:pPr/>
      <w:r>
        <w:t>Si le téléphone sert à consulter le cours, il n'a pas besoin de rester ouvert sur la messagerie en même temps. Vous pouvez convenir d'un moment où les messages seront regardés après le travail prévu.</w:t>
      </w:r>
    </w:p>
    <w:p>
      <w:pPr/>
      <w:r>
        <w:t>Une pause peut se faire debout, avec un verre d'eau ou quelques pas. Si elle commence par un fil de vidéos, le retour au travail risque de demander une nouvelle négociation.</w:t>
      </w:r>
    </w:p>
    <w:p>
      <w:pPr/>
      <w:r>
        <w:t xml:space="preserve">Pour une aide centrée sur les devoirs, notre guide </w:t>
      </w:r>
      <w:hyperlink r:id="rId13">
        <w:r>
          <w:rPr>
            <w:color w:val="205C77"/>
          </w:rPr>
          <w:t>ChatGPT et devoirs</w:t>
        </w:r>
      </w:hyperlink>
      <w:r>
        <w:t xml:space="preserve"> propose des consignes concrètes à adapter.</w:t>
      </w:r>
    </w:p>
    <w:p>
      <w:pPr>
        <w:pStyle w:val="Heading2"/>
      </w:pPr>
      <w:r>
        <w:t>Quelle place pour une IA</w:t>
      </w:r>
    </w:p>
    <w:p>
      <w:pPr/>
      <w:r>
        <w:t>Une IA peut proposer un exercice ou reformuler une explication. Il faut encore pouvoir vérifier ce qu'elle produit. Elle n'est donc pas le meilleur point de départ quand personne ne maîtrise suffisamment la notion.</w:t>
      </w:r>
    </w:p>
    <w:p>
      <w:pPr/>
      <w:r>
        <w:t xml:space="preserve">Respectez les conditions d'âge du service et les consignes du professeur. Pour ChatGPT, les </w:t>
      </w:r>
      <w:hyperlink r:id="rId14">
        <w:r>
          <w:rPr>
            <w:color w:val="205C77"/>
          </w:rPr>
          <w:t>règles d'accès</w:t>
        </w:r>
      </w:hyperlink>
      <w:r>
        <w:t xml:space="preserve"> excluent l'usage direct par les moins de 13 ans et exigent l'autorisation parentale pour les mineurs concernés. Le </w:t>
      </w:r>
      <w:hyperlink r:id="rId15">
        <w:r>
          <w:rPr>
            <w:color w:val="205C77"/>
          </w:rPr>
          <w:t>cadre scolaire français</w:t>
        </w:r>
      </w:hyperlink>
      <w:r>
        <w:t xml:space="preserve"> prévoit ses propres limites d'utilisation.</w:t>
      </w:r>
    </w:p>
    <w:p>
      <w:pPr/>
      <w:r>
        <w:t>Une demande comme « Pose-moi une question puis attends ma réponse » peut garder l'élève actif. Une correction fausse reste possible : comparez avec le cours avant de la retenir.</w:t>
      </w:r>
    </w:p>
    <w:p>
      <w:pPr>
        <w:pStyle w:val="Heading2"/>
      </w:pPr>
      <w:r>
        <w:t>Terminer avant de s'épuiser</w:t>
      </w:r>
    </w:p>
    <w:p>
      <w:pPr/>
      <w:r>
        <w:t>Quand les mêmes erreurs reviennent et que l'enfant ne comprend plus les explications, ajouter une vidéo n'est pas forcément utile. Notez le point qui bloque pour le reprendre ou le montrer au professeur.</w:t>
      </w:r>
    </w:p>
    <w:p>
      <w:pPr/>
      <w:r>
        <w:t xml:space="preserve">Gardez le coucher à l'heure prévue. Les </w:t>
      </w:r>
      <w:hyperlink r:id="rId24">
        <w:r>
          <w:rPr>
            <w:color w:val="205C77"/>
          </w:rPr>
          <w:t>repères d'Ameli</w:t>
        </w:r>
      </w:hyperlink>
      <w:r>
        <w:t xml:space="preserve"> rappellent la place du sommeil chez l'adolescent. Une révision sur écran dans le lit peut retarder la fin de la journée sans rendre le travail plus clair.</w:t>
      </w:r>
    </w:p>
    <w:p>
      <w:pPr/>
      <w:r>
        <w:t>Au prochain contrôle, vous pourrez repartir de la note laissée après la séance. Elle dira mieux ce qu'il faut revoir qu'un compteur de temps passé devant l'ordinateur.</w:t>
      </w:r>
    </w:p>
    <w:p>
      <w:pPr>
        <w:pStyle w:val="Heading2"/>
      </w:pPr>
      <w:r>
        <w:t>Sources</w:t>
      </w:r>
    </w:p>
    <w:p>
      <w:pPr>
        <w:numPr>
          <w:ilvl w:val="0"/>
          <w:numId w:val="1002"/>
        </w:numPr>
        <w:spacing w:after="80"/>
      </w:pPr>
      <w:hyperlink r:id="rId9">
        <w:r>
          <w:rPr>
            <w:color w:val="205C77"/>
          </w:rPr>
          <w:t>Réseau Canopé — Les fondamentaux</w:t>
        </w:r>
      </w:hyperlink>
    </w:p>
    <w:p>
      <w:pPr>
        <w:numPr>
          <w:ilvl w:val="0"/>
          <w:numId w:val="1002"/>
        </w:numPr>
        <w:spacing w:after="80"/>
      </w:pPr>
      <w:hyperlink r:id="rId10">
        <w:r>
          <w:rPr>
            <w:color w:val="205C77"/>
          </w:rPr>
          <w:t>Lumni — Nombres et calcul</w:t>
        </w:r>
      </w:hyperlink>
    </w:p>
    <w:p>
      <w:pPr>
        <w:numPr>
          <w:ilvl w:val="0"/>
          <w:numId w:val="1002"/>
        </w:numPr>
        <w:spacing w:after="80"/>
      </w:pPr>
      <w:hyperlink r:id="rId11">
        <w:r>
          <w:rPr>
            <w:color w:val="205C77"/>
          </w:rPr>
          <w:t>Lumni — Ressources du primaire</w:t>
        </w:r>
      </w:hyperlink>
    </w:p>
    <w:p>
      <w:pPr>
        <w:numPr>
          <w:ilvl w:val="0"/>
          <w:numId w:val="1002"/>
        </w:numPr>
        <w:spacing w:after="80"/>
      </w:pPr>
      <w:hyperlink r:id="rId15">
        <w:r>
          <w:rPr>
            <w:color w:val="205C77"/>
          </w:rPr>
          <w:t>Éducation nationale — Cadre d'usage de l'IA</w:t>
        </w:r>
      </w:hyperlink>
    </w:p>
    <w:p>
      <w:pPr>
        <w:numPr>
          <w:ilvl w:val="0"/>
          <w:numId w:val="1002"/>
        </w:numPr>
        <w:spacing w:after="80"/>
      </w:pPr>
      <w:hyperlink r:id="rId14">
        <w:r>
          <w:rPr>
            <w:color w:val="205C77"/>
          </w:rPr>
          <w:t>OpenAI — Âge et accompagnement</w:t>
        </w:r>
      </w:hyperlink>
    </w:p>
    <w:p>
      <w:pPr>
        <w:numPr>
          <w:ilvl w:val="0"/>
          <w:numId w:val="1002"/>
        </w:numPr>
        <w:spacing w:after="80"/>
      </w:pPr>
      <w:hyperlink r:id="rId24">
        <w:r>
          <w:rPr>
            <w:color w:val="205C77"/>
          </w:rPr>
          <w:t>Ameli — Sommeil de l'adolescent</w:t>
        </w:r>
      </w:hyperlink>
    </w:p>
    <w:sectPr>
      <w:footnotePr>
        <w:numRestart w:val="eachSect"/>
      </w:footnotePr>
      <w:pgSz w:w="12240" w:h="15840"/>
      <w:pgMar w:top="1152" w:bottom="1152"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abstractNum w:abstractNumId="992">
    <w:lvl w:ilvl="0">
      <w:start w:val="1"/>
      <w:numFmt w:val="bullet"/>
      <w:lvlText w:val="•"/>
      <w:lvlJc w:val="left"/>
      <w:pPr>
        <w:ind w:left="360" w:hanging="180"/>
      </w:pPr>
    </w:lvl>
  </w:abstractNum>
  <w:num w:numId="100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9" w:lineRule="auto"/>
    </w:pPr>
    <w:rPr>
      <w:rFonts w:ascii="Calibri" w:hAnsi="Calibri"/>
      <w:color w:val="000000"/>
      <w:sz w:val="22"/>
    </w:rPr>
  </w:style>
  <w:style w:styleId="BodyText" w:type="paragraph">
    <w:name w:val="Body Text"/>
    <w:basedOn w:val="Normal"/>
    <w:link w:val="BodyTextChar"/>
    <w:qFormat/>
    <w:pPr>
      <w:widowControl/>
      <w:spacing w:after="12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20" w:line="259" w:lineRule="auto"/>
    </w:pPr>
    <w:rPr>
      <w:rFonts w:ascii="Calibri" w:hAnsi="Calibri"/>
      <w:color w:val="000000"/>
      <w:sz w:val="22"/>
    </w:rPr>
  </w:style>
  <w:style w:customStyle="1" w:styleId="Compact" w:type="paragraph">
    <w:name w:val="Compact"/>
    <w:basedOn w:val="BodyText"/>
    <w:qFormat/>
    <w:pPr>
      <w:widowControl/>
      <w:spacing w:after="120" w:before="36" w:line="259" w:lineRule="auto"/>
    </w:pPr>
    <w:rPr>
      <w:rFonts w:ascii="Calibri" w:hAnsi="Calibri"/>
      <w:color w:val="000000"/>
      <w:sz w:val="22"/>
    </w:rPr>
  </w:style>
  <w:style w:styleId="Title" w:type="paragraph">
    <w:name w:val="Title"/>
    <w:basedOn w:val="Normal"/>
    <w:next w:val="BodyText"/>
    <w:link w:val="TitleChar"/>
    <w:uiPriority w:val="10"/>
    <w:qFormat/>
    <w:rsid w:val="00A10FD9"/>
    <w:pPr>
      <w:keepNext/>
      <w:spacing w:after="120" w:line="240" w:lineRule="auto" w:before="240"/>
      <w:contextualSpacing/>
      <w:jc w:val="center"/>
    </w:pPr>
    <w:rPr>
      <w:rFonts w:asciiTheme="majorHAnsi" w:cstheme="majorBidi" w:eastAsiaTheme="majorEastAsia" w:hAnsiTheme="majorHAnsi" w:ascii="Calibri" w:hAnsi="Calibri"/>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Calibri" w:hAnsi="Calibr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heme="majorHAnsi" w:cstheme="majorBidi" w:eastAsiaTheme="majorEastAsia" w:hAnsiTheme="majorHAnsi" w:ascii="Calibri" w:hAnsi="Calibri"/>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cstheme="majorBidi" w:eastAsiaTheme="majorEastAsia" w:ascii="Calibri" w:hAnsi="Calibr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blog/chatgpt-devoirs-parents" TargetMode="External"/><Relationship Id="rId18" Type="http://schemas.openxmlformats.org/officeDocument/2006/relationships/hyperlink" Target="/blog/qualite-contenu-plus-que-chronometre" TargetMode="External"/><Relationship Id="rId19" Type="http://schemas.openxmlformats.org/officeDocument/2006/relationships/hyperlink" Target="/guides" TargetMode="External"/><Relationship Id="rId20" Type="http://schemas.openxmlformats.org/officeDocument/2006/relationships/hyperlink" Target="/objectif" TargetMode="External"/><Relationship Id="rId22" Type="http://schemas.openxmlformats.org/officeDocument/2006/relationships/hyperlink" Target="https://eduscol.education.fr/6702/les-intelligences-artificielles-et-leurs-usages-en-education" TargetMode="External"/><Relationship Id="rId24" Type="http://schemas.openxmlformats.org/officeDocument/2006/relationships/hyperlink" Target="https://www.ameli.fr/assure/sante/themes/adolescents-sommeil/sommeil-de-l-adolescent-quelles-particularites" TargetMode="External"/><Relationship Id="rId23" Type="http://schemas.openxmlformats.org/officeDocument/2006/relationships/hyperlink" Target="https://www.education.gouv.fr/creation-du-comite-d-anticipation-en-education-et-deploiement-du-parcours-pix-ia-l-ecole-se-prepare-468899" TargetMode="External"/><Relationship Id="rId9" Type="http://schemas.openxmlformats.org/officeDocument/2006/relationships/hyperlink" Target="https://www.reseau-canope.fr/notice/les-fondamentaux" TargetMode="External"/><Relationship Id="rId10" Type="http://schemas.openxmlformats.org/officeDocument/2006/relationships/hyperlink" Target="https://www.lumni.fr/dossier/les-fondamentaux-nombres-et-calcul" TargetMode="External"/><Relationship Id="rId11" Type="http://schemas.openxmlformats.org/officeDocument/2006/relationships/hyperlink" Target="https://www.lumni.fr/primaire" TargetMode="External"/><Relationship Id="rId13" Type="http://schemas.openxmlformats.org/officeDocument/2006/relationships/hyperlink" Target="https://totemavise.com/blog/chatgpt-devoirs-parents" TargetMode="External"/><Relationship Id="rId14" Type="http://schemas.openxmlformats.org/officeDocument/2006/relationships/hyperlink" Target="https://help.openai.com/en/articles/8313401" TargetMode="External"/><Relationship Id="rId15" Type="http://schemas.openxmlformats.org/officeDocument/2006/relationships/hyperlink" Target="https://www.education.gouv.fr/sites/default/files/2025-06/l-ia-en-ducation-cadre-d-usage-440685.pdf"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blog/chatgpt-devoirs-parents" TargetMode="External"/><Relationship Id="rId18" Type="http://schemas.openxmlformats.org/officeDocument/2006/relationships/hyperlink" Target="/blog/qualite-contenu-plus-que-chronometre" TargetMode="External"/><Relationship Id="rId19" Type="http://schemas.openxmlformats.org/officeDocument/2006/relationships/hyperlink" Target="/guides" TargetMode="External"/><Relationship Id="rId20" Type="http://schemas.openxmlformats.org/officeDocument/2006/relationships/hyperlink" Target="/objectif" TargetMode="External"/><Relationship Id="rId22" Type="http://schemas.openxmlformats.org/officeDocument/2006/relationships/hyperlink" Target="https://eduscol.education.fr/6702/les-intelligences-artificielles-et-leurs-usages-en-education" TargetMode="External"/><Relationship Id="rId24" Type="http://schemas.openxmlformats.org/officeDocument/2006/relationships/hyperlink" Target="https://www.ameli.fr/assure/sante/themes/adolescents-sommeil/sommeil-de-l-adolescent-quelles-particularites" TargetMode="External"/><Relationship Id="rId23" Type="http://schemas.openxmlformats.org/officeDocument/2006/relationships/hyperlink" Target="https://www.education.gouv.fr/creation-du-comite-d-anticipation-en-education-et-deploiement-du-parcours-pix-ia-l-ecole-se-prepare-4688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Réviser avec un écran : a-t-on vraiment appris ?</dc:title>
  <dc:creator>Totem Avisé</dc:creator>
  <cp:keywords/>
  <dcterms:created xsi:type="dcterms:W3CDTF">2026-06-21T14:05:58Z</dcterms:created>
  <dcterms:modified xsi:type="dcterms:W3CDTF">2026-06-21T14:05:58Z</dcterms:modified>
  <dc:subject>Brouillon éditorial</dc:subject>
</cp:coreProperties>
</file>

<file path=docProps/custom.xml><?xml version="1.0" encoding="utf-8"?>
<Properties xmlns="http://schemas.openxmlformats.org/officeDocument/2006/custom-properties" xmlns:vt="http://schemas.openxmlformats.org/officeDocument/2006/docPropsVTypes"/>
</file>