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w:t>
            </w:r>
          </w:p>
        </w:tc>
      </w:tr>
      <w:tr>
        <w:tc>
          <w:tcPr/>
          <w:p>
            <w:pPr>
              <w:pStyle w:val="Compact"/>
            </w:pPr>
            <w:r>
              <w:t xml:space="preserve">Titre</w:t>
            </w:r>
          </w:p>
        </w:tc>
        <w:tc>
          <w:tcPr/>
          <w:p>
            <w:pPr>
              <w:pStyle w:val="Compact"/>
            </w:pPr>
            <w:r>
              <w:t xml:space="preserve">Révisions et écrans : les bons outils numériques sans tomber dans la distraction</w:t>
            </w:r>
          </w:p>
        </w:tc>
      </w:tr>
      <w:tr>
        <w:tc>
          <w:tcPr/>
          <w:p>
            <w:pPr>
              <w:pStyle w:val="Compact"/>
            </w:pPr>
            <w:r>
              <w:t xml:space="preserve">Slug</w:t>
            </w:r>
          </w:p>
        </w:tc>
        <w:tc>
          <w:tcPr/>
          <w:p>
            <w:pPr>
              <w:pStyle w:val="Compact"/>
            </w:pPr>
            <w:r>
              <w:t xml:space="preserve">revisions-ecrans-outils-numeriques</w:t>
            </w:r>
          </w:p>
        </w:tc>
      </w:tr>
      <w:tr>
        <w:tc>
          <w:tcPr/>
          <w:p>
            <w:pPr>
              <w:pStyle w:val="Compact"/>
            </w:pPr>
            <w:r>
              <w:t xml:space="preserve">Catégorie</w:t>
            </w:r>
          </w:p>
        </w:tc>
        <w:tc>
          <w:tcPr/>
          <w:p>
            <w:pPr>
              <w:pStyle w:val="Compact"/>
            </w:pPr>
            <w:r>
              <w:t xml:space="preserve">guides-pratiques</w:t>
            </w:r>
          </w:p>
        </w:tc>
      </w:tr>
      <w:tr>
        <w:tc>
          <w:tcPr/>
          <w:p>
            <w:pPr>
              <w:pStyle w:val="Compact"/>
            </w:pPr>
            <w:r>
              <w:t xml:space="preserve">Auteur</w:t>
            </w:r>
          </w:p>
        </w:tc>
        <w:tc>
          <w:tcPr/>
          <w:p>
            <w:pPr>
              <w:pStyle w:val="Compact"/>
            </w:pPr>
            <w:r>
              <w:t xml:space="preserve">L'équipe Totem Avisé</w:t>
            </w:r>
          </w:p>
        </w:tc>
      </w:tr>
      <w:tr>
        <w:tc>
          <w:tcPr/>
          <w:p>
            <w:pPr>
              <w:pStyle w:val="Compact"/>
            </w:pPr>
            <w:r>
              <w:t xml:space="preserve">Résumé</w:t>
            </w:r>
          </w:p>
        </w:tc>
        <w:tc>
          <w:tcPr/>
          <w:p>
            <w:pPr>
              <w:pStyle w:val="Compact"/>
            </w:pPr>
            <w:r>
              <w:t xml:space="preserve">Applications, IA, vidéos, fiches, minuteurs : comment utiliser le numérique pour réviser sans se perdre dans les distractions.</w:t>
            </w:r>
          </w:p>
        </w:tc>
      </w:tr>
      <w:tr>
        <w:tc>
          <w:tcPr/>
          <w:p>
            <w:pPr>
              <w:pStyle w:val="Compact"/>
            </w:pPr>
            <w:r>
              <w:t xml:space="preserve">Titre SEO</w:t>
            </w:r>
          </w:p>
        </w:tc>
        <w:tc>
          <w:tcPr/>
          <w:p>
            <w:pPr>
              <w:pStyle w:val="Compact"/>
            </w:pPr>
            <w:r>
              <w:t xml:space="preserve">Révisions et écrans : outils numériques utiles</w:t>
            </w:r>
          </w:p>
        </w:tc>
      </w:tr>
      <w:tr>
        <w:tc>
          <w:tcPr/>
          <w:p>
            <w:pPr>
              <w:pStyle w:val="Compact"/>
            </w:pPr>
            <w:r>
              <w:t xml:space="preserve">Description SEO</w:t>
            </w:r>
          </w:p>
        </w:tc>
        <w:tc>
          <w:tcPr/>
          <w:p>
            <w:pPr>
              <w:pStyle w:val="Compact"/>
            </w:pPr>
            <w:r>
              <w:t xml:space="preserve">Révisions et écrans : comment aider un enfant ou un ado à utiliser les outils numériques sans tomber dans la distraction.</w:t>
            </w:r>
          </w:p>
        </w:tc>
      </w:tr>
    </w:tbl>
    <w:bookmarkStart w:id="26" w:name="X8ee3d84cf62fb5d1c2a7879c94a819d8574a38e"/>
    <w:p>
      <w:pPr>
        <w:pStyle w:val="Heading1"/>
      </w:pPr>
      <w:r>
        <w:t xml:space="preserve">Révisions et écrans : les bons outils numériques sans tomber dans la distraction</w:t>
      </w:r>
    </w:p>
    <w:p>
      <w:pPr>
        <w:pStyle w:val="FirstParagraph"/>
      </w:pPr>
      <w:r>
        <w:t xml:space="preserve">À l'approche d'un contrôle, le même ordinateur ouvert « pour réviser » peut produire deux soirées radicalement différentes. Parfois, trois quarts d'heure plus tard, on ne sait plus très bien ce qui a été appris : une vidéo en a appelé une autre, une notification a coupé l'élan, une recherche de définition a fini sur tout autre chose. Personne n'a triché, le travail a juste fondu sans laisser de trace.</w:t>
      </w:r>
    </w:p>
    <w:p>
      <w:pPr>
        <w:pStyle w:val="BodyText"/>
      </w:pPr>
      <w:r>
        <w:t xml:space="preserve">Pourtant, le même écran peut sauver une session. Une vidéo explique enfin une notion qui résistait depuis deux semaines. Une application fait mémoriser du vocabulaire mieux qu'une liste recopiée. Un minuteur transforme une montagne floue en vingt minutes concrètes. Une IA reformule une consigne incompréhensible. Le numérique n'est ni le héros ni le coupable de l'histoire. Tout dépend du cadre qu'on lui donne.</w:t>
      </w:r>
    </w:p>
    <w:p>
      <w:pPr>
        <w:pStyle w:val="BodyText"/>
      </w:pPr>
      <w:r>
        <w:t xml:space="preserve">Pour réviser, un écran doit rester un outil, pas un couloir avec dix portes ouvertes en même temps.</w:t>
      </w:r>
    </w:p>
    <w:bookmarkStart w:id="9" w:name="commencer-par-nommer-la-tâche"/>
    <w:p>
      <w:pPr>
        <w:pStyle w:val="Heading2"/>
      </w:pPr>
      <w:r>
        <w:t xml:space="preserve">Commencer par nommer la tâche</w:t>
      </w:r>
    </w:p>
    <w:p>
      <w:pPr>
        <w:pStyle w:val="FirstParagraph"/>
      </w:pPr>
      <w:r>
        <w:t xml:space="preserve">Avant d'allumer quoi que ce soit, l'enfant devrait pouvoir dire en une phrase ce qu'il va faire. « Je révise » ne veut presque rien dire. « Je fais dix questions sur le chapitre », « je refais ma carte mentale », « je regarde cinq minutes d'explication sur le théorème », « je m'entraîne sur vingt mots d'anglais » : là, on sait où l'on va, et surtout on saura quand s'arrêter.</w:t>
      </w:r>
    </w:p>
    <w:p>
      <w:pPr>
        <w:pStyle w:val="BodyText"/>
      </w:pPr>
      <w:r>
        <w:t xml:space="preserve">Une question suffit souvent à lancer la machine dans le bon sens : « Qu'est-ce que tu veux avoir terminé dans vingt minutes ? » Si la réponse ne vient pas, l'écran choisira à la place de l'enfant, et il choisit rarement les exercices.</w:t>
      </w:r>
    </w:p>
    <w:bookmarkEnd w:id="9"/>
    <w:bookmarkStart w:id="10" w:name="les-outils-qui-aident-vraiment"/>
    <w:p>
      <w:pPr>
        <w:pStyle w:val="Heading2"/>
      </w:pPr>
      <w:r>
        <w:t xml:space="preserve">Les outils qui aident vraiment</w:t>
      </w:r>
    </w:p>
    <w:p>
      <w:pPr>
        <w:pStyle w:val="FirstParagraph"/>
      </w:pPr>
      <w:r>
        <w:t xml:space="preserve">Tous les outils numériques ne rendent pas le même service, et c'est utile de le rappeler à un ado qui croit qu'« être sur l'ordi » équivaut à travailler. Certains servent à comprendre quand on bloque : vidéos pédagogiques, cours en ligne, IA sollicitée pour reformuler une notion. D'autres servent à s'entraîner, et ce sont souvent les plus efficaces parce qu'ils obligent à produire une réponse : quiz, exercices interactifs, cartes mémoire, applications de langues.</w:t>
      </w:r>
    </w:p>
    <w:p>
      <w:pPr>
        <w:pStyle w:val="BodyText"/>
      </w:pPr>
      <w:r>
        <w:t xml:space="preserve">Viennent ensuite les outils d'organisation, plus discrets mais précieux : un agenda, un minuteur, une liste de tâches suffisent à dégonfler l'impression de montagne. Et puis il y a les outils de production, ceux qui servent à construire un rendu (traitement de texte, présentation, tableur), et les outils de collaboration, qui aident parfois mais dispersent vite.</w:t>
      </w:r>
    </w:p>
    <w:p>
      <w:pPr>
        <w:pStyle w:val="BodyText"/>
      </w:pPr>
      <w:r>
        <w:t xml:space="preserve">La règle est la même pour toutes ces familles : un outil est bon s'il sert la tâche du jour, et il devient un problème dès qu'il ouvre plus de distractions qu'il n'en résout.</w:t>
      </w:r>
    </w:p>
    <w:bookmarkEnd w:id="10"/>
    <w:bookmarkStart w:id="11" w:name="Xea91e0dbc9754ac5b529da4d1ce99a7f14a2910"/>
    <w:p>
      <w:pPr>
        <w:pStyle w:val="Heading2"/>
      </w:pPr>
      <w:r>
        <w:t xml:space="preserve">Des sessions courtes plutôt que des heures floues</w:t>
      </w:r>
    </w:p>
    <w:p>
      <w:pPr>
        <w:pStyle w:val="FirstParagraph"/>
      </w:pPr>
      <w:r>
        <w:t xml:space="preserve">Pour beaucoup d'enfants et d'ados, mieux vaut une session courte et ciblée qu'une longue plage molle avec trois onglets ouverts et le téléphone à côté. C'est un conseil de bon sens, pas une règle gravée dans le marbre : à vous d'ajuster selon l'âge et la matière. Mais l'idée tient bien : vingt minutes de travail vraiment concentré valent souvent mieux qu'une heure entamée puis grignotée par les notifications.</w:t>
      </w:r>
    </w:p>
    <w:p>
      <w:pPr>
        <w:pStyle w:val="BodyText"/>
      </w:pPr>
      <w:r>
        <w:t xml:space="preserve">Un rythme simple fonctionne dans beaucoup de familles. On prend deux minutes pour poser la tâche, on travaille une vingtaine de minutes, on s'accorde une vraie pause sans réseaux sociaux, puis on termine par une phrase de bilan : « Qu'est-ce qui est plus clair maintenant ? »</w:t>
      </w:r>
    </w:p>
    <w:p>
      <w:pPr>
        <w:pStyle w:val="BodyText"/>
      </w:pPr>
      <w:r>
        <w:t xml:space="preserve">Ce dernier point compte plus qu'il n'en a l'air. Un enfant peut rester assis longtemps devant un écran sans rien apprendre. Le bilan, même bref, oblige à vérifier que quelque chose a bougé.</w:t>
      </w:r>
    </w:p>
    <w:bookmarkEnd w:id="11"/>
    <w:bookmarkStart w:id="13" w:name="X93f970b64c2408a1d4de894201efb27b115462c"/>
    <w:p>
      <w:pPr>
        <w:pStyle w:val="Heading2"/>
      </w:pPr>
      <w:r>
        <w:t xml:space="preserve">L'IA peut réviser avec l'enfant, pas à sa place</w:t>
      </w:r>
    </w:p>
    <w:p>
      <w:pPr>
        <w:pStyle w:val="FirstParagraph"/>
      </w:pPr>
      <w:r>
        <w:t xml:space="preserve">L'intelligence artificielle est entrée à l'école, et plutôt par la grande porte. Depuis janvier 2026, les parcours Pix consacrés à l'IA sont généralisés pour les élèves de 4e, de 2nde et de première année de CAP, leur mise en œuvre obligatoire s'étalant progressivement sur les années scolaires 2025-2026 et 2026-2027. Autrement dit, vos enfants vont apprendre à utiliser ces outils dans un cadre scolaire. Autant que la maison parle le même langage.</w:t>
      </w:r>
    </w:p>
    <w:p>
      <w:pPr>
        <w:pStyle w:val="BodyText"/>
      </w:pPr>
      <w:r>
        <w:t xml:space="preserve">Pour réviser, l'IA peut beaucoup : expliquer une notion autrement, proposer un quiz, corriger une phrase en montrant l'erreur, faire répéter un oral. Elle peut aussi rédiger le devoir entier, et c'est là que tout se joue. La différence tient à la consigne qu'on lui donne.</w:t>
      </w:r>
    </w:p>
    <w:p>
      <w:pPr>
        <w:pStyle w:val="BodyText"/>
      </w:pPr>
      <w:r>
        <w:t xml:space="preserve">Quelques demandes qui gardent l'enfant aux commandes : « Explique-moi cette notion avec un exemple simple », « pose-moi cinq questions sans me donner les réponses tout de suite », « corrige mon texte et explique mes erreurs », « aide-moi à faire un plan mais ne rédige pas à ma place ». À l'inverse, « fais mon devoir », « rédige toute ma dissertation » ou « donne-moi seulement la réponse » court-circuitent l'apprentissage. Notre article sur</w:t>
      </w:r>
      <w:r>
        <w:t xml:space="preserve"> </w:t>
      </w:r>
      <w:hyperlink r:id="rId12">
        <w:r>
          <w:rPr>
            <w:rStyle w:val="Hyperlink"/>
          </w:rPr>
          <w:t xml:space="preserve">ChatGPT et les devoirs</w:t>
        </w:r>
      </w:hyperlink>
      <w:r>
        <w:t xml:space="preserve"> </w:t>
      </w:r>
      <w:r>
        <w:t xml:space="preserve">détaille ce cadre ; l'idée tient en une ligne : l'IA soutient l'effort, elle ne le remplace pas.</w:t>
      </w:r>
    </w:p>
    <w:bookmarkEnd w:id="13"/>
    <w:bookmarkStart w:id="14" w:name="le-téléphone-mauvais-bureau-de-révision"/>
    <w:p>
      <w:pPr>
        <w:pStyle w:val="Heading2"/>
      </w:pPr>
      <w:r>
        <w:t xml:space="preserve">Le téléphone, mauvais bureau de révision</w:t>
      </w:r>
    </w:p>
    <w:p>
      <w:pPr>
        <w:pStyle w:val="FirstParagraph"/>
      </w:pPr>
      <w:r>
        <w:t xml:space="preserve">Le téléphone est pratique, mais il concentre trop de tentations au même endroit : messages, réseaux sociaux, photos, jeux, notifications. Pour réviser, un ordinateur ou une tablette configurée reste souvent plus calme. Et quand le téléphone est indispensable, le mode concentration, les notifications coupées et l'éloignement des applications sociales font une vraie différence.</w:t>
      </w:r>
    </w:p>
    <w:p>
      <w:pPr>
        <w:pStyle w:val="BodyText"/>
      </w:pPr>
      <w:r>
        <w:t xml:space="preserve">Une idée qui aide quand elle est possible : que l'appareil de révision ne soit pas l'appareil de discussion. Ce n'est pas toujours réaliste, mais séparer les deux usages enlève beaucoup de friction.</w:t>
      </w:r>
    </w:p>
    <w:p>
      <w:pPr>
        <w:pStyle w:val="BodyText"/>
      </w:pPr>
      <w:r>
        <w:t xml:space="preserve">À défaut, on peut bricoler un « mode révision » assez simple : notifications coupées, une seule application ouverte, téléphone posé hors de portée pendant les exercices sur papier, réseaux sociaux bloqués jusqu'à la pause, minuteur bien visible. Le but n'est pas de miser sur la volonté pure. Même les adultes perdent face aux notifications, alors autant ne pas demander l'impossible à un ado.</w:t>
      </w:r>
    </w:p>
    <w:bookmarkEnd w:id="14"/>
    <w:bookmarkStart w:id="15" w:name="les-vidéos-choisir-avant-pas-pendant"/>
    <w:p>
      <w:pPr>
        <w:pStyle w:val="Heading2"/>
      </w:pPr>
      <w:r>
        <w:t xml:space="preserve">Les vidéos : choisir avant, pas pendant</w:t>
      </w:r>
    </w:p>
    <w:p>
      <w:pPr>
        <w:pStyle w:val="FirstParagraph"/>
      </w:pPr>
      <w:r>
        <w:t xml:space="preserve">Les vidéos pédagogiques peuvent être excellentes. Le problème, c'est que les plateformes qui les hébergent sont aussi des machines à recommander. L'enfant part chercher une explication sur les fractions et se retrouve happé par tout autre chose.</w:t>
      </w:r>
    </w:p>
    <w:p>
      <w:pPr>
        <w:pStyle w:val="BodyText"/>
      </w:pPr>
      <w:r>
        <w:t xml:space="preserve">La parade tient en peu de mots : choisir la vidéo avant la session, en mettre le lien dans le planning, regarder une vidéo pour une notion, puis fermer. Si elle dure vingt-cinq minutes, rien n'empêche de la couper en deux.</w:t>
      </w:r>
    </w:p>
    <w:p>
      <w:pPr>
        <w:pStyle w:val="BodyText"/>
      </w:pPr>
      <w:r>
        <w:t xml:space="preserve">Et comme pour le reste, mieux vaut laisser une trace : trois idées retenues, un exemple refait soi-même, une question qui reste en suspens, un petit schéma. Sans cela, la vidéo donne l'agréable impression d'avoir compris, sans le moindre entraînement réel derrière.</w:t>
      </w:r>
    </w:p>
    <w:bookmarkEnd w:id="15"/>
    <w:bookmarkStart w:id="16" w:name="X076f62a6bfb6934330d9424fa8d78403a80ba15"/>
    <w:p>
      <w:pPr>
        <w:pStyle w:val="Heading2"/>
      </w:pPr>
      <w:r>
        <w:t xml:space="preserve">Réviser à plusieurs sans tomber dans le faux collectif</w:t>
      </w:r>
    </w:p>
    <w:p>
      <w:pPr>
        <w:pStyle w:val="FirstParagraph"/>
      </w:pPr>
      <w:r>
        <w:t xml:space="preserve">Travailler en groupe peut motiver. Mais un groupe de révision sur une messagerie se transforme vite en groupe de bavardage, de stress ou de comparaison. Pour que ça tienne, il faut un minimum de cadre : une durée limitée, une question précise à traiter, un document commun, pas de flux de notifications permanent, et un adulte joignable si le ton dérape. Un bon groupe aide chacun à comprendre ; un mauvais groupe ne fait qu'ajouter du bruit.</w:t>
      </w:r>
    </w:p>
    <w:bookmarkEnd w:id="16"/>
    <w:bookmarkStart w:id="17" w:name="le-sommeil-fait-partie-des-révisions"/>
    <w:p>
      <w:pPr>
        <w:pStyle w:val="Heading2"/>
      </w:pPr>
      <w:r>
        <w:t xml:space="preserve">Le sommeil fait partie des révisions</w:t>
      </w:r>
    </w:p>
    <w:p>
      <w:pPr>
        <w:pStyle w:val="FirstParagraph"/>
      </w:pPr>
      <w:r>
        <w:t xml:space="preserve">On l'oublie souvent, mais réviser tard sur écran peut repousser le coucher et réduire la qualité de l'attention le lendemain. Ameli rappelle que le sommeil de l'adolescent est particulièrement fragile, et qu'il pèse sur la mémoire, la régulation des émotions et la santé mentale. Avant un contrôle ou un examen, le meilleur outil numérique est parfois celui qu'on referme à temps.</w:t>
      </w:r>
    </w:p>
    <w:p>
      <w:pPr>
        <w:pStyle w:val="BodyText"/>
      </w:pPr>
      <w:r>
        <w:t xml:space="preserve">Une habitude de maison aide bien : pas de révision sur écran dans le lit. Si une dernière relecture s'impose, une fiche papier et une lecture courte font le travail, puis on dort.</w:t>
      </w:r>
    </w:p>
    <w:bookmarkEnd w:id="17"/>
    <w:bookmarkStart w:id="21" w:name="accompagner-sans-surveiller-chaque-clic"/>
    <w:p>
      <w:pPr>
        <w:pStyle w:val="Heading2"/>
      </w:pPr>
      <w:r>
        <w:t xml:space="preserve">Accompagner sans surveiller chaque clic</w:t>
      </w:r>
    </w:p>
    <w:p>
      <w:pPr>
        <w:pStyle w:val="FirstParagraph"/>
      </w:pPr>
      <w:r>
        <w:t xml:space="preserve">Suivre les révisions numériques ne veut pas dire rester planté derrière l'enfant. Trois points de contrôle suffisent. Au départ : « Qu'est-ce que tu vas travailler ? » En cours de route : « Tu en es où ? » À la fin, la question qui compte vraiment : « Qu'est-ce que tu sais mieux qu'avant ? »</w:t>
      </w:r>
    </w:p>
    <w:p>
      <w:pPr>
        <w:pStyle w:val="BodyText"/>
      </w:pPr>
      <w:r>
        <w:t xml:space="preserve">Cette dernière déplace l'attention du temps passé vers le progrès réel. Un enfant peut avoir consacré quarante minutes à une vidéo sans rien retenir, et un autre avoir fait quinze minutes d'exercices en avançant beaucoup. Le bon indicateur n'est donc pas la durée, mais la clarté : l'enfant sait-il expliquer ce qu'il vient de réviser ?</w:t>
      </w:r>
    </w:p>
    <w:p>
      <w:pPr>
        <w:pStyle w:val="BodyText"/>
      </w:pPr>
      <w:r>
        <w:t xml:space="preserve">Chez Totem Avisé, nous ne sommes pas anti-écrans. Nous défendons un usage qui garde l'enfant acteur, exactement comme pour les films, les séries ou les jeux, où la</w:t>
      </w:r>
      <w:r>
        <w:t xml:space="preserve"> </w:t>
      </w:r>
      <w:hyperlink r:id="rId18">
        <w:r>
          <w:rPr>
            <w:rStyle w:val="Hyperlink"/>
          </w:rPr>
          <w:t xml:space="preserve">qualité du contenu</w:t>
        </w:r>
      </w:hyperlink>
      <w:r>
        <w:t xml:space="preserve">, le contexte et l'accompagnement comptent plus que le chronomètre. Pour aller plus loin, nos</w:t>
      </w:r>
      <w:r>
        <w:t xml:space="preserve"> </w:t>
      </w:r>
      <w:hyperlink r:id="rId19">
        <w:r>
          <w:rPr>
            <w:rStyle w:val="Hyperlink"/>
          </w:rPr>
          <w:t xml:space="preserve">guides parents</w:t>
        </w:r>
      </w:hyperlink>
      <w:r>
        <w:t xml:space="preserve"> </w:t>
      </w:r>
      <w:r>
        <w:t xml:space="preserve">et notre</w:t>
      </w:r>
      <w:r>
        <w:t xml:space="preserve"> </w:t>
      </w:r>
      <w:hyperlink r:id="rId20">
        <w:r>
          <w:rPr>
            <w:rStyle w:val="Hyperlink"/>
          </w:rPr>
          <w:t xml:space="preserve">objectif</w:t>
        </w:r>
      </w:hyperlink>
      <w:r>
        <w:t xml:space="preserve"> </w:t>
      </w:r>
      <w:r>
        <w:t xml:space="preserve">précisent cette approche. Le numérique peut être un très bon compagnon de révision : une intention claire, un outil choisi, une sortie prévue, et il reste à sa place.</w:t>
      </w:r>
    </w:p>
    <w:bookmarkEnd w:id="21"/>
    <w:bookmarkStart w:id="25" w:name="pour-aller-plus-loin"/>
    <w:p>
      <w:pPr>
        <w:pStyle w:val="Heading2"/>
      </w:pPr>
      <w:r>
        <w:t xml:space="preserve">Pour aller plus loin</w:t>
      </w:r>
    </w:p>
    <w:p>
      <w:pPr>
        <w:pStyle w:val="Compact"/>
        <w:numPr>
          <w:ilvl w:val="0"/>
          <w:numId w:val="1001"/>
        </w:numPr>
      </w:pPr>
      <w:hyperlink r:id="rId22">
        <w:r>
          <w:rPr>
            <w:rStyle w:val="Hyperlink"/>
          </w:rPr>
          <w:t xml:space="preserve">Les intelligences artificielles et leurs usages en éducation (Éduscol)</w:t>
        </w:r>
      </w:hyperlink>
    </w:p>
    <w:p>
      <w:pPr>
        <w:pStyle w:val="Compact"/>
        <w:numPr>
          <w:ilvl w:val="0"/>
          <w:numId w:val="1001"/>
        </w:numPr>
      </w:pPr>
      <w:hyperlink r:id="rId23">
        <w:r>
          <w:rPr>
            <w:rStyle w:val="Hyperlink"/>
          </w:rPr>
          <w:t xml:space="preserve">Création du comité d'anticipation en éducation et déploiement du parcours Pix IA (Éducation nationale)</w:t>
        </w:r>
      </w:hyperlink>
    </w:p>
    <w:p>
      <w:pPr>
        <w:pStyle w:val="Compact"/>
        <w:numPr>
          <w:ilvl w:val="0"/>
          <w:numId w:val="1001"/>
        </w:numPr>
      </w:pPr>
      <w:hyperlink r:id="rId24">
        <w:r>
          <w:rPr>
            <w:rStyle w:val="Hyperlink"/>
          </w:rPr>
          <w:t xml:space="preserve">Sommeil de l'adolescent : quelles particularités ? (Ameli)</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blog/chatgpt-devoirs-parents" TargetMode="External" /><Relationship Type="http://schemas.openxmlformats.org/officeDocument/2006/relationships/hyperlink" Id="rId18" Target="/blog/qualite-contenu-plus-que-chronometre" TargetMode="External" /><Relationship Type="http://schemas.openxmlformats.org/officeDocument/2006/relationships/hyperlink" Id="rId19" Target="/guides" TargetMode="External" /><Relationship Type="http://schemas.openxmlformats.org/officeDocument/2006/relationships/hyperlink" Id="rId20" Target="/objectif" TargetMode="External" /><Relationship Type="http://schemas.openxmlformats.org/officeDocument/2006/relationships/hyperlink" Id="rId22" Target="https://eduscol.education.fr/6702/les-intelligences-artificielles-et-leurs-usages-en-education" TargetMode="External" /><Relationship Type="http://schemas.openxmlformats.org/officeDocument/2006/relationships/hyperlink" Id="rId24" Target="https://www.ameli.fr/assure/sante/themes/adolescents-sommeil/sommeil-de-l-adolescent-quelles-particularites" TargetMode="External" /><Relationship Type="http://schemas.openxmlformats.org/officeDocument/2006/relationships/hyperlink" Id="rId23" Target="https://www.education.gouv.fr/creation-du-comite-d-anticipation-en-education-et-deploiement-du-parcours-pix-ia-l-ecole-se-prepare-468899" TargetMode="External" /></Relationships>
</file>

<file path=word/_rels/footnotes.xml.rels><?xml version="1.0" encoding="UTF-8"?><Relationships xmlns="http://schemas.openxmlformats.org/package/2006/relationships"><Relationship Type="http://schemas.openxmlformats.org/officeDocument/2006/relationships/hyperlink" Id="rId12" Target="/blog/chatgpt-devoirs-parents" TargetMode="External" /><Relationship Type="http://schemas.openxmlformats.org/officeDocument/2006/relationships/hyperlink" Id="rId18" Target="/blog/qualite-contenu-plus-que-chronometre" TargetMode="External" /><Relationship Type="http://schemas.openxmlformats.org/officeDocument/2006/relationships/hyperlink" Id="rId19" Target="/guides" TargetMode="External" /><Relationship Type="http://schemas.openxmlformats.org/officeDocument/2006/relationships/hyperlink" Id="rId20" Target="/objectif" TargetMode="External" /><Relationship Type="http://schemas.openxmlformats.org/officeDocument/2006/relationships/hyperlink" Id="rId22" Target="https://eduscol.education.fr/6702/les-intelligences-artificielles-et-leurs-usages-en-education" TargetMode="External" /><Relationship Type="http://schemas.openxmlformats.org/officeDocument/2006/relationships/hyperlink" Id="rId24" Target="https://www.ameli.fr/assure/sante/themes/adolescents-sommeil/sommeil-de-l-adolescent-quelles-particularites" TargetMode="External" /><Relationship Type="http://schemas.openxmlformats.org/officeDocument/2006/relationships/hyperlink" Id="rId23" Target="https://www.education.gouv.fr/creation-du-comite-d-anticipation-en-education-et-deploiement-du-parcours-pix-ia-l-ecole-se-prepare-4688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2026-06-21T14:05:58Z</dcterms:created>
  <dcterms:modified xsi:type="dcterms:W3CDTF">2026-06-21T14:05:58Z</dcterms:modified>
</cp:coreProperties>
</file>

<file path=docProps/custom.xml><?xml version="1.0" encoding="utf-8"?>
<Properties xmlns="http://schemas.openxmlformats.org/officeDocument/2006/custom-properties" xmlns:vt="http://schemas.openxmlformats.org/officeDocument/2006/docPropsVTypes"/>
</file>