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136"/>
      </w:tblGrid>
      <w:tr>
        <w:trPr>
          <w:cantSplit/>
          <w:tblHeader/>
        </w:trPr>
        <w:tc>
          <w:tcPr>
            <w:tcW w:type="dxa" w:w="1656"/>
            <w:vAlign w:val="center"/>
            <w:shd w:fill="243746"/>
            <w:tcMar>
              <w:top w:w="90" w:type="dxa"/>
              <w:left w:w="90" w:type="dxa"/>
              <w:bottom w:w="90" w:type="dxa"/>
              <w:right w:w="90" w:type="dxa"/>
            </w:tcMar>
          </w:tcPr>
          <w:p>
            <w:pPr>
              <w:spacing w:after="40" w:before="40"/>
            </w:pPr>
            <w:r>
              <w:rPr>
                <w:b/>
                <w:color w:val="FFFFFF"/>
                <w:sz w:val="20"/>
              </w:rPr>
              <w:t>Champ</w:t>
            </w:r>
          </w:p>
        </w:tc>
        <w:tc>
          <w:tcPr>
            <w:tcW w:type="dxa" w:w="8136"/>
            <w:vAlign w:val="center"/>
            <w:shd w:fill="243746"/>
            <w:tcMar>
              <w:top w:w="90" w:type="dxa"/>
              <w:left w:w="90" w:type="dxa"/>
              <w:bottom w:w="90" w:type="dxa"/>
              <w:right w:w="90" w:type="dxa"/>
            </w:tcMar>
          </w:tcPr>
          <w:p>
            <w:pPr>
              <w:spacing w:after="40" w:before="40"/>
            </w:pPr>
            <w:r>
              <w:rPr>
                <w:b/>
                <w:color w:val="FFFFFF"/>
                <w:sz w:val="20"/>
              </w:rPr>
              <w:t>Valeur</w:t>
            </w:r>
          </w:p>
        </w:tc>
      </w:tr>
      <w:tr>
        <w:trPr>
          <w:cantSplit/>
        </w:trPr>
        <w:tc>
          <w:tcPr>
            <w:tcW w:type="dxa" w:w="1656"/>
            <w:vAlign w:val="center"/>
            <w:shd w:fill="FFFFFF"/>
            <w:tcMar>
              <w:top w:w="90" w:type="dxa"/>
              <w:left w:w="90" w:type="dxa"/>
              <w:bottom w:w="90" w:type="dxa"/>
              <w:right w:w="90" w:type="dxa"/>
            </w:tcMar>
          </w:tcPr>
          <w:p>
            <w:pPr>
              <w:spacing w:after="40" w:before="40"/>
            </w:pPr>
            <w:r>
              <w:rPr>
                <w:color w:val="000000"/>
                <w:sz w:val="20"/>
              </w:rPr>
              <w:t>Titre</w:t>
            </w:r>
          </w:p>
        </w:tc>
        <w:tc>
          <w:tcPr>
            <w:tcW w:type="dxa" w:w="8136"/>
            <w:vAlign w:val="center"/>
            <w:shd w:fill="FFFFFF"/>
            <w:tcMar>
              <w:top w:w="90" w:type="dxa"/>
              <w:left w:w="90" w:type="dxa"/>
              <w:bottom w:w="90" w:type="dxa"/>
              <w:right w:w="90" w:type="dxa"/>
            </w:tcMar>
          </w:tcPr>
          <w:p>
            <w:pPr>
              <w:spacing w:after="40" w:before="40"/>
            </w:pPr>
            <w:r>
              <w:rPr>
                <w:color w:val="000000"/>
                <w:sz w:val="20"/>
              </w:rPr>
              <w:t>ChatGPT et devoirs : aider sans faire à la place</w:t>
            </w:r>
          </w:p>
        </w:tc>
      </w:tr>
      <w:tr>
        <w:trPr>
          <w:cantSplit/>
        </w:trPr>
        <w:tc>
          <w:tcPr>
            <w:tcW w:type="dxa" w:w="1656"/>
            <w:vAlign w:val="center"/>
            <w:shd w:fill="F4F6F7"/>
            <w:tcMar>
              <w:top w:w="90" w:type="dxa"/>
              <w:left w:w="90" w:type="dxa"/>
              <w:bottom w:w="90" w:type="dxa"/>
              <w:right w:w="90" w:type="dxa"/>
            </w:tcMar>
          </w:tcPr>
          <w:p>
            <w:pPr>
              <w:spacing w:after="40" w:before="40"/>
            </w:pPr>
            <w:r>
              <w:rPr>
                <w:color w:val="000000"/>
                <w:sz w:val="20"/>
              </w:rPr>
              <w:t>Slug</w:t>
            </w:r>
          </w:p>
        </w:tc>
        <w:tc>
          <w:tcPr>
            <w:tcW w:type="dxa" w:w="8136"/>
            <w:vAlign w:val="center"/>
            <w:shd w:fill="F4F6F7"/>
            <w:tcMar>
              <w:top w:w="90" w:type="dxa"/>
              <w:left w:w="90" w:type="dxa"/>
              <w:bottom w:w="90" w:type="dxa"/>
              <w:right w:w="90" w:type="dxa"/>
            </w:tcMar>
          </w:tcPr>
          <w:p>
            <w:pPr>
              <w:spacing w:after="40" w:before="40"/>
            </w:pPr>
            <w:r>
              <w:rPr>
                <w:color w:val="000000"/>
                <w:sz w:val="20"/>
              </w:rPr>
              <w:t>chatgpt-devoirs-parents</w:t>
            </w:r>
          </w:p>
        </w:tc>
      </w:tr>
      <w:tr>
        <w:trPr>
          <w:cantSplit/>
        </w:trPr>
        <w:tc>
          <w:tcPr>
            <w:tcW w:type="dxa" w:w="1656"/>
            <w:vAlign w:val="center"/>
            <w:shd w:fill="FFFFFF"/>
            <w:tcMar>
              <w:top w:w="90" w:type="dxa"/>
              <w:left w:w="90" w:type="dxa"/>
              <w:bottom w:w="90" w:type="dxa"/>
              <w:right w:w="90" w:type="dxa"/>
            </w:tcMar>
          </w:tcPr>
          <w:p>
            <w:pPr>
              <w:spacing w:after="40" w:before="40"/>
            </w:pPr>
            <w:r>
              <w:rPr>
                <w:color w:val="000000"/>
                <w:sz w:val="20"/>
              </w:rPr>
              <w:t>Catégorie</w:t>
            </w:r>
          </w:p>
        </w:tc>
        <w:tc>
          <w:tcPr>
            <w:tcW w:type="dxa" w:w="8136"/>
            <w:vAlign w:val="center"/>
            <w:shd w:fill="FFFFFF"/>
            <w:tcMar>
              <w:top w:w="90" w:type="dxa"/>
              <w:left w:w="90" w:type="dxa"/>
              <w:bottom w:w="90" w:type="dxa"/>
              <w:right w:w="90" w:type="dxa"/>
            </w:tcMar>
          </w:tcPr>
          <w:p>
            <w:pPr>
              <w:spacing w:after="40" w:before="40"/>
            </w:pPr>
            <w:r>
              <w:rPr>
                <w:color w:val="000000"/>
                <w:sz w:val="20"/>
              </w:rPr>
              <w:t>parentalite-numerique</w:t>
            </w:r>
          </w:p>
        </w:tc>
      </w:tr>
      <w:tr>
        <w:trPr>
          <w:cantSplit/>
        </w:trPr>
        <w:tc>
          <w:tcPr>
            <w:tcW w:type="dxa" w:w="1656"/>
            <w:vAlign w:val="center"/>
            <w:shd w:fill="F4F6F7"/>
            <w:tcMar>
              <w:top w:w="90" w:type="dxa"/>
              <w:left w:w="90" w:type="dxa"/>
              <w:bottom w:w="90" w:type="dxa"/>
              <w:right w:w="90" w:type="dxa"/>
            </w:tcMar>
          </w:tcPr>
          <w:p>
            <w:pPr>
              <w:spacing w:after="40" w:before="40"/>
            </w:pPr>
            <w:r>
              <w:rPr>
                <w:color w:val="000000"/>
                <w:sz w:val="20"/>
              </w:rPr>
              <w:t>Auteur</w:t>
            </w:r>
          </w:p>
        </w:tc>
        <w:tc>
          <w:tcPr>
            <w:tcW w:type="dxa" w:w="8136"/>
            <w:vAlign w:val="center"/>
            <w:shd w:fill="F4F6F7"/>
            <w:tcMar>
              <w:top w:w="90" w:type="dxa"/>
              <w:left w:w="90" w:type="dxa"/>
              <w:bottom w:w="90" w:type="dxa"/>
              <w:right w:w="90" w:type="dxa"/>
            </w:tcMar>
          </w:tcPr>
          <w:p>
            <w:pPr>
              <w:spacing w:after="40" w:before="40"/>
            </w:pPr>
            <w:r>
              <w:rPr>
                <w:color w:val="000000"/>
                <w:sz w:val="20"/>
              </w:rPr>
              <w:t>Totem Avisé</w:t>
            </w:r>
          </w:p>
        </w:tc>
      </w:tr>
      <w:tr>
        <w:trPr>
          <w:cantSplit/>
        </w:trPr>
        <w:tc>
          <w:tcPr>
            <w:tcW w:type="dxa" w:w="1656"/>
            <w:vAlign w:val="center"/>
            <w:shd w:fill="FFFFFF"/>
            <w:tcMar>
              <w:top w:w="90" w:type="dxa"/>
              <w:left w:w="90" w:type="dxa"/>
              <w:bottom w:w="90" w:type="dxa"/>
              <w:right w:w="90" w:type="dxa"/>
            </w:tcMar>
          </w:tcPr>
          <w:p>
            <w:pPr>
              <w:spacing w:after="40" w:before="40"/>
            </w:pPr>
            <w:r>
              <w:rPr>
                <w:color w:val="000000"/>
                <w:sz w:val="20"/>
              </w:rPr>
              <w:t>Résumé</w:t>
            </w:r>
          </w:p>
        </w:tc>
        <w:tc>
          <w:tcPr>
            <w:tcW w:type="dxa" w:w="8136"/>
            <w:vAlign w:val="center"/>
            <w:shd w:fill="FFFFFF"/>
            <w:tcMar>
              <w:top w:w="90" w:type="dxa"/>
              <w:left w:w="90" w:type="dxa"/>
              <w:bottom w:w="90" w:type="dxa"/>
              <w:right w:w="90" w:type="dxa"/>
            </w:tcMar>
          </w:tcPr>
          <w:p>
            <w:pPr>
              <w:spacing w:after="40" w:before="40"/>
            </w:pPr>
            <w:r>
              <w:rPr>
                <w:color w:val="000000"/>
                <w:sz w:val="20"/>
              </w:rPr>
              <w:t>Vérifiez d'abord l'âge d'accès et les consignes du professeur. Pour les devoirs, demandez une explication ou un exercice, puis faites fermer l'outil.</w:t>
            </w:r>
          </w:p>
        </w:tc>
      </w:tr>
      <w:tr>
        <w:trPr>
          <w:cantSplit/>
        </w:trPr>
        <w:tc>
          <w:tcPr>
            <w:tcW w:type="dxa" w:w="1656"/>
            <w:vAlign w:val="center"/>
            <w:shd w:fill="F4F6F7"/>
            <w:tcMar>
              <w:top w:w="90" w:type="dxa"/>
              <w:left w:w="90" w:type="dxa"/>
              <w:bottom w:w="90" w:type="dxa"/>
              <w:right w:w="90" w:type="dxa"/>
            </w:tcMar>
          </w:tcPr>
          <w:p>
            <w:pPr>
              <w:spacing w:after="40" w:before="40"/>
            </w:pPr>
            <w:r>
              <w:rPr>
                <w:color w:val="000000"/>
                <w:sz w:val="20"/>
              </w:rPr>
              <w:t>Titre SEO</w:t>
            </w:r>
          </w:p>
        </w:tc>
        <w:tc>
          <w:tcPr>
            <w:tcW w:type="dxa" w:w="8136"/>
            <w:vAlign w:val="center"/>
            <w:shd w:fill="F4F6F7"/>
            <w:tcMar>
              <w:top w:w="90" w:type="dxa"/>
              <w:left w:w="90" w:type="dxa"/>
              <w:bottom w:w="90" w:type="dxa"/>
              <w:right w:w="90" w:type="dxa"/>
            </w:tcMar>
          </w:tcPr>
          <w:p>
            <w:pPr>
              <w:spacing w:after="40" w:before="40"/>
            </w:pPr>
            <w:r>
              <w:rPr>
                <w:color w:val="000000"/>
                <w:sz w:val="20"/>
              </w:rPr>
              <w:t>ChatGPT et devoirs enfant — les bons usages</w:t>
            </w:r>
          </w:p>
        </w:tc>
      </w:tr>
      <w:tr>
        <w:trPr>
          <w:cantSplit/>
        </w:trPr>
        <w:tc>
          <w:tcPr>
            <w:tcW w:type="dxa" w:w="1656"/>
            <w:vAlign w:val="center"/>
            <w:shd w:fill="FFFFFF"/>
            <w:tcMar>
              <w:top w:w="90" w:type="dxa"/>
              <w:left w:w="90" w:type="dxa"/>
              <w:bottom w:w="90" w:type="dxa"/>
              <w:right w:w="90" w:type="dxa"/>
            </w:tcMar>
          </w:tcPr>
          <w:p>
            <w:pPr>
              <w:spacing w:after="40" w:before="40"/>
            </w:pPr>
            <w:r>
              <w:rPr>
                <w:color w:val="000000"/>
                <w:sz w:val="20"/>
              </w:rPr>
              <w:t>Description SEO</w:t>
            </w:r>
          </w:p>
        </w:tc>
        <w:tc>
          <w:tcPr>
            <w:tcW w:type="dxa" w:w="8136"/>
            <w:vAlign w:val="center"/>
            <w:shd w:fill="FFFFFF"/>
            <w:tcMar>
              <w:top w:w="90" w:type="dxa"/>
              <w:left w:w="90" w:type="dxa"/>
              <w:bottom w:w="90" w:type="dxa"/>
              <w:right w:w="90" w:type="dxa"/>
            </w:tcMar>
          </w:tcPr>
          <w:p>
            <w:pPr>
              <w:spacing w:after="40" w:before="40"/>
            </w:pPr>
            <w:r>
              <w:rPr>
                <w:color w:val="000000"/>
                <w:sz w:val="20"/>
              </w:rPr>
              <w:t>Un exemple corrigé, des consignes à essayer et les règles d'âge pour accompagner les devoirs avec ChatGPT sans faire le travail à la place de l'élève.</w:t>
            </w:r>
          </w:p>
        </w:tc>
      </w:tr>
    </w:tbl>
    <w:p>
      <w:pPr>
        <w:pStyle w:val="Heading1"/>
      </w:pPr>
      <w:r>
        <w:t>ChatGPT et devoirs : aider sans faire à la place</w:t>
      </w:r>
    </w:p>
    <w:p>
      <w:pPr/>
      <w:r>
        <w:t>Le devoir est terminé en cinq minutes. Votre enfant vous montre un texte impeccable, ou une solution qu'il n'aurait pas trouvée aussi vite la veille. Avant de conclure qu'il a triché, demandez-lui ce qu'il a fait et ce que le professeur avait autorisé.</w:t>
      </w:r>
    </w:p>
    <w:p>
      <w:pPr/>
      <w:r>
        <w:t>ChatGPT peut expliquer une consigne, proposer un entraînement ou rédiger tout le devoir. Pour un parent, ces usages ne se jugent pas de la même manière. Le point à regarder est le travail que l'élève continue à faire lui-même.</w:t>
      </w:r>
    </w:p>
    <w:p>
      <w:pPr>
        <w:pStyle w:val="Heading2"/>
      </w:pPr>
      <w:r>
        <w:t>Vérifier les règles avant d'ouvrir l'outil</w:t>
      </w:r>
    </w:p>
    <w:p>
      <w:pPr/>
      <w:r>
        <w:t xml:space="preserve">Pour ChatGPT, les </w:t>
      </w:r>
      <w:hyperlink r:id="rId9">
        <w:r>
          <w:rPr>
            <w:color w:val="205C77"/>
          </w:rPr>
          <w:t>conditions européennes</w:t>
        </w:r>
      </w:hyperlink>
      <w:r>
        <w:t xml:space="preserve"> fixent un âge minimal de 13 ans, ou l'âge minimal requis dans le pays pour consentir à utiliser le service. Avant 18 ans, l'autorisation d'un parent ou représentant légal est nécessaire. </w:t>
      </w:r>
      <w:hyperlink r:id="rId10">
        <w:r>
          <w:rPr>
            <w:color w:val="205C77"/>
          </w:rPr>
          <w:t>OpenAI précise</w:t>
        </w:r>
      </w:hyperlink>
      <w:r>
        <w:t xml:space="preserve"> que, dans un contexte éducatif avec des moins de 13 ans, l'interaction avec ChatGPT doit être menée par un adulte. Un compte parental ne doit donc pas simplement être prêté à l'enfant.</w:t>
      </w:r>
    </w:p>
    <w:p>
      <w:pPr/>
      <w:r>
        <w:t xml:space="preserve">Les règles scolaires sont distinctes. En France, le </w:t>
      </w:r>
      <w:hyperlink r:id="rId11">
        <w:r>
          <w:rPr>
            <w:color w:val="205C77"/>
          </w:rPr>
          <w:t>cadre de l'Éducation nationale</w:t>
        </w:r>
      </w:hyperlink>
      <w:r>
        <w:t xml:space="preserve"> autorise l'utilisation pédagogique des IA génératives par les élèves en classe à partir de la 4e, avec un enseignant, de façon limitée et expliquée. Cela ne vaut pas autorisation pour chaque devoir à la maison.</w:t>
      </w:r>
    </w:p>
    <w:p>
      <w:pPr/>
      <w:r>
        <w:t>Lisez la consigne. Si elle ne dit rien et que l'usage modifierait sensiblement le travail demandé, mieux vaut poser la question au professeur. Pour un exercice de rédaction, faire réécrire tout le texte peut enlever précisément l'effort que l'enseignant voulait observer.</w:t>
      </w:r>
    </w:p>
    <w:p>
      <w:pPr>
        <w:pStyle w:val="Heading2"/>
      </w:pPr>
      <w:r>
        <w:t>Trois usages à distinguer</w:t>
      </w:r>
    </w:p>
    <w:p>
      <w:pPr/>
      <w:r>
        <w:rPr>
          <w:b/>
        </w:rPr>
        <w:t>Faire expliquer.</w:t>
      </w:r>
      <w:r>
        <w:t xml:space="preserve"> L'élève a essayé, mais ne comprend pas un passage. Il peut demander une explication plus simple, puis la comparer au cours. Une réponse claire peut aider ; elle peut aussi contenir une erreur.</w:t>
      </w:r>
    </w:p>
    <w:p>
      <w:pPr/>
      <w:r>
        <w:rPr>
          <w:b/>
        </w:rPr>
        <w:t>S'entraîner.</w:t>
      </w:r>
      <w:r>
        <w:t xml:space="preserve"> L'outil pose des questions, propose des phrases à traduire ou donne un exercice similaire. L'élève répond avant de voir la correction. Il reste du travail à faire.</w:t>
      </w:r>
    </w:p>
    <w:p>
      <w:pPr/>
      <w:r>
        <w:rPr>
          <w:b/>
        </w:rPr>
        <w:t>Faire produire le devoir.</w:t>
      </w:r>
      <w:r>
        <w:t xml:space="preserve"> L'outil fournit le texte ou la résolution à rendre. Même si le résultat est juste, il ne permet pas de savoir ce que l'élève sait faire. Sans autorisation explicite et sans travail personnel d'appropriation, le cadre scolaire français qualifie cet usage de fraude.</w:t>
      </w:r>
    </w:p>
    <w:p>
      <w:pPr/>
      <w:r>
        <w:t>À la maison, cette distinction permet une question plus utile que « Tu as utilisé l'IA ? » : « À quel moment t'en es-tu servi, et pour faire quoi ? »</w:t>
      </w:r>
    </w:p>
    <w:p>
      <w:pPr>
        <w:pStyle w:val="Heading2"/>
      </w:pPr>
      <w:r>
        <w:t>Un exemple avec les fractions</w:t>
      </w:r>
    </w:p>
    <w:p>
      <w:pPr/>
      <w:r>
        <w:t>Voici un exercice rédigé pour ce guide, que vous pouvez vérifier sans dépendre d'une réponse générée.</w:t>
      </w:r>
    </w:p>
    <w:p>
      <w:pPr/>
      <w:r>
        <w:t xml:space="preserve">L'élève bloque sur </w:t>
      </w:r>
      <w:r>
        <w:rPr>
          <w:b/>
        </w:rPr>
        <w:t>3/4 + 1/8</w:t>
      </w:r>
      <w:r>
        <w:t>. Une consigne possible pour l'outil serait : « Aide-moi à trouver un dénominateur commun. Pose-moi une question à la fois et laisse-moi calculer. »</w:t>
      </w:r>
    </w:p>
    <w:p>
      <w:pPr/>
      <w:r>
        <w:t>Le raisonnement attendu est simple : 3/4 correspond à 6/8 ; en ajoutant 1/8, on obtient 7/8. Si l'outil additionne les dénominateurs ou saute directement au résultat, on reprend avec le cours.</w:t>
      </w:r>
    </w:p>
    <w:p>
      <w:pPr/>
      <w:r>
        <w:t xml:space="preserve">Fermez ensuite la conversation et proposez </w:t>
      </w:r>
      <w:r>
        <w:rPr>
          <w:b/>
        </w:rPr>
        <w:t>1/2 + 1/4</w:t>
      </w:r>
      <w:r>
        <w:t>. La réponse est 3/4. L'intérêt de ce second exercice est de voir quelle étape reste difficile. Un blocage n'est pas une preuve de triche : l'explication n'a peut-être pas suffi, l'enfant est fatigué, ou la notion demande encore du temps.</w:t>
      </w:r>
    </w:p>
    <w:p>
      <w:pPr/>
      <w:r>
        <w:t>Pour un enfant trop jeune pour utiliser le service, un adulte peut préparer cet exercice. Une feuille et le manuel peuvent d'ailleurs suffire.</w:t>
      </w:r>
    </w:p>
    <w:p>
      <w:pPr>
        <w:pStyle w:val="Heading2"/>
      </w:pPr>
      <w:r>
        <w:t>Des consignes qui laissent l'élève travailler</w:t>
      </w:r>
    </w:p>
    <w:p>
      <w:pPr/>
      <w:r>
        <w:t>Adaptez ces demandes à ce que le professeur autorise :</w:t>
      </w:r>
    </w:p>
    <w:p>
      <w:pPr>
        <w:numPr>
          <w:ilvl w:val="0"/>
          <w:numId w:val="1002"/>
        </w:numPr>
        <w:spacing w:after="80"/>
      </w:pPr>
      <w:r>
        <w:t>« Pose-moi cinq questions sur cette notion, une par une. Attends ma réponse. »</w:t>
      </w:r>
    </w:p>
    <w:p>
      <w:pPr>
        <w:numPr>
          <w:ilvl w:val="0"/>
          <w:numId w:val="1002"/>
        </w:numPr>
        <w:spacing w:after="80"/>
      </w:pPr>
      <w:r>
        <w:t>« Signale les erreurs d'accord dans ces phrases et explique la règle, sans réécrire le texte. »</w:t>
      </w:r>
    </w:p>
    <w:p>
      <w:pPr>
        <w:numPr>
          <w:ilvl w:val="0"/>
          <w:numId w:val="1002"/>
        </w:numPr>
        <w:spacing w:after="80"/>
      </w:pPr>
      <w:r>
        <w:t>« Voici mon raisonnement. Indique l'étape à revoir, sans terminer l'exercice. »</w:t>
      </w:r>
    </w:p>
    <w:p>
      <w:pPr>
        <w:numPr>
          <w:ilvl w:val="0"/>
          <w:numId w:val="1002"/>
        </w:numPr>
        <w:spacing w:after="80"/>
      </w:pPr>
      <w:r>
        <w:t>« Donne-moi deux objections possibles à mon idée pour que je prépare ma réponse. »</w:t>
      </w:r>
    </w:p>
    <w:p>
      <w:pPr/>
      <w:r>
        <w:t>Utilisez des extraits anonymisés. Retirez le nom, l'établissement, les annotations personnelles et les informations sur les camarades. Une capture de l'ENT contient parfois bien plus que l'exercice.</w:t>
      </w:r>
    </w:p>
    <w:p>
      <w:pPr>
        <w:pStyle w:val="Heading2"/>
      </w:pPr>
      <w:r>
        <w:t>Vérifier sans transformer la soirée en enquête</w:t>
      </w:r>
    </w:p>
    <w:p>
      <w:pPr/>
      <w:r>
        <w:t>Demandez à l'enfant de vous montrer une étape qu'il a comprise, ou une correction qu'il a acceptée. Vous pouvez aussi demander : « Qu'est-ce que tu n'as pas gardé dans la réponse ? »</w:t>
      </w:r>
    </w:p>
    <w:p>
      <w:pPr/>
      <w:r>
        <w:t>Ces échanges servent à suivre l'apprentissage. Un texte très propre, un vocabulaire inhabituel ou une hésitation à l'oral ne prouvent pas à eux seuls l'usage d'une IA. Le ministère déconseille aussi les logiciels de détection de textes générés, jugés peu fiables.</w:t>
      </w:r>
    </w:p>
    <w:p>
      <w:pPr/>
      <w:r>
        <w:t>Sur le fond, vérifiez les dates, citations et sources avec le cours ou un document fiable. Si aucun adulte ni l'élève ne peut juger la réponse, il vaut mieux choisir une autre ressource ou demander une explication au professeur.</w:t>
      </w:r>
    </w:p>
    <w:p>
      <w:pPr>
        <w:pStyle w:val="Heading2"/>
      </w:pPr>
      <w:r>
        <w:t>Régler aussi le compte</w:t>
      </w:r>
    </w:p>
    <w:p>
      <w:pPr/>
      <w:r>
        <w:t xml:space="preserve">Les </w:t>
      </w:r>
      <w:hyperlink r:id="rId12">
        <w:r>
          <w:rPr>
            <w:color w:val="205C77"/>
          </w:rPr>
          <w:t>contrôles parentaux de ChatGPT</w:t>
        </w:r>
      </w:hyperlink>
      <w:r>
        <w:t xml:space="preserve"> permettent de relier un compte parent à celui d'un adolescent, avec son acceptation. Ils proposent notamment des plages sans accès, des réglages de mémoire et d'utilisation des conversations pour l'entraînement des modèles. Le mode Étudier peut également être activé depuis ces contrôles.</w:t>
      </w:r>
    </w:p>
    <w:p>
      <w:pPr/>
      <w:r>
        <w:t>Regardez les réglages ensemble. Ils facilitent l'accompagnement, sans garantir l'exactitude des réponses ni remplacer les consignes scolaires.</w:t>
      </w:r>
    </w:p>
    <w:p>
      <w:pPr/>
      <w:r>
        <w:t>Pour le prochain devoir où l'IA est autorisée, convenez d'un seul usage précis. À la fin, l'élève peut noter en une phrase l'aide reçue et conserver son propre brouillon. Vous aurez quelque chose de concret à regarder ensemble.</w:t>
      </w:r>
    </w:p>
    <w:p>
      <w:pPr>
        <w:pStyle w:val="Heading2"/>
      </w:pPr>
      <w:r>
        <w:t>Sources et prolongements</w:t>
      </w:r>
    </w:p>
    <w:p>
      <w:pPr>
        <w:numPr>
          <w:ilvl w:val="0"/>
          <w:numId w:val="1002"/>
        </w:numPr>
        <w:spacing w:after="80"/>
      </w:pPr>
      <w:hyperlink r:id="rId9">
        <w:r>
          <w:rPr>
            <w:color w:val="205C77"/>
          </w:rPr>
          <w:t>OpenAI — Conditions européennes et âge minimal</w:t>
        </w:r>
      </w:hyperlink>
    </w:p>
    <w:p>
      <w:pPr>
        <w:numPr>
          <w:ilvl w:val="0"/>
          <w:numId w:val="1002"/>
        </w:numPr>
        <w:spacing w:after="80"/>
      </w:pPr>
      <w:hyperlink r:id="rId10">
        <w:r>
          <w:rPr>
            <w:color w:val="205C77"/>
          </w:rPr>
          <w:t>OpenAI — Usage avec des mineurs</w:t>
        </w:r>
      </w:hyperlink>
    </w:p>
    <w:p>
      <w:pPr>
        <w:numPr>
          <w:ilvl w:val="0"/>
          <w:numId w:val="1002"/>
        </w:numPr>
        <w:spacing w:after="80"/>
      </w:pPr>
      <w:hyperlink r:id="rId11">
        <w:r>
          <w:rPr>
            <w:color w:val="205C77"/>
          </w:rPr>
          <w:t>Éducation nationale — Cadre d'usage de l'IA</w:t>
        </w:r>
      </w:hyperlink>
    </w:p>
    <w:p>
      <w:pPr>
        <w:numPr>
          <w:ilvl w:val="0"/>
          <w:numId w:val="1002"/>
        </w:numPr>
        <w:spacing w:after="80"/>
      </w:pPr>
      <w:hyperlink r:id="rId12">
        <w:r>
          <w:rPr>
            <w:color w:val="205C77"/>
          </w:rPr>
          <w:t>OpenAI — Contrôles parentaux</w:t>
        </w:r>
      </w:hyperlink>
    </w:p>
    <w:p>
      <w:pPr>
        <w:numPr>
          <w:ilvl w:val="0"/>
          <w:numId w:val="1002"/>
        </w:numPr>
        <w:spacing w:after="80"/>
      </w:pPr>
      <w:hyperlink r:id="rId13">
        <w:r>
          <w:rPr>
            <w:color w:val="205C77"/>
          </w:rPr>
          <w:t>Nos autres guides pour les parents</w:t>
        </w:r>
      </w:hyperlink>
    </w:p>
    <w:sectPr>
      <w:footnotePr>
        <w:numRestart w:val="eachSect"/>
      </w:footnotePr>
      <w:pgSz w:w="12240" w:h="15840"/>
      <w:pgMar w:top="1152" w:bottom="1152" w:left="1224" w:right="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abstractNum w:abstractNumId="992">
    <w:lvl w:ilvl="0">
      <w:start w:val="1"/>
      <w:numFmt w:val="bullet"/>
      <w:lvlText w:val="•"/>
      <w:lvlJc w:val="left"/>
      <w:pPr>
        <w:ind w:left="360" w:hanging="180"/>
      </w:pPr>
    </w:lvl>
  </w:abstractNum>
  <w:num w:numId="1002">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line="259" w:lineRule="auto"/>
    </w:pPr>
    <w:rPr>
      <w:rFonts w:ascii="Calibri" w:hAnsi="Calibri"/>
      <w:color w:val="000000"/>
      <w:sz w:val="22"/>
    </w:rPr>
  </w:style>
  <w:style w:styleId="BodyText" w:type="paragraph">
    <w:name w:val="Body Text"/>
    <w:basedOn w:val="Normal"/>
    <w:link w:val="BodyTextChar"/>
    <w:qFormat/>
    <w:pPr>
      <w:widowControl/>
      <w:spacing w:after="120" w:before="180" w:line="259" w:lineRule="auto"/>
    </w:pPr>
    <w:rPr>
      <w:rFonts w:ascii="Calibri" w:hAnsi="Calibri"/>
      <w:color w:val="000000"/>
      <w:sz w:val="22"/>
    </w:rPr>
  </w:style>
  <w:style w:customStyle="1" w:styleId="FirstParagraph" w:type="paragraph">
    <w:name w:val="First Paragraph"/>
    <w:basedOn w:val="BodyText"/>
    <w:next w:val="BodyText"/>
    <w:qFormat/>
    <w:pPr>
      <w:widowControl/>
      <w:spacing w:after="120" w:line="259" w:lineRule="auto"/>
    </w:pPr>
    <w:rPr>
      <w:rFonts w:ascii="Calibri" w:hAnsi="Calibri"/>
      <w:color w:val="000000"/>
      <w:sz w:val="22"/>
    </w:rPr>
  </w:style>
  <w:style w:customStyle="1" w:styleId="Compact" w:type="paragraph">
    <w:name w:val="Compact"/>
    <w:basedOn w:val="BodyText"/>
    <w:qFormat/>
    <w:pPr>
      <w:widowControl/>
      <w:spacing w:after="120" w:before="36" w:line="259" w:lineRule="auto"/>
    </w:pPr>
    <w:rPr>
      <w:rFonts w:ascii="Calibri" w:hAnsi="Calibri"/>
      <w:color w:val="000000"/>
      <w:sz w:val="22"/>
    </w:rPr>
  </w:style>
  <w:style w:styleId="Title" w:type="paragraph">
    <w:name w:val="Title"/>
    <w:basedOn w:val="Normal"/>
    <w:next w:val="BodyText"/>
    <w:link w:val="TitleChar"/>
    <w:uiPriority w:val="10"/>
    <w:qFormat/>
    <w:rsid w:val="00A10FD9"/>
    <w:pPr>
      <w:keepNext/>
      <w:spacing w:after="120" w:line="240" w:lineRule="auto" w:before="240"/>
      <w:contextualSpacing/>
      <w:jc w:val="center"/>
    </w:pPr>
    <w:rPr>
      <w:rFonts w:asciiTheme="majorHAnsi" w:cstheme="majorBidi" w:eastAsiaTheme="majorEastAsia" w:hAnsiTheme="majorHAnsi" w:ascii="Calibri" w:hAnsi="Calibri"/>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outlineLvl w:val="0"/>
    </w:pPr>
    <w:rPr>
      <w:rFonts w:asciiTheme="majorHAnsi" w:cstheme="majorBidi" w:eastAsiaTheme="majorEastAsia" w:hAnsiTheme="majorHAnsi" w:ascii="Calibri" w:hAnsi="Calibr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Theme="majorHAnsi" w:cstheme="majorBidi" w:eastAsiaTheme="majorEastAsia" w:hAnsiTheme="majorHAnsi" w:ascii="Calibri" w:hAnsi="Calibri"/>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cstheme="majorBidi" w:eastAsiaTheme="majorEastAsia" w:ascii="Calibri" w:hAnsi="Calibri"/>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hyperlink" Target="/apercudecouverte" TargetMode="External"/><Relationship Id="rId16" Type="http://schemas.openxmlformats.org/officeDocument/2006/relationships/hyperlink" Target="/guides" TargetMode="External"/><Relationship Id="rId17" Type="http://schemas.openxmlformats.org/officeDocument/2006/relationships/hyperlink" Target="/notre-methode" TargetMode="External"/><Relationship Id="rId15" Type="http://schemas.openxmlformats.org/officeDocument/2006/relationships/hyperlink" Target="/objectif" TargetMode="External"/><Relationship Id="rId21" Type="http://schemas.openxmlformats.org/officeDocument/2006/relationships/hyperlink" Target="https://eduscol.education.fr/6702/les-intelligences-artificielles-et-leurs-usages-en-education" TargetMode="External"/><Relationship Id="rId22" Type="http://schemas.openxmlformats.org/officeDocument/2006/relationships/hyperlink" Target="https://www.cnil.fr/fr/ia-mineurs-cybersecurite-quotidien-numerique-la-cnil-publie-son-plan-strategique-2025-2028" TargetMode="External"/><Relationship Id="rId20" Type="http://schemas.openxmlformats.org/officeDocument/2006/relationships/hyperlink" Target="https://www.education.gouv.fr/creation-du-comite-d-anticipation-en-education-et-deploiement-du-parcours-pix-ia-l-ecole-se-prepare-468899" TargetMode="External"/><Relationship Id="rId9" Type="http://schemas.openxmlformats.org/officeDocument/2006/relationships/hyperlink" Target="https://openai.com/policies/eu-terms-of-use/" TargetMode="External"/><Relationship Id="rId10" Type="http://schemas.openxmlformats.org/officeDocument/2006/relationships/hyperlink" Target="https://help.openai.com/en/articles/8313401" TargetMode="External"/><Relationship Id="rId11" Type="http://schemas.openxmlformats.org/officeDocument/2006/relationships/hyperlink" Target="https://www.education.gouv.fr/sites/default/files/2025-06/l-ia-en-ducation-cadre-d-usage-440685.pdf" TargetMode="External"/><Relationship Id="rId12" Type="http://schemas.openxmlformats.org/officeDocument/2006/relationships/hyperlink" Target="https://openai.com/index/introducing-parental-controls/" TargetMode="External"/><Relationship Id="rId13" Type="http://schemas.openxmlformats.org/officeDocument/2006/relationships/hyperlink" Target="https://totemavise.com/guides" TargetMode="External"/></Relationships>
</file>

<file path=word/_rels/footnotes.xml.rels><?xml version='1.0' encoding='UTF-8' standalone='yes'?>
<Relationships xmlns="http://schemas.openxmlformats.org/package/2006/relationships"><Relationship Id="rId18" Type="http://schemas.openxmlformats.org/officeDocument/2006/relationships/hyperlink" Target="/apercudecouverte" TargetMode="External"/><Relationship Id="rId16" Type="http://schemas.openxmlformats.org/officeDocument/2006/relationships/hyperlink" Target="/guides" TargetMode="External"/><Relationship Id="rId17" Type="http://schemas.openxmlformats.org/officeDocument/2006/relationships/hyperlink" Target="/notre-methode" TargetMode="External"/><Relationship Id="rId15" Type="http://schemas.openxmlformats.org/officeDocument/2006/relationships/hyperlink" Target="/objectif" TargetMode="External"/><Relationship Id="rId21" Type="http://schemas.openxmlformats.org/officeDocument/2006/relationships/hyperlink" Target="https://eduscol.education.fr/6702/les-intelligences-artificielles-et-leurs-usages-en-education" TargetMode="External"/><Relationship Id="rId22" Type="http://schemas.openxmlformats.org/officeDocument/2006/relationships/hyperlink" Target="https://www.cnil.fr/fr/ia-mineurs-cybersecurite-quotidien-numerique-la-cnil-publie-son-plan-strategique-2025-2028" TargetMode="External"/><Relationship Id="rId20" Type="http://schemas.openxmlformats.org/officeDocument/2006/relationships/hyperlink" Target="https://www.education.gouv.fr/creation-du-comite-d-anticipation-en-education-et-deploiement-du-parcours-pix-ia-l-ecole-se-prepare-4688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ChatGPT et devoirs : aider sans faire à la place</dc:title>
  <dc:creator>Totem Avisé</dc:creator>
  <cp:keywords/>
  <dcterms:created xsi:type="dcterms:W3CDTF">2026-06-21T14:05:55Z</dcterms:created>
  <dcterms:modified xsi:type="dcterms:W3CDTF">2026-06-21T14:05:55Z</dcterms:modified>
  <dc:subject>Brouillon éditorial</dc:subject>
</cp:coreProperties>
</file>

<file path=docProps/custom.xml><?xml version="1.0" encoding="utf-8"?>
<Properties xmlns="http://schemas.openxmlformats.org/officeDocument/2006/custom-properties" xmlns:vt="http://schemas.openxmlformats.org/officeDocument/2006/docPropsVTypes"/>
</file>