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136"/>
      </w:tblGrid>
      <w:tr>
        <w:trPr>
          <w:cantSplit/>
          <w:tblHeader/>
        </w:trPr>
        <w:tc>
          <w:tcPr>
            <w:tcW w:type="dxa" w:w="1656"/>
            <w:vAlign w:val="center"/>
            <w:shd w:fill="243746"/>
            <w:tcMar>
              <w:top w:w="90" w:type="dxa"/>
              <w:left w:w="90" w:type="dxa"/>
              <w:bottom w:w="90" w:type="dxa"/>
              <w:right w:w="90" w:type="dxa"/>
            </w:tcMar>
          </w:tcPr>
          <w:p>
            <w:pPr>
              <w:spacing w:after="40" w:before="40"/>
            </w:pPr>
            <w:r>
              <w:rPr>
                <w:b/>
                <w:color w:val="FFFFFF"/>
                <w:sz w:val="20"/>
              </w:rPr>
              <w:t>Champ</w:t>
            </w:r>
          </w:p>
        </w:tc>
        <w:tc>
          <w:tcPr>
            <w:tcW w:type="dxa" w:w="8136"/>
            <w:vAlign w:val="center"/>
            <w:shd w:fill="243746"/>
            <w:tcMar>
              <w:top w:w="90" w:type="dxa"/>
              <w:left w:w="90" w:type="dxa"/>
              <w:bottom w:w="90" w:type="dxa"/>
              <w:right w:w="90" w:type="dxa"/>
            </w:tcMar>
          </w:tcPr>
          <w:p>
            <w:pPr>
              <w:spacing w:after="40" w:before="40"/>
            </w:pPr>
            <w:r>
              <w:rPr>
                <w:b/>
                <w:color w:val="FFFFFF"/>
                <w:sz w:val="20"/>
              </w:rPr>
              <w:t>Valeur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Titre</w:t>
            </w:r>
          </w:p>
        </w:tc>
        <w:tc>
          <w:tcPr>
            <w:tcW w:type="dxa" w:w="8136"/>
            <w:vAlign w:val="center"/>
            <w:shd w:fill="FFFFFF"/>
            <w:tcMar>
              <w:top w:w="90" w:type="dxa"/>
              <w:left w:w="90" w:type="dxa"/>
              <w:bottom w:w="90" w:type="dxa"/>
              <w:right w:w="90" w:type="dxa"/>
            </w:tcMar>
          </w:tcPr>
          <w:p>
            <w:pPr>
              <w:spacing w:after="40" w:before="40"/>
            </w:pPr>
            <w:r>
              <w:rPr>
                <w:color w:val="000000"/>
                <w:sz w:val="20"/>
              </w:rPr>
              <w:t>YouTube, TikTok et Netflix au-delà du compteur de minutes</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Slug</w:t>
            </w:r>
          </w:p>
        </w:tc>
        <w:tc>
          <w:tcPr>
            <w:tcW w:type="dxa" w:w="8136"/>
            <w:vAlign w:val="center"/>
            <w:shd w:fill="F4F6F7"/>
            <w:tcMar>
              <w:top w:w="90" w:type="dxa"/>
              <w:left w:w="90" w:type="dxa"/>
              <w:bottom w:w="90" w:type="dxa"/>
              <w:right w:w="90" w:type="dxa"/>
            </w:tcMar>
          </w:tcPr>
          <w:p>
            <w:pPr>
              <w:spacing w:after="40" w:before="40"/>
            </w:pPr>
            <w:r>
              <w:rPr>
                <w:color w:val="000000"/>
                <w:sz w:val="20"/>
              </w:rPr>
              <w:t>qualite-contenu-plus-que-chronometre</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Catégorie</w:t>
            </w:r>
          </w:p>
        </w:tc>
        <w:tc>
          <w:tcPr>
            <w:tcW w:type="dxa" w:w="8136"/>
            <w:vAlign w:val="center"/>
            <w:shd w:fill="FFFFFF"/>
            <w:tcMar>
              <w:top w:w="90" w:type="dxa"/>
              <w:left w:w="90" w:type="dxa"/>
              <w:bottom w:w="90" w:type="dxa"/>
              <w:right w:w="90" w:type="dxa"/>
            </w:tcMar>
          </w:tcPr>
          <w:p>
            <w:pPr>
              <w:spacing w:after="40" w:before="40"/>
            </w:pPr>
            <w:r>
              <w:rPr>
                <w:color w:val="000000"/>
                <w:sz w:val="20"/>
              </w:rPr>
              <w:t>temps-ecran</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Auteur</w:t>
            </w:r>
          </w:p>
        </w:tc>
        <w:tc>
          <w:tcPr>
            <w:tcW w:type="dxa" w:w="8136"/>
            <w:vAlign w:val="center"/>
            <w:shd w:fill="F4F6F7"/>
            <w:tcMar>
              <w:top w:w="90" w:type="dxa"/>
              <w:left w:w="90" w:type="dxa"/>
              <w:bottom w:w="90" w:type="dxa"/>
              <w:right w:w="90" w:type="dxa"/>
            </w:tcMar>
          </w:tcPr>
          <w:p>
            <w:pPr>
              <w:spacing w:after="40" w:before="40"/>
            </w:pPr>
            <w:r>
              <w:rPr>
                <w:color w:val="000000"/>
                <w:sz w:val="20"/>
              </w:rPr>
              <w:t>Totem Avisé</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Résumé</w:t>
            </w:r>
          </w:p>
        </w:tc>
        <w:tc>
          <w:tcPr>
            <w:tcW w:type="dxa" w:w="8136"/>
            <w:vAlign w:val="center"/>
            <w:shd w:fill="FFFFFF"/>
            <w:tcMar>
              <w:top w:w="90" w:type="dxa"/>
              <w:left w:w="90" w:type="dxa"/>
              <w:bottom w:w="90" w:type="dxa"/>
              <w:right w:w="90" w:type="dxa"/>
            </w:tcMar>
          </w:tcPr>
          <w:p>
            <w:pPr>
              <w:spacing w:after="40" w:before="40"/>
            </w:pPr>
            <w:r>
              <w:rPr>
                <w:color w:val="000000"/>
                <w:sz w:val="20"/>
              </w:rPr>
              <w:t>Regardez ce qui a été choisi, ce qui s'enchaîne et ce que l'écran prend comme place. Deux réglages de lecture peuvent déjà faciliter la fin d'une séance.</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Titre SEO</w:t>
            </w:r>
          </w:p>
        </w:tc>
        <w:tc>
          <w:tcPr>
            <w:tcW w:type="dxa" w:w="8136"/>
            <w:vAlign w:val="center"/>
            <w:shd w:fill="F4F6F7"/>
            <w:tcMar>
              <w:top w:w="90" w:type="dxa"/>
              <w:left w:w="90" w:type="dxa"/>
              <w:bottom w:w="90" w:type="dxa"/>
              <w:right w:w="90" w:type="dxa"/>
            </w:tcMar>
          </w:tcPr>
          <w:p>
            <w:pPr>
              <w:spacing w:after="40" w:before="40"/>
            </w:pPr>
            <w:r>
              <w:rPr>
                <w:color w:val="000000"/>
                <w:sz w:val="20"/>
              </w:rPr>
              <w:t>Temps d'écran — choisir les contenus et les réglages</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Description SEO</w:t>
            </w:r>
          </w:p>
        </w:tc>
        <w:tc>
          <w:tcPr>
            <w:tcW w:type="dxa" w:w="8136"/>
            <w:vAlign w:val="center"/>
            <w:shd w:fill="FFFFFF"/>
            <w:tcMar>
              <w:top w:w="90" w:type="dxa"/>
              <w:left w:w="90" w:type="dxa"/>
              <w:bottom w:w="90" w:type="dxa"/>
              <w:right w:w="90" w:type="dxa"/>
            </w:tcMar>
          </w:tcPr>
          <w:p>
            <w:pPr>
              <w:spacing w:after="40" w:before="40"/>
            </w:pPr>
            <w:r>
              <w:rPr>
                <w:color w:val="000000"/>
                <w:sz w:val="20"/>
              </w:rPr>
              <w:t>Film, série ou vidéos recommandées : comparez les situations et réglez la lecture automatique sur Netflix et YouTube pour mieux choisir en famille.</w:t>
            </w:r>
          </w:p>
        </w:tc>
      </w:tr>
    </w:tbl>
    <w:p>
      <w:pPr>
        <w:pStyle w:val="Heading1"/>
      </w:pPr>
      <w:r>
        <w:t>YouTube, TikTok et Netflix au-delà du compteur de minutes</w:t>
      </w:r>
    </w:p>
    <w:p>
      <w:pPr/>
      <w:r>
        <w:t>Le téléphone indique quarante minutes de vidéo. Il ne dit pas si votre enfant cherchait une recette, suivait un épisode choisi ou regardait ce que l'application proposait ensuite. Pour comprendre l'usage, le compteur a besoin d'un peu de contexte.</w:t>
      </w:r>
    </w:p>
    <w:p>
      <w:pPr/>
      <w:r>
        <w:t>La durée reste importante. Un programme intéressant peut aussi repousser le sommeil, prendre toute la place dans l'après-midi ou faire oublier le reste. Choisir un contenu adapté ne donne pas un crédit de minutes illimité.</w:t>
      </w:r>
    </w:p>
    <w:p>
      <w:pPr/>
      <w:r>
        <w:t>Voici une façon de regarder une séance de plus près, puis de modifier ce qui rend l'arrêt difficile.</w:t>
      </w:r>
    </w:p>
    <w:p>
      <w:pPr>
        <w:pStyle w:val="Heading2"/>
      </w:pPr>
      <w:r>
        <w:t>La même durée peut recouvrir plusieurs situations</w:t>
      </w:r>
    </w:p>
    <w:p>
      <w:pPr/>
      <w:r>
        <w:rPr>
          <w:b/>
        </w:rPr>
        <w:t>Une vidéo cherchée pour faire quelque chose.</w:t>
      </w:r>
      <w:r>
        <w:t xml:space="preserve"> Votre enfant veut fabriquer un avion en papier. Il regarde un tutoriel, fait pause pour plier, revient sur une étape et ferme quand il a terminé. Vous pouvez vérifier la vidéo avant et poser le papier à côté de l'écran. La fin correspond à un résultat visible.</w:t>
      </w:r>
    </w:p>
    <w:p>
      <w:pPr/>
      <w:r>
        <w:rPr>
          <w:b/>
        </w:rPr>
        <w:t>Un épisode connu.</w:t>
      </w:r>
      <w:r>
        <w:t xml:space="preserve"> L'enfant choisit une histoire dont vous connaissez le ton. La séance a une durée annoncée, mais l'épisode suivant peut démarrer automatiquement. Ici, le réglage de lecture compte autant que la phrase « un seul épisode ».</w:t>
      </w:r>
    </w:p>
    <w:p>
      <w:pPr/>
      <w:r>
        <w:rPr>
          <w:b/>
        </w:rPr>
        <w:t>Un fil de recommandations.</w:t>
      </w:r>
      <w:r>
        <w:t xml:space="preserve"> L'enfant ouvre l'application sans titre précis et passe d'une vidéo à l'autre. Les sujets et la durée sont moins prévisibles. Vous ne validez plus une œuvre, mais un accès à un flux de contenus.</w:t>
      </w:r>
    </w:p>
    <w:p>
      <w:pPr/>
      <w:r>
        <w:t>Ces exemples ne permettent pas de classer chaque usage en « bon » ou « mauvais ». Ils montrent où porter votre attention : sur la vidéo choisie, l'enchaînement ou les recommandations.</w:t>
      </w:r>
    </w:p>
    <w:p>
      <w:pPr>
        <w:pStyle w:val="Heading2"/>
      </w:pPr>
      <w:r>
        <w:t>La question à poser avant de lancer</w:t>
      </w:r>
    </w:p>
    <w:p>
      <w:pPr/>
      <w:r>
        <w:t>« Qu'est-ce que tu as envie de regarder ? »</w:t>
      </w:r>
    </w:p>
    <w:p>
      <w:pPr/>
      <w:r>
        <w:t>Si la réponse est un titre, vérifiez sa durée et ce qu'il contient. Si la réponse est seulement le nom d'une plateforme, demandez si l'enfant cherche quelque chose en particulier. Vous pouvez l'aider à choisir avant d'ouvrir la page d'accueil.</w:t>
      </w:r>
    </w:p>
    <w:p>
      <w:pPr/>
      <w:r>
        <w:t>Il est possible de regarder une vidéo juste pour rire. Tout loisir n'a pas à produire un apprentissage. En revanche, connaître le contenu et savoir quand on s'arrête rend la décision plus facile à discuter.</w:t>
      </w:r>
    </w:p>
    <w:p>
      <w:pPr/>
      <w:r>
        <w:t xml:space="preserve">Pour un film ou une série, partez d'une </w:t>
      </w:r>
      <w:hyperlink r:id="rId9">
        <w:r>
          <w:rPr>
            <w:color w:val="205C77"/>
          </w:rPr>
          <w:t>fiche Totem Avisé</w:t>
        </w:r>
      </w:hyperlink>
      <w:r>
        <w:t xml:space="preserve"> : lisez les repères d'âge et les points de vigilance disponibles, puis regardez si la durée convient au moment prévu.</w:t>
      </w:r>
    </w:p>
    <w:p>
      <w:pPr>
        <w:pStyle w:val="Heading2"/>
      </w:pPr>
      <w:r>
        <w:t>Netflix et les deux lectures automatiques</w:t>
      </w:r>
    </w:p>
    <w:p>
      <w:pPr/>
      <w:r>
        <w:t>Netflix distingue les aperçus qui se lancent pendant la recherche et l'épisode suivant qui commence à la fin d'une série. Désactiver l'un ne désactive pas nécessairement l'autre.</w:t>
      </w:r>
    </w:p>
    <w:p>
      <w:pPr/>
      <w:r>
        <w:t xml:space="preserve">Pour les aperçus, ouvrez les réglages du profil concerné et cherchez </w:t>
      </w:r>
      <w:r>
        <w:rPr>
          <w:b/>
        </w:rPr>
        <w:t>Lecture automatique des aperçus</w:t>
      </w:r>
      <w:r>
        <w:t xml:space="preserve">. La </w:t>
      </w:r>
      <w:hyperlink r:id="rId10">
        <w:r>
          <w:rPr>
            <w:color w:val="205C77"/>
          </w:rPr>
          <w:t>notice Netflix</w:t>
        </w:r>
      </w:hyperlink>
      <w:r>
        <w:t xml:space="preserve"> détaille le chemin selon l'appareil. Vous pouvez couper cette option pour parcourir le catalogue sans bande-annonce qui démarre à chaque arrêt.</w:t>
      </w:r>
    </w:p>
    <w:p>
      <w:pPr/>
      <w:r>
        <w:t xml:space="preserve">Vérifiez séparément </w:t>
      </w:r>
      <w:r>
        <w:rPr>
          <w:b/>
        </w:rPr>
        <w:t>Lecture automatique de l'épisode suivant</w:t>
      </w:r>
      <w:r>
        <w:t xml:space="preserve">, dans les paramètres de lecture du profil. </w:t>
      </w:r>
      <w:hyperlink r:id="rId11">
        <w:r>
          <w:rPr>
            <w:color w:val="205C77"/>
          </w:rPr>
          <w:t>Netflix explique ce réglage ici</w:t>
        </w:r>
      </w:hyperlink>
      <w:r>
        <w:t>. Après modification, contrôlez le résultat sur l'appareil utilisé par l'enfant ; une actualisation peut être nécessaire.</w:t>
      </w:r>
    </w:p>
    <w:p>
      <w:pPr/>
      <w:r>
        <w:t>Cela ne ferme pas l'application à sa place. Cela laisse au moins le générique redevenir un moment où l'on décide de continuer ou de s'arrêter.</w:t>
      </w:r>
    </w:p>
    <w:p>
      <w:pPr>
        <w:pStyle w:val="Heading2"/>
      </w:pPr>
      <w:r>
        <w:t>YouTube et les vidéos proposées après</w:t>
      </w:r>
    </w:p>
    <w:p>
      <w:pPr/>
      <w:r>
        <w:t>YouTube dispose d'un réglage de lecture automatique. Son emplacement dépend du téléphone, de l'ordinateur ou de la télévision. L'</w:t>
      </w:r>
      <w:hyperlink r:id="rId12">
        <w:r>
          <w:rPr>
            <w:color w:val="205C77"/>
          </w:rPr>
          <w:t>aide officielle</w:t>
        </w:r>
      </w:hyperlink>
      <w:r>
        <w:t xml:space="preserve"> montre les réglages correspondants et précise que les paramètres peuvent différer d'un appareil à l'autre.</w:t>
      </w:r>
    </w:p>
    <w:p>
      <w:pPr/>
      <w:r>
        <w:t>Vérifiez donc la télévision du salon aussi, même si vous avez déjà réglé le téléphone. La désactivation de la lecture automatique ne retire pas les recommandations et ne transforme pas YouTube en catalogue intégralement adapté à un enfant.</w:t>
      </w:r>
    </w:p>
    <w:p>
      <w:pPr/>
      <w:r>
        <w:t>Le plus simple, pour une séance accompagnée, reste souvent d'ouvrir directement la vidéo choisie. Fermez ensuite la page au lieu de laisser la recherche suivante se faire au hasard des miniatures.</w:t>
      </w:r>
    </w:p>
    <w:p>
      <w:pPr>
        <w:pStyle w:val="Heading2"/>
      </w:pPr>
      <w:r>
        <w:t>Les vidéos courtes et les comptes adolescents</w:t>
      </w:r>
    </w:p>
    <w:p>
      <w:pPr/>
      <w:r>
        <w:t>Un format court ne garantit pas une séance courte. Plusieurs vidéos peuvent se succéder sans qu'une fin soit clairement annoncée. Le sujet peut aussi changer très vite.</w:t>
      </w:r>
    </w:p>
    <w:p>
      <w:pPr/>
      <w:r>
        <w:t>Avant d'autoriser une application comme TikTok, vérifiez ses conditions d'âge, ses protections pour les mineurs et le cadre que vous avez choisi à la maison. Les réglages de temps ne remplacent pas cette décision d'accès.</w:t>
      </w:r>
    </w:p>
    <w:p>
      <w:pPr/>
      <w:r>
        <w:t>Quand l'utilisation est autorisée, parlez aussi de ce qui apparaît : quelles vidéos l'enfant retrouve-t-il souvent, lesquelles le gênent, sait-il masquer un contenu ou demander de l'aide ? Vous n'avez pas besoin d'interpréter chaque geste comme le signe d'un problème.</w:t>
      </w:r>
    </w:p>
    <w:p>
      <w:pPr>
        <w:pStyle w:val="Heading2"/>
      </w:pPr>
      <w:r>
        <w:t>Observer l'après sans tirer de conclusion trop vite</w:t>
      </w:r>
    </w:p>
    <w:p>
      <w:pPr/>
      <w:r>
        <w:t>Un enfant fâché d'arrêter ne prouve pas que le programme était nocif. Il peut être déçu, fatigué ou interrompu au mauvais moment. Une seule soirée renseigne peu.</w:t>
      </w:r>
    </w:p>
    <w:p>
      <w:pPr/>
      <w:r>
        <w:t>Si les difficultés se répètent, notez ce que vous pouvez changer : la durée, l'heure, l'enchaînement automatique, le contenu ou la manière d'annoncer la fin. Modifiez un élément et observez plusieurs séances, sans transformer cela en surveillance permanente.</w:t>
      </w:r>
    </w:p>
    <w:p>
      <w:pPr/>
      <w:r>
        <w:t xml:space="preserve">Pour le sommeil, gardez les </w:t>
      </w:r>
      <w:hyperlink r:id="rId23">
        <w:r>
          <w:rPr>
            <w:color w:val="205C77"/>
          </w:rPr>
          <w:t>repères d'Ameli</w:t>
        </w:r>
      </w:hyperlink>
      <w:r>
        <w:t xml:space="preserve"> à portée de main. Un film bien choisi reste un écran, et sa fin doit laisser le temps de préparer le coucher.</w:t>
      </w:r>
    </w:p>
    <w:p>
      <w:pPr/>
      <w:r>
        <w:t>Ce soir, vous pouvez simplement vérifier les deux réglages Netflix ou celui de YouTube sur l'appareil familial. Puis choisir avec votre enfant le contenu de la prochaine séance. Vous saurez au moins ce que vous avez décidé ensemble.</w:t>
      </w:r>
    </w:p>
    <w:p>
      <w:pPr>
        <w:pStyle w:val="Heading2"/>
      </w:pPr>
      <w:r>
        <w:t>Sources</w:t>
      </w:r>
    </w:p>
    <w:p>
      <w:pPr>
        <w:numPr>
          <w:ilvl w:val="0"/>
          <w:numId w:val="1002"/>
        </w:numPr>
        <w:spacing w:after="80"/>
      </w:pPr>
      <w:hyperlink r:id="rId10">
        <w:r>
          <w:rPr>
            <w:color w:val="205C77"/>
          </w:rPr>
          <w:t>Netflix — Lecture automatique des aperçus</w:t>
        </w:r>
      </w:hyperlink>
    </w:p>
    <w:p>
      <w:pPr>
        <w:numPr>
          <w:ilvl w:val="0"/>
          <w:numId w:val="1002"/>
        </w:numPr>
        <w:spacing w:after="80"/>
      </w:pPr>
      <w:hyperlink r:id="rId11">
        <w:r>
          <w:rPr>
            <w:color w:val="205C77"/>
          </w:rPr>
          <w:t>Netflix — Lecture automatique de l'épisode suivant</w:t>
        </w:r>
      </w:hyperlink>
    </w:p>
    <w:p>
      <w:pPr>
        <w:numPr>
          <w:ilvl w:val="0"/>
          <w:numId w:val="1002"/>
        </w:numPr>
        <w:spacing w:after="80"/>
      </w:pPr>
      <w:hyperlink r:id="rId12">
        <w:r>
          <w:rPr>
            <w:color w:val="205C77"/>
          </w:rPr>
          <w:t>YouTube — Lecture automatique</w:t>
        </w:r>
      </w:hyperlink>
    </w:p>
    <w:p>
      <w:pPr>
        <w:numPr>
          <w:ilvl w:val="0"/>
          <w:numId w:val="1002"/>
        </w:numPr>
        <w:spacing w:after="80"/>
      </w:pPr>
      <w:hyperlink r:id="rId23">
        <w:r>
          <w:rPr>
            <w:color w:val="205C77"/>
          </w:rPr>
          <w:t>Ameli — Usage des écrans selon l'âge</w:t>
        </w:r>
      </w:hyperlink>
    </w:p>
    <w:sectPr>
      <w:footnotePr>
        <w:numRestart w:val="eachSect"/>
      </w:footnotePr>
      <w:pgSz w:w="12240" w:h="15840"/>
      <w:pgMar w:top="1152" w:bottom="1152"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abstractNum w:abstractNumId="992">
    <w:lvl w:ilvl="0">
      <w:start w:val="1"/>
      <w:numFmt w:val="bullet"/>
      <w:lvlText w:val="•"/>
      <w:lvlJc w:val="left"/>
      <w:pPr>
        <w:ind w:left="360" w:hanging="180"/>
      </w:pPr>
    </w:lvl>
  </w:abstractNum>
  <w:num w:numId="10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59" w:lineRule="auto"/>
    </w:pPr>
    <w:rPr>
      <w:rFonts w:ascii="Calibri" w:hAnsi="Calibri"/>
      <w:color w:val="000000"/>
      <w:sz w:val="22"/>
    </w:rPr>
  </w:style>
  <w:style w:styleId="BodyText" w:type="paragraph">
    <w:name w:val="Body Text"/>
    <w:basedOn w:val="Normal"/>
    <w:link w:val="BodyTextChar"/>
    <w:qFormat/>
    <w:pPr>
      <w:widowControl/>
      <w:spacing w:after="120" w:before="180" w:line="259" w:lineRule="auto"/>
    </w:pPr>
    <w:rPr>
      <w:rFonts w:ascii="Calibri" w:hAnsi="Calibri"/>
      <w:color w:val="000000"/>
      <w:sz w:val="22"/>
    </w:rPr>
  </w:style>
  <w:style w:customStyle="1" w:styleId="FirstParagraph" w:type="paragraph">
    <w:name w:val="First Paragraph"/>
    <w:basedOn w:val="BodyText"/>
    <w:next w:val="BodyText"/>
    <w:qFormat/>
    <w:pPr>
      <w:widowControl/>
      <w:spacing w:after="120" w:line="259" w:lineRule="auto"/>
    </w:pPr>
    <w:rPr>
      <w:rFonts w:ascii="Calibri" w:hAnsi="Calibri"/>
      <w:color w:val="000000"/>
      <w:sz w:val="22"/>
    </w:rPr>
  </w:style>
  <w:style w:customStyle="1" w:styleId="Compact" w:type="paragraph">
    <w:name w:val="Compact"/>
    <w:basedOn w:val="BodyText"/>
    <w:qFormat/>
    <w:pPr>
      <w:widowControl/>
      <w:spacing w:after="120" w:before="36" w:line="259" w:lineRule="auto"/>
    </w:pPr>
    <w:rPr>
      <w:rFonts w:ascii="Calibri" w:hAnsi="Calibri"/>
      <w:color w:val="000000"/>
      <w:sz w:val="22"/>
    </w:rPr>
  </w:style>
  <w:style w:styleId="Title" w:type="paragraph">
    <w:name w:val="Title"/>
    <w:basedOn w:val="Normal"/>
    <w:next w:val="BodyText"/>
    <w:link w:val="TitleChar"/>
    <w:uiPriority w:val="10"/>
    <w:qFormat/>
    <w:rsid w:val="00A10FD9"/>
    <w:pPr>
      <w:keepNext/>
      <w:spacing w:after="120" w:line="240" w:lineRule="auto" w:before="240"/>
      <w:contextualSpacing/>
      <w:jc w:val="center"/>
    </w:pPr>
    <w:rPr>
      <w:rFonts w:asciiTheme="majorHAnsi" w:cstheme="majorBidi" w:eastAsiaTheme="majorEastAsia" w:hAnsiTheme="majorHAnsi" w:ascii="Calibri" w:hAnsi="Calibri"/>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hyperlink" Target="/blog/temps-ecran-regles-famille" TargetMode="External"/><Relationship Id="rId13" Type="http://schemas.openxmlformats.org/officeDocument/2006/relationships/hyperlink" Target="/films" TargetMode="External"/><Relationship Id="rId20" Type="http://schemas.openxmlformats.org/officeDocument/2006/relationships/hyperlink" Target="/guides" TargetMode="External"/><Relationship Id="rId19" Type="http://schemas.openxmlformats.org/officeDocument/2006/relationships/hyperlink" Target="/notre-methode" TargetMode="External"/><Relationship Id="rId14" Type="http://schemas.openxmlformats.org/officeDocument/2006/relationships/hyperlink" Target="/series" TargetMode="External"/><Relationship Id="rId22" Type="http://schemas.openxmlformats.org/officeDocument/2006/relationships/hyperlink" Target="https://www.ameli.fr/assure/sante/themes/ecrans-enfance-adolescence/ecran-sante-enfant-adolescent" TargetMode="External"/><Relationship Id="rId23" Type="http://schemas.openxmlformats.org/officeDocument/2006/relationships/hyperlink" Target="https://www.ameli.fr/assure/sante/themes/ecrans-enfance-adolescence/usage-ecran-age" TargetMode="External"/><Relationship Id="rId24" Type="http://schemas.openxmlformats.org/officeDocument/2006/relationships/hyperlink" Target="https://www.education.gouv.fr/bien-grandir-avec-les-ecrans-des-reperes-pour-chaque-age-451121" TargetMode="External"/><Relationship Id="rId9" Type="http://schemas.openxmlformats.org/officeDocument/2006/relationships/hyperlink" Target="https://totemavise.com/films" TargetMode="External"/><Relationship Id="rId10" Type="http://schemas.openxmlformats.org/officeDocument/2006/relationships/hyperlink" Target="https://help.netflix.com/fr/node/2102" TargetMode="External"/><Relationship Id="rId11" Type="http://schemas.openxmlformats.org/officeDocument/2006/relationships/hyperlink" Target="https://help.netflix.com/fr-ca/node/121518" TargetMode="External"/><Relationship Id="rId12" Type="http://schemas.openxmlformats.org/officeDocument/2006/relationships/hyperlink" Target="https://support.google.com/youtube/answer/6327615?hl=fr"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blog/temps-ecran-regles-famille" TargetMode="External"/><Relationship Id="rId13" Type="http://schemas.openxmlformats.org/officeDocument/2006/relationships/hyperlink" Target="/films" TargetMode="External"/><Relationship Id="rId20" Type="http://schemas.openxmlformats.org/officeDocument/2006/relationships/hyperlink" Target="/guides" TargetMode="External"/><Relationship Id="rId19" Type="http://schemas.openxmlformats.org/officeDocument/2006/relationships/hyperlink" Target="/notre-methode" TargetMode="External"/><Relationship Id="rId14" Type="http://schemas.openxmlformats.org/officeDocument/2006/relationships/hyperlink" Target="/series" TargetMode="External"/><Relationship Id="rId22" Type="http://schemas.openxmlformats.org/officeDocument/2006/relationships/hyperlink" Target="https://www.ameli.fr/assure/sante/themes/ecrans-enfance-adolescence/ecran-sante-enfant-adolescent" TargetMode="External"/><Relationship Id="rId23" Type="http://schemas.openxmlformats.org/officeDocument/2006/relationships/hyperlink" Target="https://www.ameli.fr/assure/sante/themes/ecrans-enfance-adolescence/usage-ecran-age" TargetMode="External"/><Relationship Id="rId24" Type="http://schemas.openxmlformats.org/officeDocument/2006/relationships/hyperlink" Target="https://www.education.gouv.fr/bien-grandir-avec-les-ecrans-des-reperes-pour-chaque-age-4511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YouTube, TikTok et Netflix au-delà du compteur de minutes</dc:title>
  <dc:creator>Totem Avisé</dc:creator>
  <cp:keywords/>
  <dcterms:created xsi:type="dcterms:W3CDTF">2026-06-21T14:05:57Z</dcterms:created>
  <dcterms:modified xsi:type="dcterms:W3CDTF">2026-06-21T14:05:57Z</dcterms:modified>
  <dc:subject>Brouillon éditorial</dc:subject>
</cp:coreProperties>
</file>

<file path=docProps/custom.xml><?xml version="1.0" encoding="utf-8"?>
<Properties xmlns="http://schemas.openxmlformats.org/officeDocument/2006/custom-properties" xmlns:vt="http://schemas.openxmlformats.org/officeDocument/2006/docPropsVTypes"/>
</file>