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136"/>
      </w:tblGrid>
      <w:tr>
        <w:trPr>
          <w:cantSplit/>
          <w:tblHeader/>
        </w:trPr>
        <w:tc>
          <w:tcPr>
            <w:tcW w:type="dxa" w:w="1656"/>
            <w:vAlign w:val="center"/>
            <w:shd w:fill="243746"/>
            <w:tcMar>
              <w:top w:w="90" w:type="dxa"/>
              <w:left w:w="90" w:type="dxa"/>
              <w:bottom w:w="90" w:type="dxa"/>
              <w:right w:w="90" w:type="dxa"/>
            </w:tcMar>
          </w:tcPr>
          <w:p>
            <w:pPr>
              <w:spacing w:after="40" w:before="40"/>
            </w:pPr>
            <w:r>
              <w:rPr>
                <w:b/>
                <w:color w:val="FFFFFF"/>
                <w:sz w:val="20"/>
              </w:rPr>
              <w:t>Champ</w:t>
            </w:r>
          </w:p>
        </w:tc>
        <w:tc>
          <w:tcPr>
            <w:tcW w:type="dxa" w:w="8136"/>
            <w:vAlign w:val="center"/>
            <w:shd w:fill="243746"/>
            <w:tcMar>
              <w:top w:w="90" w:type="dxa"/>
              <w:left w:w="90" w:type="dxa"/>
              <w:bottom w:w="90" w:type="dxa"/>
              <w:right w:w="90" w:type="dxa"/>
            </w:tcMar>
          </w:tcPr>
          <w:p>
            <w:pPr>
              <w:spacing w:after="40" w:before="40"/>
            </w:pPr>
            <w:r>
              <w:rPr>
                <w:b/>
                <w:color w:val="FFFFFF"/>
                <w:sz w:val="20"/>
              </w:rPr>
              <w:t>Valeur</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Titre</w:t>
            </w:r>
          </w:p>
        </w:tc>
        <w:tc>
          <w:tcPr>
            <w:tcW w:type="dxa" w:w="8136"/>
            <w:vAlign w:val="center"/>
            <w:shd w:fill="FFFFFF"/>
            <w:tcMar>
              <w:top w:w="90" w:type="dxa"/>
              <w:left w:w="90" w:type="dxa"/>
              <w:bottom w:w="90" w:type="dxa"/>
              <w:right w:w="90" w:type="dxa"/>
            </w:tcMar>
          </w:tcPr>
          <w:p>
            <w:pPr>
              <w:spacing w:after="40" w:before="40"/>
            </w:pPr>
            <w:r>
              <w:rPr>
                <w:color w:val="000000"/>
                <w:sz w:val="20"/>
              </w:rPr>
              <w:t>Expliquer les recommandations des plateformes à son enfant</w:t>
            </w:r>
          </w:p>
        </w:tc>
      </w:tr>
      <w:tr>
        <w:trPr>
          <w:cantSplit/>
        </w:trPr>
        <w:tc>
          <w:tcPr>
            <w:tcW w:type="dxa" w:w="1656"/>
            <w:vAlign w:val="center"/>
            <w:shd w:fill="F4F6F7"/>
            <w:tcMar>
              <w:top w:w="90" w:type="dxa"/>
              <w:left w:w="90" w:type="dxa"/>
              <w:bottom w:w="90" w:type="dxa"/>
              <w:right w:w="90" w:type="dxa"/>
            </w:tcMar>
          </w:tcPr>
          <w:p>
            <w:pPr>
              <w:spacing w:after="40" w:before="40"/>
            </w:pPr>
            <w:r>
              <w:rPr>
                <w:color w:val="000000"/>
                <w:sz w:val="20"/>
              </w:rPr>
              <w:t>Slug</w:t>
            </w:r>
          </w:p>
        </w:tc>
        <w:tc>
          <w:tcPr>
            <w:tcW w:type="dxa" w:w="8136"/>
            <w:vAlign w:val="center"/>
            <w:shd w:fill="F4F6F7"/>
            <w:tcMar>
              <w:top w:w="90" w:type="dxa"/>
              <w:left w:w="90" w:type="dxa"/>
              <w:bottom w:w="90" w:type="dxa"/>
              <w:right w:w="90" w:type="dxa"/>
            </w:tcMar>
          </w:tcPr>
          <w:p>
            <w:pPr>
              <w:spacing w:after="40" w:before="40"/>
            </w:pPr>
            <w:r>
              <w:rPr>
                <w:color w:val="000000"/>
                <w:sz w:val="20"/>
              </w:rPr>
              <w:t>algorithmes-enfants-attention</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Catégorie</w:t>
            </w:r>
          </w:p>
        </w:tc>
        <w:tc>
          <w:tcPr>
            <w:tcW w:type="dxa" w:w="8136"/>
            <w:vAlign w:val="center"/>
            <w:shd w:fill="FFFFFF"/>
            <w:tcMar>
              <w:top w:w="90" w:type="dxa"/>
              <w:left w:w="90" w:type="dxa"/>
              <w:bottom w:w="90" w:type="dxa"/>
              <w:right w:w="90" w:type="dxa"/>
            </w:tcMar>
          </w:tcPr>
          <w:p>
            <w:pPr>
              <w:spacing w:after="40" w:before="40"/>
            </w:pPr>
            <w:r>
              <w:rPr>
                <w:color w:val="000000"/>
                <w:sz w:val="20"/>
              </w:rPr>
              <w:t>parentalite-numerique</w:t>
            </w:r>
          </w:p>
        </w:tc>
      </w:tr>
      <w:tr>
        <w:trPr>
          <w:cantSplit/>
        </w:trPr>
        <w:tc>
          <w:tcPr>
            <w:tcW w:type="dxa" w:w="1656"/>
            <w:vAlign w:val="center"/>
            <w:shd w:fill="F4F6F7"/>
            <w:tcMar>
              <w:top w:w="90" w:type="dxa"/>
              <w:left w:w="90" w:type="dxa"/>
              <w:bottom w:w="90" w:type="dxa"/>
              <w:right w:w="90" w:type="dxa"/>
            </w:tcMar>
          </w:tcPr>
          <w:p>
            <w:pPr>
              <w:spacing w:after="40" w:before="40"/>
            </w:pPr>
            <w:r>
              <w:rPr>
                <w:color w:val="000000"/>
                <w:sz w:val="20"/>
              </w:rPr>
              <w:t>Auteur</w:t>
            </w:r>
          </w:p>
        </w:tc>
        <w:tc>
          <w:tcPr>
            <w:tcW w:type="dxa" w:w="8136"/>
            <w:vAlign w:val="center"/>
            <w:shd w:fill="F4F6F7"/>
            <w:tcMar>
              <w:top w:w="90" w:type="dxa"/>
              <w:left w:w="90" w:type="dxa"/>
              <w:bottom w:w="90" w:type="dxa"/>
              <w:right w:w="90" w:type="dxa"/>
            </w:tcMar>
          </w:tcPr>
          <w:p>
            <w:pPr>
              <w:spacing w:after="40" w:before="40"/>
            </w:pPr>
            <w:r>
              <w:rPr>
                <w:color w:val="000000"/>
                <w:sz w:val="20"/>
              </w:rPr>
              <w:t>Totem Avisé</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Résumé</w:t>
            </w:r>
          </w:p>
        </w:tc>
        <w:tc>
          <w:tcPr>
            <w:tcW w:type="dxa" w:w="8136"/>
            <w:vAlign w:val="center"/>
            <w:shd w:fill="FFFFFF"/>
            <w:tcMar>
              <w:top w:w="90" w:type="dxa"/>
              <w:left w:w="90" w:type="dxa"/>
              <w:bottom w:w="90" w:type="dxa"/>
              <w:right w:w="90" w:type="dxa"/>
            </w:tcMar>
          </w:tcPr>
          <w:p>
            <w:pPr>
              <w:spacing w:after="40" w:before="40"/>
            </w:pPr>
            <w:r>
              <w:rPr>
                <w:color w:val="000000"/>
                <w:sz w:val="20"/>
              </w:rPr>
              <w:t>Pourquoi cette vidéo apparaît-elle en premier ? Une petite enquête sur l'écran d'un parent aide à comprendre les suggestions et à retrouver ses propres choix.</w:t>
            </w:r>
          </w:p>
        </w:tc>
      </w:tr>
      <w:tr>
        <w:trPr>
          <w:cantSplit/>
        </w:trPr>
        <w:tc>
          <w:tcPr>
            <w:tcW w:type="dxa" w:w="1656"/>
            <w:vAlign w:val="center"/>
            <w:shd w:fill="F4F6F7"/>
            <w:tcMar>
              <w:top w:w="90" w:type="dxa"/>
              <w:left w:w="90" w:type="dxa"/>
              <w:bottom w:w="90" w:type="dxa"/>
              <w:right w:w="90" w:type="dxa"/>
            </w:tcMar>
          </w:tcPr>
          <w:p>
            <w:pPr>
              <w:spacing w:after="40" w:before="40"/>
            </w:pPr>
            <w:r>
              <w:rPr>
                <w:color w:val="000000"/>
                <w:sz w:val="20"/>
              </w:rPr>
              <w:t>Titre SEO</w:t>
            </w:r>
          </w:p>
        </w:tc>
        <w:tc>
          <w:tcPr>
            <w:tcW w:type="dxa" w:w="8136"/>
            <w:vAlign w:val="center"/>
            <w:shd w:fill="F4F6F7"/>
            <w:tcMar>
              <w:top w:w="90" w:type="dxa"/>
              <w:left w:w="90" w:type="dxa"/>
              <w:bottom w:w="90" w:type="dxa"/>
              <w:right w:w="90" w:type="dxa"/>
            </w:tcMar>
          </w:tcPr>
          <w:p>
            <w:pPr>
              <w:spacing w:after="40" w:before="40"/>
            </w:pPr>
            <w:r>
              <w:rPr>
                <w:color w:val="000000"/>
                <w:sz w:val="20"/>
              </w:rPr>
              <w:t>Algorithmes et enfants : comprendre les recommandations</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Description SEO</w:t>
            </w:r>
          </w:p>
        </w:tc>
        <w:tc>
          <w:tcPr>
            <w:tcW w:type="dxa" w:w="8136"/>
            <w:vAlign w:val="center"/>
            <w:shd w:fill="FFFFFF"/>
            <w:tcMar>
              <w:top w:w="90" w:type="dxa"/>
              <w:left w:w="90" w:type="dxa"/>
              <w:bottom w:w="90" w:type="dxa"/>
              <w:right w:w="90" w:type="dxa"/>
            </w:tcMar>
          </w:tcPr>
          <w:p>
            <w:pPr>
              <w:spacing w:after="40" w:before="40"/>
            </w:pPr>
            <w:r>
              <w:rPr>
                <w:color w:val="000000"/>
                <w:sz w:val="20"/>
              </w:rPr>
              <w:t>Pourquoi ces vidéos apparaissent-elles ? Une activité à faire ensemble pour comprendre les suggestions et retrouver ses propres choix sur les plateformes.</w:t>
            </w:r>
          </w:p>
        </w:tc>
      </w:tr>
    </w:tbl>
    <w:p>
      <w:pPr>
        <w:pStyle w:val="Heading1"/>
      </w:pPr>
      <w:r>
        <w:t>Expliquer les recommandations des plateformes à son enfant</w:t>
      </w:r>
    </w:p>
    <w:p>
      <w:pPr/>
      <w:r>
        <w:t>Vous avez regardé une vidéo pour réparer une roue de vélo. Depuis, votre page d'accueil vous propose des freins, des casques et des descentes spectaculaires. Vous vouliez remettre le vélo en état. La plateforme, elle, a retenu un intérêt pour le vélo.</w:t>
      </w:r>
    </w:p>
    <w:p>
      <w:pPr/>
      <w:r>
        <w:t xml:space="preserve">Cet exemple suffit pour commencer à parler des recommandations avec un enfant. Pas besoin de lui faire un cours d'informatique. Vous pouvez partir de ce qui apparaît sur </w:t>
      </w:r>
      <w:r>
        <w:rPr>
          <w:b/>
        </w:rPr>
        <w:t>votre</w:t>
      </w:r>
      <w:r>
        <w:t xml:space="preserve"> écran et chercher ensemble ce que le service a pu en déduire.</w:t>
      </w:r>
    </w:p>
    <w:p>
      <w:pPr>
        <w:pStyle w:val="Heading2"/>
      </w:pPr>
      <w:r>
        <w:t>Une recommandation est une prédiction</w:t>
      </w:r>
    </w:p>
    <w:p>
      <w:pPr/>
      <w:r>
        <w:t>Un système de recommandation classe des contenus pour décider lesquels vous montrer en premier. Il utilise des informations qui varient selon les services : ce que vous avez regardé, recherché, apprécié ou ignoré, mais aussi les caractéristiques des vidéos et les choix d'autres personnes.</w:t>
      </w:r>
    </w:p>
    <w:p>
      <w:pPr/>
      <w:hyperlink r:id="rId11">
        <w:r>
          <w:rPr>
            <w:color w:val="205C77"/>
          </w:rPr>
          <w:t>Netflix décrit notamment</w:t>
        </w:r>
      </w:hyperlink>
      <w:r>
        <w:t xml:space="preserve"> le rôle de l'historique, des évaluations et des goûts d'utilisateurs aux préférences proches. </w:t>
      </w:r>
      <w:hyperlink r:id="rId12">
        <w:r>
          <w:rPr>
            <w:color w:val="205C77"/>
          </w:rPr>
          <w:t>YouTube explique</w:t>
        </w:r>
      </w:hyperlink>
      <w:r>
        <w:t xml:space="preserve"> comment les historiques et les retours de l'utilisateur influencent ses recommandations.</w:t>
      </w:r>
    </w:p>
    <w:p>
      <w:pPr/>
      <w:r>
        <w:t>Le système peut vous faire découvrir quelque chose qui vous plaît. Il peut aussi insister sur un sujet que vous avez consulté une seule fois. Regarder par curiosité, par inquiétude ou pour rendre service ne signifie pas toujours « j'en veux davantage ».</w:t>
      </w:r>
    </w:p>
    <w:p>
      <w:pPr/>
      <w:r>
        <w:t xml:space="preserve">Une formulation accessible serait : </w:t>
      </w:r>
      <w:r>
        <w:rPr>
          <w:b/>
        </w:rPr>
        <w:t>« Le site essaie de deviner ce que tu vas regarder. Il peut bien deviner tes goûts et se tromper sur ce dont tu as envie maintenant. »</w:t>
      </w:r>
    </w:p>
    <w:p>
      <w:pPr>
        <w:pStyle w:val="Heading2"/>
      </w:pPr>
      <w:r>
        <w:t>Faire une petite enquête sur l'écran d'un parent</w:t>
      </w:r>
    </w:p>
    <w:p>
      <w:pPr/>
      <w:r>
        <w:t>Choisissez un moment tranquille et votre propre compte, avec des contenus adaptés à l'enfant. L'activité ne nécessite pas de lui ouvrir un compte ni de lui donner accès à un service dont il n'a pas l'âge.</w:t>
      </w:r>
    </w:p>
    <w:p>
      <w:pPr>
        <w:keepNext/>
      </w:pPr>
      <w:r>
        <w:t>Repérez trois suggestions ordinaires. Pour chacune, demandez-vous :</w:t>
      </w:r>
    </w:p>
    <w:p>
      <w:pPr>
        <w:numPr>
          <w:ilvl w:val="0"/>
          <w:numId w:val="1005"/>
        </w:numPr>
        <w:spacing w:after="80"/>
      </w:pPr>
      <w:r>
        <w:t>Ai-je recherché ou regardé quelque chose de proche récemment ?</w:t>
      </w:r>
    </w:p>
    <w:p>
      <w:pPr>
        <w:numPr>
          <w:ilvl w:val="0"/>
          <w:numId w:val="1005"/>
        </w:numPr>
        <w:spacing w:after="80"/>
      </w:pPr>
      <w:r>
        <w:t>Qu'est-ce qui me donnerait envie de cliquer : le sujet, l'image, le titre, une personne connue ?</w:t>
      </w:r>
    </w:p>
    <w:p>
      <w:pPr>
        <w:numPr>
          <w:ilvl w:val="0"/>
          <w:numId w:val="1005"/>
        </w:numPr>
        <w:spacing w:after="80"/>
      </w:pPr>
      <w:r>
        <w:t>Est-ce que j'avais envie de voir cela avant d'ouvrir l'application ?</w:t>
      </w:r>
    </w:p>
    <w:p>
      <w:pPr/>
      <w:r>
        <w:t>Notez vos hypothèses sur une feuille. Vous pouvez écrire « je ne sais pas » : sans accès au fonctionnement interne du service, vous ne pouvez pas attribuer avec certitude chaque suggestion à une action précise.</w:t>
      </w:r>
    </w:p>
    <w:p>
      <w:pPr/>
      <w:r>
        <w:t>L'intérêt est de rendre le classement visible. La première vidéo affichée a été sélectionnée parmi beaucoup d'autres. Elle n'est pas arrivée là par hasard, et sa place ne prouve ni sa qualité ni sa fiabilité.</w:t>
      </w:r>
    </w:p>
    <w:p>
      <w:pPr>
        <w:pStyle w:val="Heading2"/>
      </w:pPr>
      <w:r>
        <w:t>Distinguer « ça m'intéresse » et « j'ai choisi de continuer »</w:t>
      </w:r>
    </w:p>
    <w:p>
      <w:pPr/>
      <w:r>
        <w:t>Une vidéo se termine. La suivante commence, ou son titre promet une réponse que vous n'aviez pas demandé à connaître. Ce passage mérite une discussion très simple : « Est-ce qu'on avait prévu de regarder cela aussi ? »</w:t>
      </w:r>
    </w:p>
    <w:p>
      <w:pPr/>
      <w:r>
        <w:t>Vous pouvez raconter une situation qui vous est réellement arrivée, si vous en avez une. Les adultes connaissent aussi le détour de cinq minutes qui dure une demi-heure.</w:t>
      </w:r>
    </w:p>
    <w:p>
      <w:pPr/>
      <w:r>
        <w:t>Évitez d'en faire un test de volonté. Une interface qui propose toujours une suite rend l'arrêt moins évident. Décider à l'avance d'un épisode ou d'une recherche donne un repère concret pour fermer l'application.</w:t>
      </w:r>
    </w:p>
    <w:p>
      <w:pPr/>
      <w:r>
        <w:t>Les recommandations et la lecture automatique sont deux mécanismes distincts. Désactiver l'une ne supprime pas nécessairement les autres.</w:t>
      </w:r>
    </w:p>
    <w:p>
      <w:pPr>
        <w:pStyle w:val="Heading2"/>
      </w:pPr>
      <w:r>
        <w:t>Trois façons de reprendre la main</w:t>
      </w:r>
    </w:p>
    <w:p>
      <w:pPr/>
      <w:r>
        <w:rPr>
          <w:b/>
        </w:rPr>
        <w:t>Entrer avec une idée précise.</w:t>
      </w:r>
      <w:r>
        <w:t xml:space="preserve"> Chercher le titre d'un film, une recette ou une explication permet de comparer le résultat à une intention. « Je viens pour apprendre ce nœud » donne un critère pour savoir quand on a fini.</w:t>
      </w:r>
    </w:p>
    <w:p>
      <w:pPr/>
      <w:r>
        <w:rPr>
          <w:b/>
        </w:rPr>
        <w:t>Donner un retour quand il existe.</w:t>
      </w:r>
      <w:r>
        <w:t xml:space="preserve"> Sur YouTube, les options « Pas intéressé » ou « Ne pas recommander la chaîne » peuvent ajuster les suggestions. L'aide officielle précise les menus selon l'appareil. Ces réglages influencent le service ; ils ne constituent pas une garantie qu'aucun contenu gênant ne réapparaîtra.</w:t>
      </w:r>
    </w:p>
    <w:p>
      <w:pPr/>
      <w:r>
        <w:rPr>
          <w:b/>
        </w:rPr>
        <w:t>Préparer des choix hors de la page d'accueil.</w:t>
      </w:r>
      <w:r>
        <w:t xml:space="preserve"> Un titre conseillé par un proche, une liste faite à la médiathèque ou deux films repérés dans le </w:t>
      </w:r>
      <w:hyperlink r:id="rId13">
        <w:r>
          <w:rPr>
            <w:color w:val="205C77"/>
          </w:rPr>
          <w:t>catalogue Totem Avisé</w:t>
        </w:r>
      </w:hyperlink>
      <w:r>
        <w:t xml:space="preserve"> offrent d'autres points de départ. Demandez à votre enfant ce qui l'attire dans chaque proposition.</w:t>
      </w:r>
    </w:p>
    <w:p>
      <w:pPr/>
      <w:r>
        <w:t>Une liste choisie par un adulte mérite elle aussi d'être discutée. Le but est que votre enfant apprenne à expliquer son choix, pas qu'il remplace une sélection automatique par une consigne impossible à questionner.</w:t>
      </w:r>
    </w:p>
    <w:p>
      <w:pPr>
        <w:pStyle w:val="Heading2"/>
        <w:keepNext/>
      </w:pPr>
      <w:r>
        <w:t>Quand une suggestion met mal à l'aise</w:t>
      </w:r>
    </w:p>
    <w:p>
      <w:pPr>
        <w:keepNext/>
      </w:pPr>
      <w:r>
        <w:t>Si une vidéo le choque ou l'inquiète, commencez par l'aider à fermer le contenu. Il n'a pas besoin de le revoir pour vous prouver ce qui s'est passé.</w:t>
      </w:r>
    </w:p>
    <w:p>
      <w:pPr>
        <w:keepNext/>
      </w:pPr>
      <w:r>
        <w:t>Vous pouvez ensuite regarder les possibilités de signalement, de blocage ou de restriction prévues par le service, en respectant ses conditions d'âge. Si cela arrive sur un compte qui n'est pas adapté à son âge, revoyez aussi l'accès au service.</w:t>
      </w:r>
    </w:p>
    <w:p>
      <w:pPr/>
      <w:r>
        <w:t xml:space="preserve">Et posez une règle facile à retenir : </w:t>
      </w:r>
      <w:r>
        <w:rPr>
          <w:b/>
        </w:rPr>
        <w:t>« Même si tu as cliqué, tu peux m'en parler. »</w:t>
      </w:r>
      <w:r>
        <w:t xml:space="preserve"> Comprendre les recommandations doit rendre votre enfant plus à l'aise pour demander de l'aide, pas plus inquiet de s'être laissé entraîner.</w:t>
      </w:r>
    </w:p>
    <w:sectPr>
      <w:footnotePr>
        <w:numRestart w:val="eachSect"/>
      </w:footnotePr>
      <w:pgSz w:w="12240" w:h="15840"/>
      <w:pgMar w:top="1152" w:bottom="1152" w:left="1224" w:right="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abstractNum w:abstractNumId="992">
    <w:lvl w:ilvl="0">
      <w:start w:val="1"/>
      <w:numFmt w:val="bullet"/>
      <w:lvlText w:val="•"/>
      <w:lvlJc w:val="left"/>
      <w:pPr>
        <w:ind w:left="360" w:hanging="180"/>
      </w:pPr>
    </w:lvl>
  </w:abstractNum>
  <w:num w:numId="1002">
    <w:abstractNumId w:val="992"/>
  </w:num>
  <w:abstractNum w:abstractNumId="993">
    <w:lvl w:ilvl="0">
      <w:start w:val="1"/>
      <w:numFmt w:val="bullet"/>
      <w:lvlText w:val="•"/>
      <w:lvlJc w:val="left"/>
      <w:pPr>
        <w:ind w:left="360" w:hanging="180"/>
      </w:pPr>
    </w:lvl>
  </w:abstractNum>
  <w:num w:numId="1003">
    <w:abstractNumId w:val="993"/>
  </w:num>
  <w:abstractNum w:abstractNumId="994">
    <w:lvl w:ilvl="0">
      <w:start w:val="1"/>
      <w:numFmt w:val="bullet"/>
      <w:lvlText w:val="•"/>
      <w:lvlJc w:val="left"/>
      <w:pPr>
        <w:ind w:left="360" w:hanging="180"/>
      </w:pPr>
    </w:lvl>
  </w:abstractNum>
  <w:num w:numId="1004">
    <w:abstractNumId w:val="994"/>
  </w:num>
  <w:abstractNum w:abstractNumId="995">
    <w:lvl w:ilvl="0">
      <w:start w:val="1"/>
      <w:numFmt w:val="bullet"/>
      <w:lvlText w:val="•"/>
      <w:lvlJc w:val="left"/>
      <w:pPr>
        <w:ind w:left="360" w:hanging="180"/>
      </w:pPr>
    </w:lvl>
  </w:abstractNum>
  <w:num w:numId="1005">
    <w:abstractNumId w:val="995"/>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80" w:line="259" w:lineRule="auto"/>
    </w:pPr>
    <w:rPr>
      <w:rFonts w:ascii="Calibri" w:hAnsi="Calibri"/>
      <w:color w:val="000000"/>
      <w:sz w:val="22"/>
    </w:rPr>
  </w:style>
  <w:style w:styleId="BodyText" w:type="paragraph">
    <w:name w:val="Body Text"/>
    <w:basedOn w:val="Normal"/>
    <w:link w:val="BodyTextChar"/>
    <w:qFormat/>
    <w:pPr>
      <w:widowControl/>
      <w:spacing w:after="80" w:before="180" w:line="259" w:lineRule="auto"/>
    </w:pPr>
    <w:rPr>
      <w:rFonts w:ascii="Calibri" w:hAnsi="Calibri"/>
      <w:color w:val="000000"/>
      <w:sz w:val="22"/>
    </w:rPr>
  </w:style>
  <w:style w:customStyle="1" w:styleId="FirstParagraph" w:type="paragraph">
    <w:name w:val="First Paragraph"/>
    <w:basedOn w:val="BodyText"/>
    <w:next w:val="BodyText"/>
    <w:qFormat/>
    <w:pPr>
      <w:widowControl/>
      <w:spacing w:after="80" w:line="259" w:lineRule="auto"/>
    </w:pPr>
    <w:rPr>
      <w:rFonts w:ascii="Calibri" w:hAnsi="Calibri"/>
      <w:color w:val="000000"/>
      <w:sz w:val="22"/>
    </w:rPr>
  </w:style>
  <w:style w:customStyle="1" w:styleId="Compact" w:type="paragraph">
    <w:name w:val="Compact"/>
    <w:basedOn w:val="BodyText"/>
    <w:qFormat/>
    <w:pPr>
      <w:widowControl/>
      <w:spacing w:after="80" w:before="36" w:line="259" w:lineRule="auto"/>
    </w:pPr>
    <w:rPr>
      <w:rFonts w:ascii="Calibri" w:hAnsi="Calibri"/>
      <w:color w:val="000000"/>
      <w:sz w:val="22"/>
    </w:rPr>
  </w:style>
  <w:style w:styleId="Title" w:type="paragraph">
    <w:name w:val="Title"/>
    <w:basedOn w:val="Normal"/>
    <w:next w:val="BodyText"/>
    <w:link w:val="TitleChar"/>
    <w:uiPriority w:val="10"/>
    <w:qFormat/>
    <w:rsid w:val="00A10FD9"/>
    <w:pPr>
      <w:keepNext/>
      <w:spacing w:after="120" w:line="240" w:lineRule="auto" w:before="240"/>
      <w:contextualSpacing/>
      <w:jc w:val="center"/>
    </w:pPr>
    <w:rPr>
      <w:rFonts w:asciiTheme="majorHAnsi" w:cstheme="majorBidi" w:eastAsiaTheme="majorEastAsia" w:hAnsiTheme="majorHAnsi" w:ascii="Calibri" w:hAnsi="Calibri"/>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outlineLvl w:val="0"/>
    </w:pPr>
    <w:rPr>
      <w:rFonts w:asciiTheme="majorHAnsi" w:cstheme="majorBidi" w:eastAsiaTheme="majorEastAsia" w:hAnsiTheme="majorHAnsi" w:ascii="Calibri" w:hAnsi="Calibr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Theme="majorHAnsi" w:cstheme="majorBidi" w:eastAsiaTheme="majorEastAsia" w:hAnsiTheme="majorHAnsi" w:ascii="Calibri" w:hAnsi="Calibri"/>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cstheme="majorBidi" w:eastAsiaTheme="majorEastAsia" w:ascii="Calibri" w:hAnsi="Calibri"/>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 Type="http://schemas.openxmlformats.org/officeDocument/2006/relationships/hyperlink" Target="/blog/qualite-contenu-plus-que-chronometre" TargetMode="External"/><Relationship Id="rId19" Type="http://schemas.openxmlformats.org/officeDocument/2006/relationships/hyperlink" Target="/objectif" TargetMode="External"/><Relationship Id="rId21" Type="http://schemas.openxmlformats.org/officeDocument/2006/relationships/hyperlink" Target="https://www.ameli.fr/assure/sante/themes/ecrans-enfance-adolescence/ecran-sante-enfant-adolescent" TargetMode="External"/><Relationship Id="rId9" Type="http://schemas.openxmlformats.org/officeDocument/2006/relationships/hyperlink" Target="https://www.arcom.fr/se-documenter/etudes-et-donnees/etudes-bilans-et-rapports-de-larcom/referentiel-des-usages-numeriques-2025" TargetMode="External"/><Relationship Id="rId10" Type="http://schemas.openxmlformats.org/officeDocument/2006/relationships/hyperlink" Target="https://www.cnil.fr/fr/ia-mineurs-cybersecurite-quotidien-numerique-la-cnil-publie-son-plan-strategique-2025-2028" TargetMode="External"/><Relationship Id="rId11" Type="http://schemas.openxmlformats.org/officeDocument/2006/relationships/hyperlink" Target="https://help.netflix.com/fr/node/100639" TargetMode="External"/><Relationship Id="rId12" Type="http://schemas.openxmlformats.org/officeDocument/2006/relationships/hyperlink" Target="https://support.google.com/youtube/answer/6342839?hl=fr" TargetMode="External"/><Relationship Id="rId13" Type="http://schemas.openxmlformats.org/officeDocument/2006/relationships/hyperlink" Target="https://totemavise.com/films" TargetMode="External"/></Relationships>
</file>

<file path=word/_rels/footnotes.xml.rels><?xml version='1.0' encoding='UTF-8' standalone='yes'?>
<Relationships xmlns="http://schemas.openxmlformats.org/package/2006/relationships"><Relationship Id="rId16" Type="http://schemas.openxmlformats.org/officeDocument/2006/relationships/hyperlink" Target="/blog/qualite-contenu-plus-que-chronometre" TargetMode="External"/><Relationship Id="rId19" Type="http://schemas.openxmlformats.org/officeDocument/2006/relationships/hyperlink" Target="/objectif" TargetMode="External"/><Relationship Id="rId21" Type="http://schemas.openxmlformats.org/officeDocument/2006/relationships/hyperlink" Target="https://www.ameli.fr/assure/sante/themes/ecrans-enfance-adolescence/ecran-sante-enfant-adolescent" TargetMode="External"/><Relationship Id="rId9" Type="http://schemas.openxmlformats.org/officeDocument/2006/relationships/hyperlink" Target="https://www.arcom.fr/se-documenter/etudes-et-donnees/etudes-bilans-et-rapports-de-larcom/referentiel-des-usages-numeriques-2025" TargetMode="External"/><Relationship Id="rId10" Type="http://schemas.openxmlformats.org/officeDocument/2006/relationships/hyperlink" Target="https://www.cnil.fr/fr/ia-mineurs-cybersecurite-quotidien-numerique-la-cnil-publie-son-plan-strategique-2025-20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Expliquer les recommandations des plateformes à son enfant</dc:title>
  <dc:creator>Totem Avisé</dc:creator>
  <cp:keywords/>
  <dcterms:created xsi:type="dcterms:W3CDTF">2026-06-21T14:05:59Z</dcterms:created>
  <dcterms:modified xsi:type="dcterms:W3CDTF">2026-06-21T14:05:59Z</dcterms:modified>
  <dc:subject>Brouillon éditorial</dc:subject>
</cp:coreProperties>
</file>

<file path=docProps/custom.xml><?xml version="1.0" encoding="utf-8"?>
<Properties xmlns="http://schemas.openxmlformats.org/officeDocument/2006/custom-properties" xmlns:vt="http://schemas.openxmlformats.org/officeDocument/2006/docPropsVTypes"/>
</file>