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94" w:rsidRPr="00B94AE1" w:rsidRDefault="006C4594" w:rsidP="006C4594">
      <w:pPr>
        <w:pStyle w:val="Standard"/>
        <w:rPr>
          <w:rFonts w:cs="Times New Roman"/>
          <w:sz w:val="16"/>
          <w:szCs w:val="16"/>
        </w:rPr>
      </w:pPr>
    </w:p>
    <w:tbl>
      <w:tblPr>
        <w:tblW w:w="1075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5"/>
        <w:gridCol w:w="5853"/>
        <w:gridCol w:w="2297"/>
      </w:tblGrid>
      <w:tr w:rsidR="006C4594" w:rsidRPr="00B94AE1" w:rsidTr="004C4309">
        <w:trPr>
          <w:jc w:val="right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594" w:rsidRPr="00B94AE1" w:rsidRDefault="006C4594" w:rsidP="004C4309">
            <w:pPr>
              <w:pStyle w:val="TableContents"/>
              <w:rPr>
                <w:rFonts w:cs="Times New Roman"/>
                <w:sz w:val="20"/>
                <w:szCs w:val="20"/>
                <w:lang w:val="en-US"/>
              </w:rPr>
            </w:pPr>
            <w:r w:rsidRPr="00B94AE1">
              <w:rPr>
                <w:rFonts w:cs="Times New Roman"/>
                <w:sz w:val="20"/>
                <w:szCs w:val="20"/>
                <w:lang w:val="en-US"/>
              </w:rPr>
              <w:t>PP&gt;WE&gt;</w:t>
            </w:r>
            <w:proofErr w:type="spellStart"/>
            <w:r w:rsidRPr="00B94AE1">
              <w:rPr>
                <w:rFonts w:cs="Times New Roman"/>
                <w:sz w:val="20"/>
                <w:szCs w:val="20"/>
                <w:lang w:val="en-US"/>
              </w:rPr>
              <w:t>Dz</w:t>
            </w:r>
            <w:proofErr w:type="spellEnd"/>
            <w:r w:rsidRPr="00B94AE1">
              <w:rPr>
                <w:rFonts w:cs="Times New Roman"/>
                <w:sz w:val="20"/>
                <w:szCs w:val="20"/>
                <w:lang w:val="en-US"/>
              </w:rPr>
              <w:t>&gt;</w:t>
            </w:r>
            <w:proofErr w:type="spellStart"/>
            <w:r w:rsidRPr="00B94AE1">
              <w:rPr>
                <w:rFonts w:cs="Times New Roman"/>
                <w:sz w:val="20"/>
                <w:szCs w:val="20"/>
                <w:lang w:val="en-US"/>
              </w:rPr>
              <w:t>AiR</w:t>
            </w:r>
            <w:proofErr w:type="spellEnd"/>
            <w:r w:rsidR="007370B4">
              <w:rPr>
                <w:rFonts w:cs="Times New Roman"/>
                <w:sz w:val="20"/>
                <w:szCs w:val="20"/>
                <w:lang w:val="en-US"/>
              </w:rPr>
              <w:t>&gt;</w:t>
            </w:r>
            <w:proofErr w:type="spellStart"/>
            <w:r w:rsidR="007370B4">
              <w:rPr>
                <w:rFonts w:cs="Times New Roman"/>
                <w:sz w:val="20"/>
                <w:szCs w:val="20"/>
                <w:lang w:val="en-US"/>
              </w:rPr>
              <w:t>Mgr</w:t>
            </w:r>
            <w:proofErr w:type="spellEnd"/>
            <w:r w:rsidR="007370B4">
              <w:rPr>
                <w:rFonts w:cs="Times New Roman"/>
                <w:sz w:val="20"/>
                <w:szCs w:val="20"/>
                <w:lang w:val="en-US"/>
              </w:rPr>
              <w:t>&gt;Sem2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594" w:rsidRPr="00144482" w:rsidRDefault="001351F2" w:rsidP="004C4309">
            <w:pPr>
              <w:pStyle w:val="TableContents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Laboratorium problemowe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594" w:rsidRPr="00B94AE1" w:rsidRDefault="007370B4" w:rsidP="007370B4">
            <w:pPr>
              <w:pStyle w:val="TableContents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Rok ak.2017/18</w:t>
            </w:r>
            <w:r w:rsidR="006C4594" w:rsidRPr="00B94AE1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="006C4594" w:rsidRPr="00B94AE1">
              <w:rPr>
                <w:rFonts w:cs="Times New Roman"/>
                <w:sz w:val="20"/>
                <w:szCs w:val="20"/>
              </w:rPr>
              <w:t>s.zim</w:t>
            </w:r>
            <w:proofErr w:type="spellEnd"/>
            <w:r w:rsidR="006C4594" w:rsidRPr="00B94AE1">
              <w:rPr>
                <w:rFonts w:cs="Times New Roman"/>
                <w:sz w:val="20"/>
                <w:szCs w:val="20"/>
              </w:rPr>
              <w:t>.)</w:t>
            </w:r>
          </w:p>
        </w:tc>
      </w:tr>
      <w:tr w:rsidR="006C4594" w:rsidRPr="00B94AE1" w:rsidTr="004C4309">
        <w:trPr>
          <w:jc w:val="right"/>
        </w:trPr>
        <w:tc>
          <w:tcPr>
            <w:tcW w:w="26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0B4" w:rsidRDefault="001351F2" w:rsidP="0084006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Arkadiusz Nawrot</w:t>
            </w:r>
          </w:p>
          <w:p w:rsidR="001351F2" w:rsidRPr="007370B4" w:rsidRDefault="001351F2" w:rsidP="0084006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Sławomir Smyczyński</w:t>
            </w:r>
          </w:p>
        </w:tc>
        <w:tc>
          <w:tcPr>
            <w:tcW w:w="585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594" w:rsidRPr="00B94AE1" w:rsidRDefault="00B55C92" w:rsidP="007026E2">
            <w:pPr>
              <w:pStyle w:val="Standard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Projekt oświetlenia w pojeździe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594" w:rsidRPr="00B94AE1" w:rsidRDefault="007370B4" w:rsidP="00B55C92">
            <w:pPr>
              <w:pStyle w:val="TableContents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wyk</w:t>
            </w:r>
            <w:r w:rsidR="00B55C92">
              <w:rPr>
                <w:rFonts w:cs="Times New Roman"/>
                <w:sz w:val="20"/>
                <w:szCs w:val="20"/>
              </w:rPr>
              <w:t>onania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B55C92" w:rsidRPr="007E58B0">
              <w:rPr>
                <w:rFonts w:cs="Times New Roman"/>
                <w:sz w:val="20"/>
                <w:szCs w:val="20"/>
              </w:rPr>
              <w:t>15.01.2018r</w:t>
            </w:r>
            <w:r w:rsidR="00B55C92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:rsidR="006C4594" w:rsidRPr="00B94AE1" w:rsidRDefault="006C4594" w:rsidP="006C4594">
      <w:pPr>
        <w:pStyle w:val="Standard"/>
        <w:rPr>
          <w:rFonts w:cs="Times New Roman"/>
          <w:sz w:val="16"/>
          <w:szCs w:val="16"/>
        </w:rPr>
      </w:pPr>
    </w:p>
    <w:p w:rsidR="006C4594" w:rsidRPr="00B94AE1" w:rsidRDefault="006C4594" w:rsidP="007228B3">
      <w:pPr>
        <w:sectPr w:rsidR="006C4594" w:rsidRPr="00B94AE1">
          <w:footerReference w:type="default" r:id="rId9"/>
          <w:pgSz w:w="11906" w:h="16838"/>
          <w:pgMar w:top="567" w:right="567" w:bottom="567" w:left="567" w:header="708" w:footer="708" w:gutter="0"/>
          <w:cols w:space="708"/>
        </w:sectPr>
      </w:pPr>
    </w:p>
    <w:p w:rsidR="00840063" w:rsidRDefault="007228B3" w:rsidP="001A4046">
      <w:pPr>
        <w:pStyle w:val="Standard"/>
        <w:numPr>
          <w:ilvl w:val="0"/>
          <w:numId w:val="7"/>
        </w:num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lastRenderedPageBreak/>
        <w:t>Założenia projektowe</w:t>
      </w:r>
    </w:p>
    <w:p w:rsidR="001A4046" w:rsidRPr="007228B3" w:rsidRDefault="006C4594" w:rsidP="007228B3">
      <w:r w:rsidRPr="0081546B">
        <w:br/>
      </w:r>
      <w:r w:rsidR="00B55C92" w:rsidRPr="007228B3">
        <w:t xml:space="preserve">Celem laboratorium problemowego było zaprojektowanie </w:t>
      </w:r>
      <w:r w:rsidR="00207221">
        <w:t xml:space="preserve">systemu </w:t>
      </w:r>
      <w:r w:rsidR="00B55C92" w:rsidRPr="007228B3">
        <w:t>oświetlenia w pojeździe na podstawie dobranych wcześniej głównych elementów elektronicznych</w:t>
      </w:r>
      <w:r w:rsidR="001A4046" w:rsidRPr="007228B3">
        <w:t xml:space="preserve"> – diod </w:t>
      </w:r>
      <w:r w:rsidR="00207221">
        <w:t>świecących</w:t>
      </w:r>
      <w:r w:rsidR="001A4046" w:rsidRPr="007228B3">
        <w:t xml:space="preserve"> oraz driverów LED</w:t>
      </w:r>
      <w:r w:rsidR="00B55C92" w:rsidRPr="007228B3">
        <w:t>. Po sprecyzowaniu wymogów dotyczących projektu zaproponowano zestaw 4 lamp, każda zawierająca konieczn</w:t>
      </w:r>
      <w:r w:rsidR="007228B3" w:rsidRPr="007228B3">
        <w:t>ą elektronikę sterującą</w:t>
      </w:r>
      <w:r w:rsidR="00B55C92" w:rsidRPr="007228B3">
        <w:t>. W celu znormalizowania</w:t>
      </w:r>
      <w:r w:rsidR="001A4046" w:rsidRPr="007228B3">
        <w:t xml:space="preserve"> systemu oświetlenia, lampy zostały zaprojektowane jako uniwersalne, gdzie dana lampa</w:t>
      </w:r>
      <w:r w:rsidR="007D49E4" w:rsidRPr="007228B3">
        <w:t xml:space="preserve"> </w:t>
      </w:r>
      <w:r w:rsidR="001A4046" w:rsidRPr="007228B3">
        <w:t>po wluto</w:t>
      </w:r>
      <w:r w:rsidR="007228B3" w:rsidRPr="007228B3">
        <w:t>waniu odpowiedni</w:t>
      </w:r>
      <w:r w:rsidR="00207221">
        <w:t>ch</w:t>
      </w:r>
      <w:r w:rsidR="007228B3" w:rsidRPr="007228B3">
        <w:t xml:space="preserve"> kolor</w:t>
      </w:r>
      <w:r w:rsidR="00207221">
        <w:t>ów</w:t>
      </w:r>
      <w:r w:rsidR="007228B3" w:rsidRPr="007228B3">
        <w:t xml:space="preserve"> diod mocy</w:t>
      </w:r>
      <w:r w:rsidR="001A4046" w:rsidRPr="007228B3">
        <w:t xml:space="preserve">, może być zainstalowana na przodzie lub tyle pojazdu. </w:t>
      </w:r>
    </w:p>
    <w:p w:rsidR="00144482" w:rsidRPr="007228B3" w:rsidRDefault="001A4046" w:rsidP="007228B3">
      <w:r w:rsidRPr="007228B3">
        <w:t xml:space="preserve">W założeniach </w:t>
      </w:r>
      <w:r w:rsidR="007228B3" w:rsidRPr="007228B3">
        <w:t xml:space="preserve">projektowych </w:t>
      </w:r>
      <w:r w:rsidRPr="007228B3">
        <w:t xml:space="preserve">ustalono wymiar </w:t>
      </w:r>
      <w:r w:rsidR="007228B3" w:rsidRPr="007228B3">
        <w:t xml:space="preserve">lampy w kształcie </w:t>
      </w:r>
      <w:r w:rsidRPr="007228B3">
        <w:t>prostokąt</w:t>
      </w:r>
      <w:r w:rsidR="007228B3" w:rsidRPr="007228B3">
        <w:t>a</w:t>
      </w:r>
      <w:r w:rsidRPr="007228B3">
        <w:t xml:space="preserve"> jako 8x20 cm (wys. x dł.). Każda z lamp  wymaga doporowadzenia jedynie zasilania (+24V, GND) oraz linii magistrali CAN (CANH i CANL). Istotnym założeniem co do projektu było zapewnienie możliwości dynamicznego sterowania oświetleniem – przede wszystkim światłami kierunkowskazu. Umożliwia to </w:t>
      </w:r>
      <w:r w:rsidR="002B3BF7" w:rsidRPr="007228B3">
        <w:t xml:space="preserve">sekwencyjne zapalenie diod LED w kolumnach, sygnalizując zamiar skrętu. </w:t>
      </w:r>
    </w:p>
    <w:p w:rsidR="002B3BF7" w:rsidRPr="007228B3" w:rsidRDefault="002B3BF7" w:rsidP="007228B3">
      <w:r w:rsidRPr="007228B3">
        <w:t xml:space="preserve">W lampach przednich wymagane jest oświetlenie dzienne, kierunkowskaz oraz światła mijania/długie. W oświetleniu tylnym pojazdu należało rozważyć </w:t>
      </w:r>
      <w:r w:rsidR="007228B3" w:rsidRPr="007228B3">
        <w:t>implementacje</w:t>
      </w:r>
      <w:r w:rsidRPr="007228B3">
        <w:t xml:space="preserve"> kierunkowskaz</w:t>
      </w:r>
      <w:r w:rsidR="007228B3" w:rsidRPr="007228B3">
        <w:t>ów</w:t>
      </w:r>
      <w:r w:rsidRPr="007228B3">
        <w:t>, świat</w:t>
      </w:r>
      <w:r w:rsidR="007228B3" w:rsidRPr="007228B3">
        <w:t>eł</w:t>
      </w:r>
      <w:r w:rsidRPr="007228B3">
        <w:t xml:space="preserve"> pozycyjn</w:t>
      </w:r>
      <w:r w:rsidR="007228B3" w:rsidRPr="007228B3">
        <w:t>ych</w:t>
      </w:r>
      <w:r w:rsidRPr="007228B3">
        <w:t xml:space="preserve"> oraz świat</w:t>
      </w:r>
      <w:r w:rsidR="007228B3" w:rsidRPr="007228B3">
        <w:t>eł</w:t>
      </w:r>
      <w:r w:rsidRPr="007228B3">
        <w:t xml:space="preserve"> stopu. W</w:t>
      </w:r>
      <w:r w:rsidR="007D49E4" w:rsidRPr="007228B3">
        <w:t xml:space="preserve"> tym celu lampy zaprojektowano w technologii LED z diodami RGB pełniącymi </w:t>
      </w:r>
      <w:r w:rsidR="007D49E4" w:rsidRPr="004E4F4D">
        <w:t>rolę kierun</w:t>
      </w:r>
      <w:r w:rsidR="004E4F4D" w:rsidRPr="004E4F4D">
        <w:t>kowskazu, świateł dziennych, pozycyjnych</w:t>
      </w:r>
      <w:r w:rsidR="007D49E4" w:rsidRPr="004E4F4D">
        <w:t xml:space="preserve"> oraz diodami POWER LED jako światła główne (mijania/dł</w:t>
      </w:r>
      <w:r w:rsidR="004E4F4D" w:rsidRPr="004E4F4D">
        <w:t>ugie) lub</w:t>
      </w:r>
      <w:r w:rsidR="007D49E4" w:rsidRPr="004E4F4D">
        <w:t xml:space="preserve"> światła STOP</w:t>
      </w:r>
      <w:r w:rsidR="007D49E4" w:rsidRPr="007228B3">
        <w:t xml:space="preserve">. Każda lampa zawiera w sobie </w:t>
      </w:r>
      <w:r w:rsidR="007228B3" w:rsidRPr="007228B3">
        <w:t>trzy</w:t>
      </w:r>
      <w:r w:rsidR="007D49E4" w:rsidRPr="007228B3">
        <w:t xml:space="preserve"> sterowniki 6-kanałowe do sterowania diodami RGB, jeden sterownik do sterowania diodami </w:t>
      </w:r>
      <w:r w:rsidR="007228B3" w:rsidRPr="007228B3">
        <w:t xml:space="preserve">Power LED, </w:t>
      </w:r>
      <w:r w:rsidR="007D49E4" w:rsidRPr="007228B3">
        <w:t>mikrokontroler</w:t>
      </w:r>
      <w:r w:rsidR="007228B3" w:rsidRPr="007228B3">
        <w:t xml:space="preserve"> oraz elementy dodatkowe</w:t>
      </w:r>
      <w:r w:rsidR="007D49E4" w:rsidRPr="007228B3">
        <w:t>. W ten sposób można zaprogramować funkcjonalność lampy zgodnie ze stawianymi wymogam</w:t>
      </w:r>
      <w:r w:rsidR="007228B3" w:rsidRPr="007228B3">
        <w:t xml:space="preserve">i. Lampy  zawierają w swoich </w:t>
      </w:r>
      <w:r w:rsidR="007D49E4" w:rsidRPr="007228B3">
        <w:t xml:space="preserve">strukturach czujniki oświetlenia, </w:t>
      </w:r>
      <w:r w:rsidR="007228B3" w:rsidRPr="007228B3">
        <w:t>co ma na celu</w:t>
      </w:r>
      <w:r w:rsidR="007D49E4" w:rsidRPr="007228B3">
        <w:t xml:space="preserve"> programow</w:t>
      </w:r>
      <w:r w:rsidR="007228B3" w:rsidRPr="007228B3">
        <w:t xml:space="preserve">e </w:t>
      </w:r>
      <w:r w:rsidR="007D49E4" w:rsidRPr="007228B3">
        <w:t>sterowani</w:t>
      </w:r>
      <w:r w:rsidR="007228B3" w:rsidRPr="007228B3">
        <w:t>e</w:t>
      </w:r>
      <w:r w:rsidR="007D49E4" w:rsidRPr="007228B3">
        <w:t xml:space="preserve"> jasnością diod.</w:t>
      </w:r>
      <w:r w:rsidR="002E6A02" w:rsidRPr="007228B3">
        <w:t xml:space="preserve"> </w:t>
      </w:r>
      <w:r w:rsidR="00207221">
        <w:t>Schemat ideowy oraz mozaika PCB</w:t>
      </w:r>
      <w:r w:rsidR="002E6A02" w:rsidRPr="007228B3">
        <w:t xml:space="preserve"> powstał</w:t>
      </w:r>
      <w:r w:rsidR="00207221">
        <w:t>a</w:t>
      </w:r>
      <w:r w:rsidR="00926A53">
        <w:t xml:space="preserve"> w środowisku</w:t>
      </w:r>
      <w:r w:rsidR="007E58B0">
        <w:t xml:space="preserve"> </w:t>
      </w:r>
      <w:proofErr w:type="spellStart"/>
      <w:r w:rsidR="007E58B0">
        <w:t>Eagle</w:t>
      </w:r>
      <w:proofErr w:type="spellEnd"/>
      <w:r w:rsidR="002E6A02" w:rsidRPr="007228B3">
        <w:t xml:space="preserve">. Przy doborze </w:t>
      </w:r>
      <w:r w:rsidR="00207221">
        <w:t>komponentów elektronicznych</w:t>
      </w:r>
      <w:r w:rsidR="002E6A02" w:rsidRPr="007228B3">
        <w:t xml:space="preserve"> w </w:t>
      </w:r>
      <w:r w:rsidR="00207221">
        <w:t>dużej</w:t>
      </w:r>
      <w:r w:rsidR="002E6A02" w:rsidRPr="007228B3">
        <w:t xml:space="preserve"> mierze kierowano się dostępnością elementów na terenie kraju.</w:t>
      </w:r>
    </w:p>
    <w:p w:rsidR="006C4594" w:rsidRPr="0081546B" w:rsidRDefault="006C4594" w:rsidP="006C4594">
      <w:pPr>
        <w:pStyle w:val="Standard"/>
        <w:rPr>
          <w:rFonts w:cs="Times New Roman"/>
          <w:sz w:val="22"/>
          <w:szCs w:val="22"/>
        </w:rPr>
      </w:pPr>
    </w:p>
    <w:p w:rsidR="006C4594" w:rsidRDefault="006C4594" w:rsidP="006C4594">
      <w:pPr>
        <w:pStyle w:val="Standard"/>
        <w:rPr>
          <w:rFonts w:cs="Times New Roman"/>
          <w:b/>
          <w:bCs/>
          <w:sz w:val="22"/>
          <w:szCs w:val="22"/>
        </w:rPr>
      </w:pPr>
      <w:r w:rsidRPr="0081546B">
        <w:rPr>
          <w:rFonts w:cs="Times New Roman"/>
          <w:b/>
          <w:bCs/>
          <w:sz w:val="22"/>
          <w:szCs w:val="22"/>
        </w:rPr>
        <w:t xml:space="preserve">2. </w:t>
      </w:r>
      <w:r w:rsidR="007D49E4">
        <w:rPr>
          <w:rFonts w:cs="Times New Roman"/>
          <w:b/>
          <w:bCs/>
          <w:sz w:val="22"/>
          <w:szCs w:val="22"/>
        </w:rPr>
        <w:t>Diody LED, PCB</w:t>
      </w:r>
    </w:p>
    <w:p w:rsidR="00DF6CCD" w:rsidRDefault="00DF6CCD" w:rsidP="006C4594">
      <w:pPr>
        <w:pStyle w:val="Standard"/>
        <w:rPr>
          <w:rFonts w:cs="Times New Roman"/>
          <w:b/>
          <w:bCs/>
          <w:sz w:val="22"/>
          <w:szCs w:val="22"/>
        </w:rPr>
      </w:pPr>
    </w:p>
    <w:p w:rsidR="000725D8" w:rsidRDefault="007D49E4" w:rsidP="009859D4">
      <w:pPr>
        <w:rPr>
          <w:bCs/>
        </w:rPr>
      </w:pPr>
      <w:r w:rsidRPr="007228B3">
        <w:t>W zaprojektowanej lampie przewidziano 36 diod RGB w obudowie SMD 5050</w:t>
      </w:r>
      <w:r w:rsidR="000725D8" w:rsidRPr="007228B3">
        <w:t xml:space="preserve"> oraz 6</w:t>
      </w:r>
      <w:r w:rsidRPr="007228B3">
        <w:t xml:space="preserve"> diod </w:t>
      </w:r>
      <w:r w:rsidR="000725D8" w:rsidRPr="007228B3">
        <w:t xml:space="preserve">1W </w:t>
      </w:r>
      <w:r w:rsidRPr="007228B3">
        <w:t>P</w:t>
      </w:r>
      <w:r w:rsidR="007228B3">
        <w:t>ower</w:t>
      </w:r>
      <w:r w:rsidRPr="007228B3">
        <w:t xml:space="preserve"> LED. Diody RGB rozmieszczon</w:t>
      </w:r>
      <w:r w:rsidR="00926A53">
        <w:t>o</w:t>
      </w:r>
      <w:r w:rsidRPr="007228B3">
        <w:t xml:space="preserve"> </w:t>
      </w:r>
      <w:r w:rsidR="00325946">
        <w:t xml:space="preserve">w </w:t>
      </w:r>
      <w:r w:rsidR="009859D4">
        <w:t>układzie</w:t>
      </w:r>
      <w:r w:rsidRPr="007228B3">
        <w:t xml:space="preserve"> matryc</w:t>
      </w:r>
      <w:r w:rsidR="00325946">
        <w:t>y</w:t>
      </w:r>
      <w:r w:rsidRPr="007228B3">
        <w:t xml:space="preserve"> 6x6, natomiast POWER LED jako pasek diodowy pod wspomnianą </w:t>
      </w:r>
      <w:r w:rsidR="000725D8" w:rsidRPr="007228B3">
        <w:t>matrycą</w:t>
      </w:r>
      <w:r w:rsidRPr="007228B3">
        <w:t>.</w:t>
      </w:r>
      <w:r w:rsidR="000725D8" w:rsidRPr="007228B3">
        <w:t xml:space="preserve"> Wszystkie diody oraz czujnik oświetlenia znalazły się na warstwie górnej (TOP) PCB. Warstwa spodnia (BOTOM) przeznaczona jest dla </w:t>
      </w:r>
      <w:r w:rsidR="00325946">
        <w:t xml:space="preserve">pozostałych </w:t>
      </w:r>
      <w:r w:rsidR="000725D8" w:rsidRPr="007228B3">
        <w:t>elementów elektronicznych</w:t>
      </w:r>
      <w:r w:rsidR="009859D4">
        <w:t xml:space="preserve">. </w:t>
      </w:r>
      <w:r w:rsidR="000725D8" w:rsidRPr="007228B3">
        <w:t xml:space="preserve">Montaż mechaniczny PCB przewidziano poprzez 4 śruby M5. Rozmieszczenie diod oraz wymiary lamp przedstawiono na rysunku 1. </w:t>
      </w:r>
      <w:r w:rsidR="00325946">
        <w:t>Z</w:t>
      </w:r>
      <w:r w:rsidR="002E6A02" w:rsidRPr="007228B3">
        <w:t>ieloną ramk</w:t>
      </w:r>
      <w:r w:rsidR="00325946">
        <w:t>ą</w:t>
      </w:r>
      <w:r w:rsidR="002E6A02" w:rsidRPr="007228B3">
        <w:t xml:space="preserve"> zaznaczono diody realizujące oświetlenie dzienne/kierunkowskaz/światła pozycyjne, natomiast niebieską – diody oświetlenia roboczego (mijani</w:t>
      </w:r>
      <w:r w:rsidR="00325946">
        <w:t xml:space="preserve">a/długie) oraz </w:t>
      </w:r>
      <w:r w:rsidR="002E6A02" w:rsidRPr="007228B3">
        <w:t>światła STOP.</w:t>
      </w:r>
      <w:r w:rsidR="00130ACC" w:rsidRPr="007228B3">
        <w:t xml:space="preserve"> W czerwonej ramce zaznaczono czujnik oświetlenia</w:t>
      </w:r>
      <w:r w:rsidR="00130ACC">
        <w:rPr>
          <w:bCs/>
        </w:rPr>
        <w:t>.</w:t>
      </w:r>
    </w:p>
    <w:p w:rsidR="000725D8" w:rsidRDefault="000725D8" w:rsidP="00920F10">
      <w:pPr>
        <w:pStyle w:val="Standard"/>
        <w:jc w:val="both"/>
        <w:rPr>
          <w:rFonts w:cs="Times New Roman"/>
          <w:bCs/>
          <w:sz w:val="22"/>
          <w:szCs w:val="22"/>
        </w:rPr>
      </w:pPr>
    </w:p>
    <w:p w:rsidR="009859D4" w:rsidRDefault="00130ACC" w:rsidP="009859D4">
      <w:pPr>
        <w:pStyle w:val="Standard"/>
        <w:keepNext/>
        <w:jc w:val="both"/>
      </w:pPr>
      <w:r>
        <w:rPr>
          <w:rFonts w:cs="Times New Roman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EA95A" wp14:editId="7D83CEDD">
                <wp:simplePos x="0" y="0"/>
                <wp:positionH relativeFrom="column">
                  <wp:posOffset>2305517</wp:posOffset>
                </wp:positionH>
                <wp:positionV relativeFrom="paragraph">
                  <wp:posOffset>1300552</wp:posOffset>
                </wp:positionV>
                <wp:extent cx="326390" cy="335963"/>
                <wp:effectExtent l="19050" t="19050" r="16510" b="2603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35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FC601A8" id="Prostokąt 19" o:spid="_x0000_s1026" style="position:absolute;margin-left:181.55pt;margin-top:102.4pt;width:25.7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" filled="f" strokecolor="red" strokeweight="2.25pt"/>
            </w:pict>
          </mc:Fallback>
        </mc:AlternateContent>
      </w:r>
      <w:r>
        <w:rPr>
          <w:rFonts w:cs="Times New Roman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3E726" wp14:editId="5EE7882D">
                <wp:simplePos x="0" y="0"/>
                <wp:positionH relativeFrom="column">
                  <wp:posOffset>916305</wp:posOffset>
                </wp:positionH>
                <wp:positionV relativeFrom="paragraph">
                  <wp:posOffset>368300</wp:posOffset>
                </wp:positionV>
                <wp:extent cx="4881880" cy="1697355"/>
                <wp:effectExtent l="19050" t="19050" r="13970" b="1714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1697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31D4B2" id="Prostokąt 4" o:spid="_x0000_s1026" style="position:absolute;margin-left:72.15pt;margin-top:29pt;width:384.4pt;height:1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" filled="f" strokecolor="#00b050" strokeweight="2.25pt"/>
            </w:pict>
          </mc:Fallback>
        </mc:AlternateContent>
      </w:r>
      <w:r>
        <w:rPr>
          <w:rFonts w:cs="Times New Roman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00B59" wp14:editId="46A04FD7">
                <wp:simplePos x="0" y="0"/>
                <wp:positionH relativeFrom="column">
                  <wp:posOffset>915670</wp:posOffset>
                </wp:positionH>
                <wp:positionV relativeFrom="paragraph">
                  <wp:posOffset>2110105</wp:posOffset>
                </wp:positionV>
                <wp:extent cx="4881880" cy="398145"/>
                <wp:effectExtent l="19050" t="19050" r="13970" b="2095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3981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413F7D2" id="Prostokąt 3" o:spid="_x0000_s1026" style="position:absolute;margin-left:72.1pt;margin-top:166.15pt;width:384.4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" filled="f" strokecolor="#1f4d78 [1604]" strokeweight="2.25pt"/>
            </w:pict>
          </mc:Fallback>
        </mc:AlternateContent>
      </w:r>
      <w:r w:rsidR="002E6A02">
        <w:rPr>
          <w:rFonts w:cs="Times New Roman"/>
          <w:bCs/>
          <w:noProof/>
          <w:sz w:val="22"/>
          <w:szCs w:val="22"/>
        </w:rPr>
        <w:drawing>
          <wp:inline distT="0" distB="0" distL="0" distR="0" wp14:anchorId="0F23C459" wp14:editId="6A304A9E">
            <wp:extent cx="6831965" cy="3088005"/>
            <wp:effectExtent l="0" t="0" r="698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D4" w:rsidRPr="002E79F9" w:rsidRDefault="009859D4" w:rsidP="002E79F9">
      <w:pPr>
        <w:pStyle w:val="Legenda"/>
      </w:pPr>
      <w:r w:rsidRPr="002E79F9">
        <w:t xml:space="preserve">Rysunek </w:t>
      </w:r>
      <w:r w:rsidR="008D1E4F">
        <w:fldChar w:fldCharType="begin"/>
      </w:r>
      <w:r w:rsidR="008D1E4F">
        <w:instrText xml:space="preserve"> SEQ Rysunek \* ARABIC </w:instrText>
      </w:r>
      <w:r w:rsidR="008D1E4F">
        <w:fldChar w:fldCharType="separate"/>
      </w:r>
      <w:r w:rsidR="00B62CDF">
        <w:rPr>
          <w:noProof/>
        </w:rPr>
        <w:t>1</w:t>
      </w:r>
      <w:r w:rsidR="008D1E4F">
        <w:rPr>
          <w:noProof/>
        </w:rPr>
        <w:fldChar w:fldCharType="end"/>
      </w:r>
      <w:r w:rsidRPr="002E79F9">
        <w:t xml:space="preserve">  Rozmieszczenie LED, wymiary lampy</w:t>
      </w:r>
    </w:p>
    <w:p w:rsidR="00130ACC" w:rsidRDefault="00130ACC" w:rsidP="00C63858">
      <w:pPr>
        <w:pStyle w:val="Standard"/>
        <w:jc w:val="both"/>
      </w:pPr>
      <w:r>
        <w:lastRenderedPageBreak/>
        <w:t xml:space="preserve">Diody łączono w szeregi po 6 </w:t>
      </w:r>
      <w:r w:rsidR="00325946">
        <w:t>sztuk</w:t>
      </w:r>
      <w:r>
        <w:t xml:space="preserve">. </w:t>
      </w:r>
      <w:r w:rsidR="00325946">
        <w:t>U</w:t>
      </w:r>
      <w:r>
        <w:t>twor</w:t>
      </w:r>
      <w:r w:rsidR="00467A7D">
        <w:t>zono jeden szereg dla diod mocy</w:t>
      </w:r>
      <w:r>
        <w:t xml:space="preserve"> oraz 6 szeregów</w:t>
      </w:r>
      <w:r w:rsidR="009859D4">
        <w:t xml:space="preserve"> </w:t>
      </w:r>
      <w:r>
        <w:t>-</w:t>
      </w:r>
      <w:r w:rsidR="009859D4">
        <w:t xml:space="preserve"> </w:t>
      </w:r>
      <w:r>
        <w:t>kolumn diod RGB.</w:t>
      </w:r>
      <w:r w:rsidR="005D6306" w:rsidRPr="005D6306">
        <w:t xml:space="preserve"> </w:t>
      </w:r>
      <w:r w:rsidR="005D6306">
        <w:t xml:space="preserve">Strukturę połączeń przedstawia schemat ideowy </w:t>
      </w:r>
      <w:r w:rsidR="00325946">
        <w:t>w</w:t>
      </w:r>
      <w:r w:rsidR="005D6306">
        <w:t xml:space="preserve"> załączniku A. </w:t>
      </w:r>
      <w:r>
        <w:t xml:space="preserve"> Jako diody </w:t>
      </w:r>
      <w:r w:rsidR="009859D4">
        <w:t>mocy</w:t>
      </w:r>
      <w:r>
        <w:t xml:space="preserve"> wybrano 1W </w:t>
      </w:r>
      <w:proofErr w:type="spellStart"/>
      <w:r w:rsidR="009859D4">
        <w:t>LEDy</w:t>
      </w:r>
      <w:proofErr w:type="spellEnd"/>
      <w:r w:rsidR="009859D4">
        <w:t xml:space="preserve"> serii </w:t>
      </w:r>
      <w:hyperlink r:id="rId11" w:history="1">
        <w:r w:rsidR="009859D4" w:rsidRPr="009859D4">
          <w:rPr>
            <w:rStyle w:val="Hipercze"/>
            <w:rFonts w:cs="Times New Roman"/>
            <w:bCs/>
            <w:sz w:val="22"/>
            <w:szCs w:val="22"/>
          </w:rPr>
          <w:t>PROLIGHT OPTO PM2B</w:t>
        </w:r>
      </w:hyperlink>
      <w:r w:rsidR="009859D4">
        <w:t xml:space="preserve"> </w:t>
      </w:r>
      <w:r w:rsidR="00467A7D">
        <w:t>wyłonione w</w:t>
      </w:r>
      <w:r>
        <w:t xml:space="preserve"> poprzednich projektach</w:t>
      </w:r>
      <w:r w:rsidR="00B24334">
        <w:t xml:space="preserve"> [4]</w:t>
      </w:r>
      <w:r>
        <w:t>. Zastosowanie diod RGB wybranych przez poprzedników wymagało głębsze</w:t>
      </w:r>
      <w:r w:rsidR="009859D4">
        <w:t>j analizy</w:t>
      </w:r>
      <w:r>
        <w:t>. W pracy</w:t>
      </w:r>
      <w:r w:rsidR="009859D4">
        <w:t xml:space="preserve"> [</w:t>
      </w:r>
      <w:r w:rsidR="00926A53">
        <w:t>4</w:t>
      </w:r>
      <w:r w:rsidR="009859D4">
        <w:t>]</w:t>
      </w:r>
      <w:r>
        <w:t xml:space="preserve"> dobrano diody RGB ze wspólną anodą oraz 6-kanałowy sterownik o napięciu wyjściowym na kanał V=45V. Z założenia sterownik przewidziany jest do sterownia szeregami diod. Dobór diod ze wspóln</w:t>
      </w:r>
      <w:r w:rsidR="009859D4">
        <w:t>ą anodą (lub katodą) uniemożliwia</w:t>
      </w:r>
      <w:r w:rsidR="00926A53">
        <w:t xml:space="preserve"> łączenie szeregowe diod i </w:t>
      </w:r>
      <w:r>
        <w:t xml:space="preserve">wykorzystanie zaproponowanego drivera. Dlatego też dobrano nowe </w:t>
      </w:r>
      <w:r w:rsidR="009859D4">
        <w:t xml:space="preserve">diody RGB </w:t>
      </w:r>
      <w:hyperlink r:id="rId12" w:history="1">
        <w:r w:rsidR="009859D4">
          <w:rPr>
            <w:rStyle w:val="Hipercze"/>
            <w:rFonts w:cs="Times New Roman"/>
            <w:bCs/>
            <w:sz w:val="22"/>
            <w:szCs w:val="22"/>
          </w:rPr>
          <w:t>FYLS-5050NRGBC</w:t>
        </w:r>
      </w:hyperlink>
      <w:r w:rsidR="00926A53">
        <w:t xml:space="preserve"> o </w:t>
      </w:r>
      <w:r w:rsidR="009859D4">
        <w:t>porównywalnej cenie oraz nieco</w:t>
      </w:r>
      <w:r>
        <w:t xml:space="preserve"> lepszych parametrach jasności</w:t>
      </w:r>
      <w:r w:rsidR="00467A7D">
        <w:t>. Parametr kąta świecenia, prąd oraz napięcie diody pozostały niezmienione</w:t>
      </w:r>
      <w:r>
        <w:t>. Co ist</w:t>
      </w:r>
      <w:r w:rsidR="00467A7D">
        <w:t xml:space="preserve">otne z punktu widzenia projektu </w:t>
      </w:r>
      <w:r>
        <w:t>–</w:t>
      </w:r>
      <w:r w:rsidR="00467A7D">
        <w:t xml:space="preserve"> </w:t>
      </w:r>
      <w:r>
        <w:t>nowo dobrane diody posiad</w:t>
      </w:r>
      <w:r w:rsidR="007E58B0">
        <w:t xml:space="preserve">ały 6 niezależnych wyprowadzeń, </w:t>
      </w:r>
      <w:r>
        <w:t>umożliwi</w:t>
      </w:r>
      <w:r w:rsidR="007E58B0">
        <w:t>ając jednocześnie</w:t>
      </w:r>
      <w:r>
        <w:t xml:space="preserve"> </w:t>
      </w:r>
      <w:r w:rsidR="00467A7D">
        <w:t>łączenie LED w dowolną kombinacje</w:t>
      </w:r>
      <w:r>
        <w:t>.</w:t>
      </w:r>
      <w:r w:rsidR="00C861AA">
        <w:t xml:space="preserve"> Spadek napięcia na kanale czerwonym diody RGB wynosi typowo 2</w:t>
      </w:r>
      <w:r w:rsidR="009859D4">
        <w:t>.</w:t>
      </w:r>
      <w:r w:rsidR="00C861AA">
        <w:t>2</w:t>
      </w:r>
      <w:r w:rsidR="00926A53">
        <w:t xml:space="preserve"> </w:t>
      </w:r>
      <w:r w:rsidR="00C861AA">
        <w:t>V, natomiast na kanałach zielonych i niebieskich 3</w:t>
      </w:r>
      <w:r w:rsidR="009859D4">
        <w:t>.</w:t>
      </w:r>
      <w:r w:rsidR="00C861AA">
        <w:t>2</w:t>
      </w:r>
      <w:r w:rsidR="00926A53">
        <w:t xml:space="preserve"> </w:t>
      </w:r>
      <w:r w:rsidR="00C861AA">
        <w:t xml:space="preserve">V. Dla diody białej i czerwonej POWER LED </w:t>
      </w:r>
      <w:r w:rsidR="009859D4">
        <w:t xml:space="preserve">wynoszą one </w:t>
      </w:r>
      <w:r w:rsidR="00C861AA">
        <w:t>odpowiednio 3</w:t>
      </w:r>
      <w:r w:rsidR="009859D4">
        <w:t>.</w:t>
      </w:r>
      <w:r w:rsidR="00C861AA">
        <w:t>3</w:t>
      </w:r>
      <w:r w:rsidR="00926A53">
        <w:t xml:space="preserve"> </w:t>
      </w:r>
      <w:r w:rsidR="00C861AA">
        <w:t>V oraz 2</w:t>
      </w:r>
      <w:r w:rsidR="009859D4">
        <w:t>.</w:t>
      </w:r>
      <w:r w:rsidR="00C861AA">
        <w:t>2</w:t>
      </w:r>
      <w:r w:rsidR="00926A53">
        <w:t xml:space="preserve"> </w:t>
      </w:r>
      <w:r w:rsidR="00C861AA">
        <w:t xml:space="preserve">V. </w:t>
      </w:r>
    </w:p>
    <w:p w:rsidR="002E79F9" w:rsidRDefault="002E79F9" w:rsidP="009859D4"/>
    <w:p w:rsidR="002E79F9" w:rsidRDefault="002E79F9" w:rsidP="009859D4">
      <w:r>
        <w:t>Na rysunku drugim przedstawiono widok dolnej strony płytki z uwzględnieniem umiejscowienia złącza kablowego. Patrząc na PCB od strony spodniej, od lewej do prawej, kolejność wyprowadzeń jest następująca:</w:t>
      </w:r>
    </w:p>
    <w:p w:rsidR="002E79F9" w:rsidRDefault="002E79F9" w:rsidP="002E79F9">
      <w:pPr>
        <w:pStyle w:val="Akapitzlist"/>
        <w:numPr>
          <w:ilvl w:val="0"/>
          <w:numId w:val="8"/>
        </w:numPr>
      </w:pPr>
      <w:r>
        <w:t>GND,</w:t>
      </w:r>
    </w:p>
    <w:p w:rsidR="002E79F9" w:rsidRDefault="002E79F9" w:rsidP="002E79F9">
      <w:pPr>
        <w:pStyle w:val="Akapitzlist"/>
        <w:numPr>
          <w:ilvl w:val="0"/>
          <w:numId w:val="8"/>
        </w:numPr>
      </w:pPr>
      <w:r>
        <w:t>+24V,</w:t>
      </w:r>
    </w:p>
    <w:p w:rsidR="002E79F9" w:rsidRDefault="002E79F9" w:rsidP="002E79F9">
      <w:pPr>
        <w:pStyle w:val="Akapitzlist"/>
        <w:numPr>
          <w:ilvl w:val="0"/>
          <w:numId w:val="8"/>
        </w:numPr>
      </w:pPr>
      <w:r>
        <w:t>CANL,</w:t>
      </w:r>
    </w:p>
    <w:p w:rsidR="002E79F9" w:rsidRDefault="002E79F9" w:rsidP="002E79F9">
      <w:pPr>
        <w:pStyle w:val="Akapitzlist"/>
        <w:numPr>
          <w:ilvl w:val="0"/>
          <w:numId w:val="8"/>
        </w:numPr>
      </w:pPr>
      <w:r>
        <w:t>CANH.</w:t>
      </w:r>
    </w:p>
    <w:p w:rsidR="002E79F9" w:rsidRDefault="002E79F9" w:rsidP="002E79F9">
      <w:pPr>
        <w:pStyle w:val="Akapitzlist"/>
      </w:pPr>
      <w:r>
        <w:t>Na PCB umieszczono odpowiednie oznaczenia kolejności wyprowadzeń.</w:t>
      </w:r>
    </w:p>
    <w:p w:rsidR="002E79F9" w:rsidRDefault="002E79F9" w:rsidP="002E79F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96A98" wp14:editId="11DB3618">
                <wp:simplePos x="0" y="0"/>
                <wp:positionH relativeFrom="column">
                  <wp:posOffset>2821856</wp:posOffset>
                </wp:positionH>
                <wp:positionV relativeFrom="paragraph">
                  <wp:posOffset>2281489</wp:posOffset>
                </wp:positionV>
                <wp:extent cx="990600" cy="364703"/>
                <wp:effectExtent l="19050" t="19050" r="19050" b="1651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47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961F80A" id="Prostokąt 2" o:spid="_x0000_s1026" style="position:absolute;margin-left:222.2pt;margin-top:179.65pt;width:78pt;height:2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1B6F2BD" wp14:editId="028B0319">
            <wp:extent cx="6610350" cy="2743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3031" r="1653"/>
                    <a:stretch/>
                  </pic:blipFill>
                  <pic:spPr bwMode="auto">
                    <a:xfrm>
                      <a:off x="0" y="0"/>
                      <a:ext cx="6610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ACC" w:rsidRDefault="002E79F9" w:rsidP="002E79F9">
      <w:pPr>
        <w:pStyle w:val="Legenda"/>
      </w:pPr>
      <w:r>
        <w:t xml:space="preserve">Rysunek </w:t>
      </w:r>
      <w:r w:rsidR="008D1E4F">
        <w:fldChar w:fldCharType="begin"/>
      </w:r>
      <w:r w:rsidR="008D1E4F">
        <w:instrText xml:space="preserve"> SEQ Rysunek \* ARABIC </w:instrText>
      </w:r>
      <w:r w:rsidR="008D1E4F">
        <w:fldChar w:fldCharType="separate"/>
      </w:r>
      <w:r w:rsidR="00B62CDF">
        <w:rPr>
          <w:noProof/>
        </w:rPr>
        <w:t>2</w:t>
      </w:r>
      <w:r w:rsidR="008D1E4F">
        <w:rPr>
          <w:noProof/>
        </w:rPr>
        <w:fldChar w:fldCharType="end"/>
      </w:r>
      <w:r>
        <w:t xml:space="preserve"> Widok dolny PCB, umiejscowienie złącza kablowego</w:t>
      </w:r>
    </w:p>
    <w:p w:rsidR="006E48F2" w:rsidRDefault="006E48F2" w:rsidP="006E48F2">
      <w:r>
        <w:t>Zdecydowaną większość elementów elektronicznych stanowią elementy SMD. Elementami w technologii TH</w:t>
      </w:r>
      <w:r w:rsidR="00926A53">
        <w:t>T</w:t>
      </w:r>
      <w:r>
        <w:t xml:space="preserve"> są jedynie fotorezystor, złącze SWD oraz złącze kablowe. Przyłącze kablowe oraz SWD może być jednak przylutowane stroną użytkową do spodu płytki. Niewielkie obudowy sterowników (QFN20) wymusiły stosowanie niektórych ścieżek </w:t>
      </w:r>
      <w:r w:rsidR="00365371">
        <w:br/>
      </w:r>
      <w:r>
        <w:t xml:space="preserve">o szerokości 10 </w:t>
      </w:r>
      <w:proofErr w:type="spellStart"/>
      <w:r>
        <w:t>mils</w:t>
      </w:r>
      <w:proofErr w:type="spellEnd"/>
      <w:r>
        <w:t xml:space="preserve">. </w:t>
      </w:r>
      <w:r w:rsidR="00465CA9">
        <w:t xml:space="preserve">Standardowo, ścieżki projektowano o szerokości 16 </w:t>
      </w:r>
      <w:proofErr w:type="spellStart"/>
      <w:r w:rsidR="00465CA9">
        <w:t>mils</w:t>
      </w:r>
      <w:proofErr w:type="spellEnd"/>
      <w:r w:rsidR="00465CA9">
        <w:t xml:space="preserve">, natomiast ścieżki zasilające 32 </w:t>
      </w:r>
      <w:proofErr w:type="spellStart"/>
      <w:r w:rsidR="00465CA9">
        <w:t>mils</w:t>
      </w:r>
      <w:proofErr w:type="spellEnd"/>
      <w:r w:rsidR="00465CA9">
        <w:t xml:space="preserve">. </w:t>
      </w:r>
    </w:p>
    <w:p w:rsidR="006E48F2" w:rsidRPr="006E48F2" w:rsidRDefault="006E48F2" w:rsidP="006E48F2"/>
    <w:p w:rsidR="00920F10" w:rsidRDefault="00920F10" w:rsidP="00920F10">
      <w:pPr>
        <w:pStyle w:val="Standard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3</w:t>
      </w:r>
      <w:r w:rsidRPr="0081546B">
        <w:rPr>
          <w:rFonts w:cs="Times New Roman"/>
          <w:b/>
          <w:bCs/>
          <w:sz w:val="22"/>
          <w:szCs w:val="22"/>
        </w:rPr>
        <w:t xml:space="preserve">. </w:t>
      </w:r>
      <w:r w:rsidR="00C861AA">
        <w:rPr>
          <w:rFonts w:cs="Times New Roman"/>
          <w:b/>
          <w:bCs/>
          <w:sz w:val="22"/>
          <w:szCs w:val="22"/>
        </w:rPr>
        <w:t>Drivery LED</w:t>
      </w:r>
    </w:p>
    <w:p w:rsidR="00D64CF4" w:rsidRDefault="00D64CF4" w:rsidP="00920F10">
      <w:pPr>
        <w:pStyle w:val="Standard"/>
        <w:jc w:val="both"/>
        <w:rPr>
          <w:rFonts w:cs="Times New Roman"/>
          <w:b/>
          <w:bCs/>
          <w:sz w:val="22"/>
          <w:szCs w:val="22"/>
        </w:rPr>
      </w:pPr>
    </w:p>
    <w:p w:rsidR="003C6940" w:rsidRPr="005226C3" w:rsidRDefault="00C861AA" w:rsidP="00365371">
      <w:pPr>
        <w:pStyle w:val="Standard"/>
        <w:spacing w:line="276" w:lineRule="auto"/>
        <w:jc w:val="both"/>
        <w:rPr>
          <w:sz w:val="22"/>
          <w:szCs w:val="22"/>
        </w:rPr>
      </w:pPr>
      <w:r w:rsidRPr="005226C3">
        <w:rPr>
          <w:rFonts w:cs="Times New Roman"/>
          <w:bCs/>
          <w:sz w:val="22"/>
          <w:szCs w:val="22"/>
        </w:rPr>
        <w:t xml:space="preserve">Do zasilenia i sterowania LED wykorzystano dobrane we wcześniejszych projektach układy </w:t>
      </w:r>
      <w:hyperlink r:id="rId14" w:history="1">
        <w:r w:rsidRPr="005226C3">
          <w:rPr>
            <w:rStyle w:val="Hipercze"/>
            <w:sz w:val="22"/>
            <w:szCs w:val="22"/>
          </w:rPr>
          <w:t>ISL97671A</w:t>
        </w:r>
      </w:hyperlink>
      <w:r w:rsidRPr="005226C3">
        <w:rPr>
          <w:sz w:val="22"/>
          <w:szCs w:val="22"/>
        </w:rPr>
        <w:t xml:space="preserve"> oraz </w:t>
      </w:r>
      <w:hyperlink r:id="rId15" w:history="1">
        <w:r w:rsidRPr="005226C3">
          <w:rPr>
            <w:rStyle w:val="Hipercze"/>
            <w:sz w:val="22"/>
            <w:szCs w:val="22"/>
          </w:rPr>
          <w:t>AP8801</w:t>
        </w:r>
      </w:hyperlink>
      <w:r w:rsidRPr="005226C3">
        <w:rPr>
          <w:sz w:val="22"/>
          <w:szCs w:val="22"/>
        </w:rPr>
        <w:t>.</w:t>
      </w:r>
    </w:p>
    <w:p w:rsidR="005D6306" w:rsidRPr="005226C3" w:rsidRDefault="00C861AA" w:rsidP="00365371">
      <w:pPr>
        <w:pStyle w:val="Standard"/>
        <w:spacing w:line="276" w:lineRule="auto"/>
        <w:jc w:val="both"/>
        <w:rPr>
          <w:sz w:val="22"/>
          <w:szCs w:val="22"/>
        </w:rPr>
      </w:pPr>
      <w:r w:rsidRPr="005226C3">
        <w:rPr>
          <w:sz w:val="22"/>
          <w:szCs w:val="22"/>
        </w:rPr>
        <w:t>Układ ISL97671A jest driverem 6-kanałowym, umożliwiającym sterowanie poprzez magistralę I</w:t>
      </w:r>
      <w:r w:rsidRPr="005226C3">
        <w:rPr>
          <w:sz w:val="22"/>
          <w:szCs w:val="22"/>
          <w:vertAlign w:val="superscript"/>
        </w:rPr>
        <w:t>2</w:t>
      </w:r>
      <w:r w:rsidRPr="005226C3">
        <w:rPr>
          <w:sz w:val="22"/>
          <w:szCs w:val="22"/>
        </w:rPr>
        <w:t xml:space="preserve">C oraz sygnał PWM. </w:t>
      </w:r>
      <w:r w:rsidR="00365371">
        <w:rPr>
          <w:sz w:val="22"/>
          <w:szCs w:val="22"/>
        </w:rPr>
        <w:br/>
      </w:r>
      <w:r w:rsidR="0092505C" w:rsidRPr="005226C3">
        <w:rPr>
          <w:sz w:val="22"/>
          <w:szCs w:val="22"/>
        </w:rPr>
        <w:t xml:space="preserve">W swojej strukturze posiada regulator prądu, dopasowujący prąd </w:t>
      </w:r>
      <w:r w:rsidR="005D6306" w:rsidRPr="005226C3">
        <w:rPr>
          <w:sz w:val="22"/>
          <w:szCs w:val="22"/>
        </w:rPr>
        <w:t xml:space="preserve">kanału do </w:t>
      </w:r>
      <w:r w:rsidR="006D1C6B" w:rsidRPr="005226C3">
        <w:rPr>
          <w:sz w:val="22"/>
          <w:szCs w:val="22"/>
        </w:rPr>
        <w:t xml:space="preserve">prądu </w:t>
      </w:r>
      <w:r w:rsidR="0092505C" w:rsidRPr="005226C3">
        <w:rPr>
          <w:sz w:val="22"/>
          <w:szCs w:val="22"/>
        </w:rPr>
        <w:t>diod świecących</w:t>
      </w:r>
      <w:r w:rsidR="005D6306" w:rsidRPr="005226C3">
        <w:rPr>
          <w:sz w:val="22"/>
          <w:szCs w:val="22"/>
        </w:rPr>
        <w:t xml:space="preserve">. </w:t>
      </w:r>
      <w:r w:rsidR="0092505C" w:rsidRPr="005226C3">
        <w:rPr>
          <w:sz w:val="22"/>
          <w:szCs w:val="22"/>
        </w:rPr>
        <w:t>Sterowanie tym prądem odbywa się poprzez zewnętrzny rezystor</w:t>
      </w:r>
      <w:r w:rsidR="005D6306" w:rsidRPr="005226C3">
        <w:rPr>
          <w:sz w:val="22"/>
          <w:szCs w:val="22"/>
        </w:rPr>
        <w:t xml:space="preserve"> </w:t>
      </w:r>
      <w:r w:rsidR="0092505C" w:rsidRPr="005226C3">
        <w:rPr>
          <w:sz w:val="22"/>
          <w:szCs w:val="22"/>
        </w:rPr>
        <w:t>or</w:t>
      </w:r>
      <w:r w:rsidR="005D6306" w:rsidRPr="005226C3">
        <w:rPr>
          <w:sz w:val="22"/>
          <w:szCs w:val="22"/>
        </w:rPr>
        <w:t>az cyfrowo (</w:t>
      </w:r>
      <w:r w:rsidR="0092505C" w:rsidRPr="005226C3">
        <w:rPr>
          <w:sz w:val="22"/>
          <w:szCs w:val="22"/>
        </w:rPr>
        <w:t>magistral</w:t>
      </w:r>
      <w:r w:rsidR="00926A53">
        <w:rPr>
          <w:sz w:val="22"/>
          <w:szCs w:val="22"/>
        </w:rPr>
        <w:t>a</w:t>
      </w:r>
      <w:r w:rsidR="0092505C" w:rsidRPr="005226C3">
        <w:rPr>
          <w:sz w:val="22"/>
          <w:szCs w:val="22"/>
        </w:rPr>
        <w:t xml:space="preserve"> I</w:t>
      </w:r>
      <w:r w:rsidR="0092505C" w:rsidRPr="00E46715">
        <w:rPr>
          <w:sz w:val="22"/>
          <w:szCs w:val="22"/>
          <w:vertAlign w:val="superscript"/>
        </w:rPr>
        <w:t>2</w:t>
      </w:r>
      <w:r w:rsidR="0092505C" w:rsidRPr="005226C3">
        <w:rPr>
          <w:sz w:val="22"/>
          <w:szCs w:val="22"/>
        </w:rPr>
        <w:t>C</w:t>
      </w:r>
      <w:r w:rsidR="005D6306" w:rsidRPr="005226C3">
        <w:rPr>
          <w:sz w:val="22"/>
          <w:szCs w:val="22"/>
        </w:rPr>
        <w:t>)</w:t>
      </w:r>
      <w:r w:rsidR="0092505C" w:rsidRPr="005226C3">
        <w:rPr>
          <w:sz w:val="22"/>
          <w:szCs w:val="22"/>
        </w:rPr>
        <w:t xml:space="preserve">. Możliwe jest sterowanie jedynie wartością prądu dla wszystkich kanałów na raz. </w:t>
      </w:r>
      <w:r w:rsidR="005D6306" w:rsidRPr="005226C3">
        <w:rPr>
          <w:sz w:val="22"/>
          <w:szCs w:val="22"/>
        </w:rPr>
        <w:t xml:space="preserve">Rezystorem ograniczono prąd diod RGB do wartości </w:t>
      </w:r>
      <w:r w:rsidR="00E46715">
        <w:rPr>
          <w:sz w:val="22"/>
          <w:szCs w:val="22"/>
        </w:rPr>
        <w:t xml:space="preserve">równej </w:t>
      </w:r>
      <w:r w:rsidR="005D6306" w:rsidRPr="005226C3">
        <w:rPr>
          <w:sz w:val="22"/>
          <w:szCs w:val="22"/>
        </w:rPr>
        <w:t>20</w:t>
      </w:r>
      <w:r w:rsidR="00E46715">
        <w:rPr>
          <w:sz w:val="22"/>
          <w:szCs w:val="22"/>
        </w:rPr>
        <w:t>,5</w:t>
      </w:r>
      <w:r w:rsidR="005D6306" w:rsidRPr="005226C3">
        <w:rPr>
          <w:sz w:val="22"/>
          <w:szCs w:val="22"/>
        </w:rPr>
        <w:t xml:space="preserve"> </w:t>
      </w:r>
      <w:proofErr w:type="spellStart"/>
      <w:r w:rsidR="005D6306" w:rsidRPr="005226C3">
        <w:rPr>
          <w:sz w:val="22"/>
          <w:szCs w:val="22"/>
        </w:rPr>
        <w:t>mA</w:t>
      </w:r>
      <w:proofErr w:type="spellEnd"/>
      <w:r w:rsidR="005D6306" w:rsidRPr="005226C3">
        <w:rPr>
          <w:sz w:val="22"/>
          <w:szCs w:val="22"/>
        </w:rPr>
        <w:t xml:space="preserve">. Zastosowano więc rezystor </w:t>
      </w:r>
      <w:r w:rsidR="00E46715">
        <w:rPr>
          <w:sz w:val="22"/>
          <w:szCs w:val="22"/>
        </w:rPr>
        <w:t xml:space="preserve">z typoszeregu E24 równy </w:t>
      </w:r>
      <w:r w:rsidR="005D6306" w:rsidRPr="005226C3">
        <w:rPr>
          <w:sz w:val="22"/>
          <w:szCs w:val="22"/>
        </w:rPr>
        <w:t>20 k</w:t>
      </w:r>
      <w:r w:rsidR="005D6306" w:rsidRPr="005226C3">
        <w:rPr>
          <w:rFonts w:cs="Times New Roman"/>
          <w:sz w:val="22"/>
          <w:szCs w:val="22"/>
        </w:rPr>
        <w:t>Ω</w:t>
      </w:r>
      <w:r w:rsidR="00E46715">
        <w:rPr>
          <w:rFonts w:cs="Times New Roman"/>
          <w:sz w:val="22"/>
          <w:szCs w:val="22"/>
        </w:rPr>
        <w:t>,</w:t>
      </w:r>
      <w:r w:rsidR="005D6306" w:rsidRPr="005226C3">
        <w:rPr>
          <w:sz w:val="22"/>
          <w:szCs w:val="22"/>
        </w:rPr>
        <w:t xml:space="preserve"> zgodnie ze wzorem:</w:t>
      </w:r>
    </w:p>
    <w:p w:rsidR="005D6306" w:rsidRDefault="008D1E4F" w:rsidP="00365371">
      <w:pPr>
        <w:pStyle w:val="Standard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LEDmax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410,5</m:t>
              </m:r>
            </m:num>
            <m:den>
              <m:r>
                <w:rPr>
                  <w:rFonts w:ascii="Cambria Math" w:hAnsi="Cambria Math"/>
                </w:rPr>
                <m:t>20,5 mA</m:t>
              </m:r>
            </m:den>
          </m:f>
          <m:r>
            <w:rPr>
              <w:rFonts w:ascii="Cambria Math" w:hAnsi="Cambria Math"/>
            </w:rPr>
            <m:t>=20kΩ</m:t>
          </m:r>
        </m:oMath>
      </m:oMathPara>
    </w:p>
    <w:p w:rsidR="005D6306" w:rsidRDefault="005D6306" w:rsidP="00365371">
      <w:pPr>
        <w:pStyle w:val="Standard"/>
        <w:spacing w:line="276" w:lineRule="auto"/>
        <w:jc w:val="both"/>
      </w:pPr>
    </w:p>
    <w:p w:rsidR="00C861AA" w:rsidRPr="005226C3" w:rsidRDefault="0092505C" w:rsidP="00365371">
      <w:pPr>
        <w:pStyle w:val="Standard"/>
        <w:spacing w:line="276" w:lineRule="auto"/>
        <w:jc w:val="both"/>
        <w:rPr>
          <w:sz w:val="22"/>
          <w:szCs w:val="22"/>
        </w:rPr>
      </w:pPr>
      <w:r w:rsidRPr="005226C3">
        <w:rPr>
          <w:sz w:val="22"/>
          <w:szCs w:val="22"/>
        </w:rPr>
        <w:t xml:space="preserve">Jasność świecenia diody regulowana jest poprzez modulację PWM. </w:t>
      </w:r>
      <w:r w:rsidR="005D6306" w:rsidRPr="005226C3">
        <w:rPr>
          <w:sz w:val="22"/>
          <w:szCs w:val="22"/>
        </w:rPr>
        <w:t>Analogicznie</w:t>
      </w:r>
      <w:r w:rsidR="00E46715">
        <w:rPr>
          <w:sz w:val="22"/>
          <w:szCs w:val="22"/>
        </w:rPr>
        <w:t xml:space="preserve"> jak dla funkcji ograniczenia prądowego,</w:t>
      </w:r>
      <w:r w:rsidR="005D6306" w:rsidRPr="005226C3">
        <w:rPr>
          <w:sz w:val="22"/>
          <w:szCs w:val="22"/>
        </w:rPr>
        <w:t xml:space="preserve"> możliwe jest sterowanie jasnością diod dla wszystkich kanałów na raz. </w:t>
      </w:r>
      <w:r w:rsidRPr="005226C3">
        <w:rPr>
          <w:sz w:val="22"/>
          <w:szCs w:val="22"/>
        </w:rPr>
        <w:t xml:space="preserve">Częstotliwość PWM ustalona jest </w:t>
      </w:r>
      <w:r w:rsidR="005D6306" w:rsidRPr="005226C3">
        <w:rPr>
          <w:sz w:val="22"/>
          <w:szCs w:val="22"/>
        </w:rPr>
        <w:t>za pomocą wartości rezystora, zgodnie ze wzorem</w:t>
      </w:r>
    </w:p>
    <w:p w:rsidR="005D6306" w:rsidRDefault="008D1E4F" w:rsidP="00365371">
      <w:pPr>
        <w:pStyle w:val="Standard"/>
        <w:spacing w:line="276" w:lineRule="auto"/>
        <w:jc w:val="both"/>
        <w:rPr>
          <w:rFonts w:cs="Times New Roman"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FPWM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6,66*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6,66*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 kHz</m:t>
              </m:r>
            </m:den>
          </m:f>
          <m:r>
            <w:rPr>
              <w:rFonts w:ascii="Cambria Math" w:hAnsi="Cambria Math"/>
            </w:rPr>
            <m:t>≈68 kΩ</m:t>
          </m:r>
        </m:oMath>
      </m:oMathPara>
    </w:p>
    <w:p w:rsidR="003C6940" w:rsidRDefault="003C6940" w:rsidP="00365371">
      <w:pPr>
        <w:pStyle w:val="Standard"/>
        <w:spacing w:line="276" w:lineRule="auto"/>
        <w:jc w:val="both"/>
        <w:rPr>
          <w:rFonts w:cs="Times New Roman"/>
          <w:bCs/>
          <w:sz w:val="22"/>
          <w:szCs w:val="22"/>
        </w:rPr>
      </w:pPr>
    </w:p>
    <w:p w:rsidR="005D6306" w:rsidRPr="005226C3" w:rsidRDefault="005D6306" w:rsidP="00365371">
      <w:r w:rsidRPr="005226C3">
        <w:t xml:space="preserve">Częstotliwość </w:t>
      </w:r>
      <w:r w:rsidR="00F070E5" w:rsidRPr="005226C3">
        <w:t xml:space="preserve">PWM </w:t>
      </w:r>
      <w:r w:rsidRPr="005226C3">
        <w:t xml:space="preserve">ustalono na wartość </w:t>
      </w:r>
      <w:r w:rsidR="00926A53">
        <w:t xml:space="preserve">około </w:t>
      </w:r>
      <w:r w:rsidR="00F070E5" w:rsidRPr="005226C3">
        <w:t xml:space="preserve">1 kHz, </w:t>
      </w:r>
      <w:r w:rsidR="006D1C6B" w:rsidRPr="005226C3">
        <w:t xml:space="preserve">poprzez </w:t>
      </w:r>
      <w:r w:rsidR="00F070E5" w:rsidRPr="005226C3">
        <w:t>dobiera</w:t>
      </w:r>
      <w:r w:rsidR="006D1C6B" w:rsidRPr="005226C3">
        <w:t>nie</w:t>
      </w:r>
      <w:r w:rsidR="00F070E5" w:rsidRPr="005226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FPWM</m:t>
            </m:r>
          </m:sub>
        </m:sSub>
        <m:r>
          <w:rPr>
            <w:rFonts w:ascii="Cambria Math" w:hAnsi="Cambria Math"/>
          </w:rPr>
          <m:t>=68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070E5" w:rsidRPr="005226C3">
        <w:t xml:space="preserve">. </w:t>
      </w:r>
    </w:p>
    <w:p w:rsidR="00C345BD" w:rsidRPr="005226C3" w:rsidRDefault="00C345BD" w:rsidP="00365371">
      <w:r w:rsidRPr="005226C3">
        <w:t xml:space="preserve">Dodatkowo, regulator posiada zabezpieczenia chroniące LED przed przeciążeniem. Jednym z nich jest </w:t>
      </w:r>
      <w:r w:rsidR="006D1C6B" w:rsidRPr="005226C3">
        <w:t xml:space="preserve">pomiar napięcia na </w:t>
      </w:r>
      <w:r w:rsidR="00376E2F" w:rsidRPr="005226C3">
        <w:t xml:space="preserve">każdym z </w:t>
      </w:r>
      <w:r w:rsidR="006D1C6B" w:rsidRPr="005226C3">
        <w:t>szereg</w:t>
      </w:r>
      <w:r w:rsidR="00376E2F" w:rsidRPr="005226C3">
        <w:t>ów</w:t>
      </w:r>
      <w:r w:rsidR="006D1C6B" w:rsidRPr="005226C3">
        <w:t xml:space="preserve"> diod. Wartość</w:t>
      </w:r>
      <w:r w:rsidR="00376E2F" w:rsidRPr="005226C3">
        <w:t xml:space="preserve">  zmierzonego napięcia musi zawierać się w przedziale 64% -</w:t>
      </w:r>
      <w:r w:rsidR="00E46715">
        <w:t xml:space="preserve"> </w:t>
      </w:r>
      <w:r w:rsidR="00376E2F" w:rsidRPr="005226C3">
        <w:t>100%</w:t>
      </w:r>
      <w:r w:rsidR="006D1C6B" w:rsidRPr="005226C3">
        <w:t xml:space="preserve"> </w:t>
      </w:r>
      <w:r w:rsidR="00376E2F" w:rsidRPr="005226C3">
        <w:t>wartości ustalonej za pomocą dzielnika rezysto</w:t>
      </w:r>
      <w:r w:rsidR="00E46715">
        <w:t>ro</w:t>
      </w:r>
      <w:r w:rsidR="00376E2F" w:rsidRPr="005226C3">
        <w:t>w</w:t>
      </w:r>
      <w:r w:rsidR="00E46715">
        <w:t>ego</w:t>
      </w:r>
      <w:r w:rsidR="00376E2F" w:rsidRPr="005226C3">
        <w:t xml:space="preserve"> zgodnie z równaniem:</w:t>
      </w:r>
    </w:p>
    <w:p w:rsidR="00376E2F" w:rsidRPr="005226C3" w:rsidRDefault="00376E2F" w:rsidP="00365371"/>
    <w:p w:rsidR="00F070E5" w:rsidRPr="00376E2F" w:rsidRDefault="008D1E4F" w:rsidP="003653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OVP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=1,22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UPPER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LOWER</m:t>
                  </m:r>
                </m:sub>
              </m:sSub>
            </m:den>
          </m:f>
        </m:oMath>
      </m:oMathPara>
    </w:p>
    <w:p w:rsidR="00376E2F" w:rsidRDefault="00376E2F" w:rsidP="00365371"/>
    <w:p w:rsidR="00376E2F" w:rsidRPr="005226C3" w:rsidRDefault="00376E2F" w:rsidP="00365371">
      <w:r w:rsidRPr="005226C3">
        <w:t>W</w:t>
      </w:r>
      <w:r w:rsidR="00E46715">
        <w:t xml:space="preserve"> momencie gdy spadek napięcia</w:t>
      </w:r>
      <w:r w:rsidRPr="005226C3">
        <w:t xml:space="preserve"> szeregu diod na danym kanale wykroczy poza zakres, układ scalony wyłączy go. Dla kanałów z diodami czerwonymi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OUT_OVP</m:t>
            </m:r>
          </m:sub>
        </m:sSub>
      </m:oMath>
      <w:r w:rsidRPr="005226C3">
        <w:t xml:space="preserve"> </w:t>
      </w:r>
      <w:r w:rsidR="007E58B0" w:rsidRPr="005226C3">
        <w:t xml:space="preserve">ustalono </w:t>
      </w:r>
      <w:r w:rsidRPr="005226C3">
        <w:t>na wartość około 13</w:t>
      </w:r>
      <w:r w:rsidR="00F7023F">
        <w:t>.</w:t>
      </w:r>
      <w:r w:rsidRPr="005226C3">
        <w:t>2</w:t>
      </w:r>
      <w:r w:rsidR="00F7023F">
        <w:t xml:space="preserve"> </w:t>
      </w:r>
      <w:r w:rsidRPr="005226C3">
        <w:t>V (6*2</w:t>
      </w:r>
      <w:r w:rsidR="00F7023F">
        <w:t>.</w:t>
      </w:r>
      <w:r w:rsidRPr="005226C3">
        <w:t>2</w:t>
      </w:r>
      <w:r w:rsidR="00F7023F">
        <w:t xml:space="preserve"> </w:t>
      </w:r>
      <w:r w:rsidRPr="005226C3">
        <w:t xml:space="preserve">V), natomiast dla kanałów obsługujących barwy zielone i niebieskie </w:t>
      </w:r>
      <w:r w:rsidR="00E46715">
        <w:t xml:space="preserve">około </w:t>
      </w:r>
      <w:r w:rsidR="00F7023F">
        <w:t>19.</w:t>
      </w:r>
      <w:r w:rsidRPr="005226C3">
        <w:t>2V(6*3</w:t>
      </w:r>
      <w:r w:rsidR="00F7023F">
        <w:t>.</w:t>
      </w:r>
      <w:r w:rsidRPr="005226C3">
        <w:t>2</w:t>
      </w:r>
      <w:r w:rsidR="00F7023F">
        <w:t xml:space="preserve"> </w:t>
      </w:r>
      <w:r w:rsidR="004B5E23" w:rsidRPr="005226C3">
        <w:t>V).</w:t>
      </w:r>
    </w:p>
    <w:p w:rsidR="004B5E23" w:rsidRPr="005226C3" w:rsidRDefault="004B5E23" w:rsidP="00365371">
      <w:r w:rsidRPr="005226C3">
        <w:t xml:space="preserve">Powyższa cecha narzuciła koncepcje sterowania szeregami diod RGB. Początkowo zakładano zredukowanie liczby sterowników poprzez dłuższe szeregi </w:t>
      </w:r>
      <w:r w:rsidR="00E46715">
        <w:t xml:space="preserve">diod </w:t>
      </w:r>
      <w:r w:rsidRPr="005226C3">
        <w:t>LED oraz kluczowanie ich za pomocą tra</w:t>
      </w:r>
      <w:r w:rsidR="00E46715">
        <w:t>nzystorów MOSFET. Tutaj pojawił się jednak problem</w:t>
      </w:r>
      <w:r w:rsidRPr="005226C3">
        <w:t xml:space="preserve"> z sygnałem sterującym bramką </w:t>
      </w:r>
      <w:proofErr w:type="spellStart"/>
      <w:r w:rsidRPr="005226C3">
        <w:t>MOSFET</w:t>
      </w:r>
      <w:r w:rsidR="00F7023F">
        <w:t>a</w:t>
      </w:r>
      <w:proofErr w:type="spellEnd"/>
      <w:r w:rsidR="00E46715">
        <w:t xml:space="preserve">, </w:t>
      </w:r>
      <w:r w:rsidRPr="005226C3">
        <w:t xml:space="preserve"> ponieważ układ scalony należy rozpatrywać jako źródło prądowe. Dodatkowo, driver mierzy napięcie na szeregu diod połączonych do kanału sterownika. W momencie kluczowania diod, zmierzone napięcie wykroczyłoby </w:t>
      </w:r>
      <w:r w:rsidR="00E46715">
        <w:t xml:space="preserve">poza </w:t>
      </w:r>
      <w:r w:rsidRPr="005226C3">
        <w:t xml:space="preserve">ustalony zakres pomiarowy. </w:t>
      </w:r>
    </w:p>
    <w:p w:rsidR="004B5E23" w:rsidRPr="005226C3" w:rsidRDefault="004B5E23" w:rsidP="00365371">
      <w:r w:rsidRPr="005226C3">
        <w:t xml:space="preserve">Ostatecznie sterowanie diodami RGB odbywa się za pomocą 3 układów scalonych ISL97671A. </w:t>
      </w:r>
      <w:r w:rsidR="00CD5AA7" w:rsidRPr="005226C3">
        <w:t xml:space="preserve">Symbolicznie przedstawiono to na rysunku </w:t>
      </w:r>
      <w:r w:rsidR="00E46715">
        <w:t>3</w:t>
      </w:r>
      <w:r w:rsidR="00CD5AA7" w:rsidRPr="005226C3">
        <w:t xml:space="preserve">. </w:t>
      </w:r>
      <w:r w:rsidRPr="005226C3">
        <w:t xml:space="preserve">Każdy </w:t>
      </w:r>
      <w:r w:rsidR="00E46715">
        <w:t xml:space="preserve">z nich </w:t>
      </w:r>
      <w:r w:rsidRPr="005226C3">
        <w:t>odpowiada za sterowanie jedną z barw diod RGB. Drivery są 6-kanałowe, dlatego każdy z kanałów obsługuje jedną kolumnę diod.</w:t>
      </w:r>
      <w:r w:rsidR="005878A4" w:rsidRPr="005226C3">
        <w:t xml:space="preserve"> </w:t>
      </w:r>
      <w:r w:rsidR="00CD5AA7" w:rsidRPr="005226C3">
        <w:t>Poprzez magistralę I</w:t>
      </w:r>
      <w:r w:rsidR="00CD5AA7" w:rsidRPr="00E46715">
        <w:rPr>
          <w:vertAlign w:val="superscript"/>
        </w:rPr>
        <w:t>2</w:t>
      </w:r>
      <w:r w:rsidR="00CD5AA7" w:rsidRPr="005226C3">
        <w:t xml:space="preserve">C możliwe jest załączanie i wyłączanie poszczególnych kanałów sterowników. W ten sposób można zapalać i gasić poszczególne kolumny diod RGB uzyskując np. dynamiczne sterowanie kierunkowskazami. </w:t>
      </w:r>
      <w:r w:rsidR="005878A4" w:rsidRPr="005226C3">
        <w:t xml:space="preserve">Drivery zasilane są z napięcia 24V. </w:t>
      </w:r>
      <w:r w:rsidR="00263861" w:rsidRPr="005226C3">
        <w:t xml:space="preserve">Poza opisanym wyżej doborem elementów pasywnych, pozostałe wartości </w:t>
      </w:r>
      <w:r w:rsidR="00E46715">
        <w:t xml:space="preserve">elementów </w:t>
      </w:r>
      <w:r w:rsidR="00263861" w:rsidRPr="005226C3">
        <w:t xml:space="preserve">przyjęto jako standardowe </w:t>
      </w:r>
      <w:r w:rsidR="00E46715">
        <w:t xml:space="preserve">opisane w </w:t>
      </w:r>
      <w:r w:rsidR="00263861" w:rsidRPr="005226C3">
        <w:t xml:space="preserve"> dokumentacji technicznej.</w:t>
      </w:r>
    </w:p>
    <w:p w:rsidR="00C63858" w:rsidRDefault="00C63858" w:rsidP="00365371">
      <w:pPr>
        <w:keepNext/>
        <w:jc w:val="center"/>
      </w:pPr>
      <w:r>
        <w:rPr>
          <w:noProof/>
        </w:rPr>
        <w:drawing>
          <wp:inline distT="0" distB="0" distL="0" distR="0" wp14:anchorId="334DD03A" wp14:editId="4B3A07A7">
            <wp:extent cx="6514782" cy="2695597"/>
            <wp:effectExtent l="0" t="0" r="63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51" cy="2698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8A4" w:rsidRPr="005226C3" w:rsidRDefault="00C63858" w:rsidP="00365371">
      <w:pPr>
        <w:pStyle w:val="Legenda"/>
      </w:pPr>
      <w:r>
        <w:t xml:space="preserve">Rysunek </w:t>
      </w:r>
      <w:r w:rsidR="008D1E4F">
        <w:fldChar w:fldCharType="begin"/>
      </w:r>
      <w:r w:rsidR="008D1E4F">
        <w:instrText xml:space="preserve"> SEQ Rysunek \* ARABIC </w:instrText>
      </w:r>
      <w:r w:rsidR="008D1E4F">
        <w:fldChar w:fldCharType="separate"/>
      </w:r>
      <w:r w:rsidR="00B62CDF">
        <w:rPr>
          <w:noProof/>
        </w:rPr>
        <w:t>3</w:t>
      </w:r>
      <w:r w:rsidR="008D1E4F">
        <w:rPr>
          <w:noProof/>
        </w:rPr>
        <w:fldChar w:fldCharType="end"/>
      </w:r>
      <w:r>
        <w:t>. Schemat blokowy sekwencji LED</w:t>
      </w:r>
    </w:p>
    <w:p w:rsidR="005878A4" w:rsidRPr="005226C3" w:rsidRDefault="005878A4" w:rsidP="00365371">
      <w:r w:rsidRPr="005226C3">
        <w:t xml:space="preserve">Do sterowania diodami mocy wykorzystano zaproponowany układ scalony AP8801. Jest to prosty driver umożliwiający sterowanie jasnością </w:t>
      </w:r>
      <w:r w:rsidR="00A87FAB" w:rsidRPr="005226C3">
        <w:t xml:space="preserve">diod </w:t>
      </w:r>
      <w:r w:rsidR="00263861" w:rsidRPr="005226C3">
        <w:t xml:space="preserve">poprzez </w:t>
      </w:r>
      <w:r w:rsidR="00F44FBD" w:rsidRPr="005226C3">
        <w:t xml:space="preserve"> </w:t>
      </w:r>
      <w:r w:rsidR="00263861" w:rsidRPr="005226C3">
        <w:t>sygnał</w:t>
      </w:r>
      <w:r w:rsidR="00F44FBD" w:rsidRPr="005226C3">
        <w:t xml:space="preserve"> </w:t>
      </w:r>
      <w:r w:rsidRPr="005226C3">
        <w:t>PWM</w:t>
      </w:r>
      <w:r w:rsidR="00263861" w:rsidRPr="005226C3">
        <w:t xml:space="preserve"> o zadanym wypełnieniu.</w:t>
      </w:r>
      <w:r w:rsidR="009E03BC" w:rsidRPr="005226C3">
        <w:t xml:space="preserve"> Zgodnie z danymi producenta, aby uzyskać </w:t>
      </w:r>
      <w:r w:rsidR="009E03BC" w:rsidRPr="005226C3">
        <w:lastRenderedPageBreak/>
        <w:t>sterowanie jasnością w zakresie 0-100% wymagana jest</w:t>
      </w:r>
      <w:r w:rsidR="00C63858">
        <w:t>,</w:t>
      </w:r>
      <w:r w:rsidR="009E03BC" w:rsidRPr="005226C3">
        <w:t xml:space="preserve"> aby amplituda sygnału PWM wynosiła 1</w:t>
      </w:r>
      <w:r w:rsidR="00C63858">
        <w:t>.</w:t>
      </w:r>
      <w:r w:rsidR="009E03BC" w:rsidRPr="005226C3">
        <w:t>25V. Sygnał PWM z µC ma wartość około 3</w:t>
      </w:r>
      <w:r w:rsidR="00BE2CB7" w:rsidRPr="005226C3">
        <w:t>.</w:t>
      </w:r>
      <w:r w:rsidR="009E03BC" w:rsidRPr="005226C3">
        <w:t xml:space="preserve">3V, dlatego koniecznym było zaprojektowanie prostego translatora napięcia opartego na diodzie </w:t>
      </w:r>
      <w:r w:rsidR="00BE2CB7" w:rsidRPr="005226C3">
        <w:t>Zenera</w:t>
      </w:r>
      <w:r w:rsidR="009E03BC" w:rsidRPr="005226C3">
        <w:t>.</w:t>
      </w:r>
      <w:r w:rsidR="00BE2CB7" w:rsidRPr="005226C3">
        <w:t xml:space="preserve"> Dopuszczalny jest sygnał PWM o częstotliwości &lt;500</w:t>
      </w:r>
      <w:r w:rsidR="00F7023F">
        <w:t xml:space="preserve"> </w:t>
      </w:r>
      <w:proofErr w:type="spellStart"/>
      <w:r w:rsidR="00BE2CB7" w:rsidRPr="005226C3">
        <w:t>Hz</w:t>
      </w:r>
      <w:proofErr w:type="spellEnd"/>
      <w:r w:rsidR="00BE2CB7" w:rsidRPr="005226C3">
        <w:t>. Maksymalny prąd wyjściowy drivera ustawiono za pomocą rezystora na wartość 0.35A</w:t>
      </w:r>
      <w:r w:rsidR="00C63858">
        <w:t xml:space="preserve"> (R19=0.56</w:t>
      </w:r>
      <w:r w:rsidR="00F7023F">
        <w:t xml:space="preserve"> </w:t>
      </w:r>
      <w:r w:rsidR="00C63858">
        <w:t xml:space="preserve">Ω) </w:t>
      </w:r>
      <w:r w:rsidR="00BE2CB7" w:rsidRPr="005226C3">
        <w:t>, odpowiadający znamionowemu prądowi wybran</w:t>
      </w:r>
      <w:r w:rsidR="00C63858">
        <w:t>ych diod</w:t>
      </w:r>
      <w:r w:rsidR="00BE2CB7" w:rsidRPr="005226C3">
        <w:t xml:space="preserve"> POWER LED 1W. Podobnie jak w opisywanych powyżej driverach RGB, napięcie zasilania wynosi 24V, co umożliwia korzystanie z jednego poziomu napięć zasilania.</w:t>
      </w:r>
    </w:p>
    <w:p w:rsidR="005878A4" w:rsidRDefault="005878A4" w:rsidP="00365371"/>
    <w:p w:rsidR="00C63858" w:rsidRDefault="00C63858" w:rsidP="00365371">
      <w:pPr>
        <w:pStyle w:val="Standard"/>
        <w:spacing w:line="276" w:lineRule="auto"/>
        <w:jc w:val="both"/>
        <w:rPr>
          <w:rFonts w:cs="Times New Roman"/>
          <w:b/>
          <w:bCs/>
          <w:sz w:val="22"/>
          <w:szCs w:val="22"/>
        </w:rPr>
      </w:pPr>
    </w:p>
    <w:p w:rsidR="003C6940" w:rsidRDefault="003C6940" w:rsidP="00365371">
      <w:pPr>
        <w:pStyle w:val="Standard"/>
        <w:spacing w:line="276" w:lineRule="auto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4</w:t>
      </w:r>
      <w:r w:rsidRPr="0081546B">
        <w:rPr>
          <w:rFonts w:cs="Times New Roman"/>
          <w:b/>
          <w:bCs/>
          <w:sz w:val="22"/>
          <w:szCs w:val="22"/>
        </w:rPr>
        <w:t xml:space="preserve">. </w:t>
      </w:r>
      <w:r w:rsidR="00E44FB7">
        <w:rPr>
          <w:rFonts w:cs="Times New Roman"/>
          <w:b/>
          <w:bCs/>
          <w:sz w:val="22"/>
          <w:szCs w:val="22"/>
        </w:rPr>
        <w:t xml:space="preserve">Mikrokontroler, </w:t>
      </w:r>
      <w:r w:rsidR="009162B1">
        <w:rPr>
          <w:rFonts w:cs="Times New Roman"/>
          <w:b/>
          <w:bCs/>
          <w:sz w:val="22"/>
          <w:szCs w:val="22"/>
        </w:rPr>
        <w:t xml:space="preserve">układ zasilania, </w:t>
      </w:r>
      <w:r w:rsidR="00E44FB7">
        <w:rPr>
          <w:rFonts w:cs="Times New Roman"/>
          <w:b/>
          <w:bCs/>
          <w:sz w:val="22"/>
          <w:szCs w:val="22"/>
        </w:rPr>
        <w:t>przełącznik I2C, czujnik oświetlenia</w:t>
      </w:r>
    </w:p>
    <w:p w:rsidR="003C6940" w:rsidRDefault="003C6940" w:rsidP="00365371">
      <w:pPr>
        <w:pStyle w:val="Standard"/>
        <w:spacing w:line="276" w:lineRule="auto"/>
        <w:jc w:val="both"/>
        <w:rPr>
          <w:rFonts w:cs="Times New Roman"/>
          <w:bCs/>
          <w:sz w:val="22"/>
          <w:szCs w:val="22"/>
        </w:rPr>
      </w:pPr>
    </w:p>
    <w:p w:rsidR="009C764F" w:rsidRPr="005226C3" w:rsidRDefault="00E44FB7" w:rsidP="00365371">
      <w:r w:rsidRPr="005226C3">
        <w:t xml:space="preserve">Sterowanie funkcjami lampy odbywa się za pomocą mikrokontrolera STM32F042 w obudowie TSSOP20. Do jego zaprogramowania przewidziano złącze SWD. </w:t>
      </w:r>
      <w:r w:rsidR="008959E5" w:rsidRPr="005226C3">
        <w:t>Mikrokontroler zasilany jest z napięcia 3.3 V. W celu minimalizacji liczby przewodów prowadz</w:t>
      </w:r>
      <w:r w:rsidR="00B25228" w:rsidRPr="005226C3">
        <w:t>onych</w:t>
      </w:r>
      <w:r w:rsidR="008959E5" w:rsidRPr="005226C3">
        <w:t xml:space="preserve"> do lampy zaprojektowano przetwornice step-down obniżającą napięcie z 24V do 3</w:t>
      </w:r>
      <w:r w:rsidR="00B25228" w:rsidRPr="005226C3">
        <w:t xml:space="preserve">.3 </w:t>
      </w:r>
      <w:r w:rsidR="008959E5" w:rsidRPr="005226C3">
        <w:t>V</w:t>
      </w:r>
      <w:r w:rsidR="00B25228" w:rsidRPr="005226C3">
        <w:t>. Mikrokontroler komunikuje się z centralnym sterownikiem za pomocą magistrali CAN. Wybrany µC posiada jeden wbudowany moduł CAN, koniecznym było jed</w:t>
      </w:r>
      <w:r w:rsidR="00F7023F">
        <w:t>y</w:t>
      </w:r>
      <w:r w:rsidR="00B25228" w:rsidRPr="005226C3">
        <w:t>nie dołożenie</w:t>
      </w:r>
      <w:r w:rsidR="00C63858">
        <w:t xml:space="preserve"> </w:t>
      </w:r>
      <w:proofErr w:type="spellStart"/>
      <w:r w:rsidR="00B25228" w:rsidRPr="005226C3">
        <w:t>transceivera</w:t>
      </w:r>
      <w:proofErr w:type="spellEnd"/>
      <w:r w:rsidR="00B25228" w:rsidRPr="005226C3">
        <w:t xml:space="preserve"> CAN. </w:t>
      </w:r>
    </w:p>
    <w:p w:rsidR="00B25228" w:rsidRPr="005226C3" w:rsidRDefault="00B25228" w:rsidP="00365371">
      <w:pPr>
        <w:rPr>
          <w:bCs/>
          <w:szCs w:val="24"/>
        </w:rPr>
      </w:pPr>
      <w:r w:rsidRPr="005226C3">
        <w:rPr>
          <w:bCs/>
          <w:szCs w:val="24"/>
        </w:rPr>
        <w:t>Układ steruje driverami LED za pomocą 9 linii: 2 linii magistrali I</w:t>
      </w:r>
      <w:r w:rsidRPr="00C63858">
        <w:rPr>
          <w:bCs/>
          <w:szCs w:val="24"/>
          <w:vertAlign w:val="superscript"/>
        </w:rPr>
        <w:t>2</w:t>
      </w:r>
      <w:r w:rsidRPr="005226C3">
        <w:rPr>
          <w:bCs/>
          <w:szCs w:val="24"/>
        </w:rPr>
        <w:t>C (SDA i SCL) , 4 linii sygnału PWM oraz 3 linii sygnału binarnego</w:t>
      </w:r>
      <w:r w:rsidR="00DE1083" w:rsidRPr="005226C3">
        <w:rPr>
          <w:bCs/>
          <w:szCs w:val="24"/>
        </w:rPr>
        <w:t xml:space="preserve"> </w:t>
      </w:r>
      <w:r w:rsidRPr="005226C3">
        <w:rPr>
          <w:bCs/>
          <w:szCs w:val="24"/>
        </w:rPr>
        <w:t>(zero-jedynkowego)</w:t>
      </w:r>
      <w:r w:rsidR="00DE1083" w:rsidRPr="005226C3">
        <w:rPr>
          <w:bCs/>
          <w:szCs w:val="24"/>
        </w:rPr>
        <w:t xml:space="preserve"> EN</w:t>
      </w:r>
      <w:r w:rsidR="00C63858">
        <w:rPr>
          <w:bCs/>
          <w:szCs w:val="24"/>
        </w:rPr>
        <w:t xml:space="preserve"> (</w:t>
      </w:r>
      <w:r w:rsidRPr="005226C3">
        <w:rPr>
          <w:bCs/>
          <w:szCs w:val="24"/>
        </w:rPr>
        <w:t>po jednej dla każdego sterownika RGB</w:t>
      </w:r>
      <w:r w:rsidR="00C63858">
        <w:rPr>
          <w:bCs/>
          <w:szCs w:val="24"/>
        </w:rPr>
        <w:t>)</w:t>
      </w:r>
      <w:r w:rsidRPr="005226C3">
        <w:rPr>
          <w:bCs/>
          <w:szCs w:val="24"/>
        </w:rPr>
        <w:t xml:space="preserve"> umożlwiającej ich przejście w stan Stand-</w:t>
      </w:r>
      <w:r w:rsidR="00F7023F">
        <w:rPr>
          <w:bCs/>
          <w:szCs w:val="24"/>
        </w:rPr>
        <w:t>B</w:t>
      </w:r>
      <w:r w:rsidRPr="005226C3">
        <w:rPr>
          <w:bCs/>
          <w:szCs w:val="24"/>
        </w:rPr>
        <w:t>y.</w:t>
      </w:r>
      <w:r w:rsidR="00DE1083" w:rsidRPr="005226C3">
        <w:rPr>
          <w:bCs/>
          <w:szCs w:val="24"/>
        </w:rPr>
        <w:t xml:space="preserve"> W przypadku komunikacji µC – driver RGB nie występowały problemy z dopasowaniem napięć sygnałów PWM, EN ponieważ driver dopuszcza sterowanie sygnałami o amplitudzie 3.3V. Problem dopasowania sygnału PWM do drivera POWER LED opisano w poprzednim </w:t>
      </w:r>
      <w:r w:rsidR="00C63858">
        <w:rPr>
          <w:bCs/>
          <w:szCs w:val="24"/>
        </w:rPr>
        <w:t>punkcie</w:t>
      </w:r>
      <w:r w:rsidR="00DE1083" w:rsidRPr="005226C3">
        <w:rPr>
          <w:bCs/>
          <w:szCs w:val="24"/>
        </w:rPr>
        <w:t>. Większe problem</w:t>
      </w:r>
      <w:r w:rsidR="00C63858">
        <w:rPr>
          <w:bCs/>
          <w:szCs w:val="24"/>
        </w:rPr>
        <w:t xml:space="preserve">y projektowe </w:t>
      </w:r>
      <w:r w:rsidR="00DE1083" w:rsidRPr="005226C3">
        <w:rPr>
          <w:bCs/>
          <w:szCs w:val="24"/>
        </w:rPr>
        <w:t>przyniosła magistrala I</w:t>
      </w:r>
      <w:r w:rsidR="00DE1083" w:rsidRPr="00C63858">
        <w:rPr>
          <w:bCs/>
          <w:szCs w:val="24"/>
          <w:vertAlign w:val="superscript"/>
        </w:rPr>
        <w:t>2</w:t>
      </w:r>
      <w:r w:rsidR="00DE1083" w:rsidRPr="005226C3">
        <w:rPr>
          <w:bCs/>
          <w:szCs w:val="24"/>
        </w:rPr>
        <w:t>C.</w:t>
      </w:r>
    </w:p>
    <w:p w:rsidR="00DE1083" w:rsidRPr="005226C3" w:rsidRDefault="00DE1083" w:rsidP="00365371">
      <w:pPr>
        <w:rPr>
          <w:bCs/>
          <w:szCs w:val="24"/>
        </w:rPr>
      </w:pPr>
    </w:p>
    <w:p w:rsidR="00DE1083" w:rsidRPr="005226C3" w:rsidRDefault="00DE1083" w:rsidP="00365371">
      <w:r w:rsidRPr="005226C3">
        <w:t>Układy ISL97671A nie umożliwiają zmiany adresu urządzenia w magistrali I</w:t>
      </w:r>
      <w:r w:rsidRPr="00C63858">
        <w:rPr>
          <w:vertAlign w:val="superscript"/>
        </w:rPr>
        <w:t>2</w:t>
      </w:r>
      <w:r w:rsidRPr="005226C3">
        <w:t xml:space="preserve">C (ma on stałą wartość 0b0101100).  Ponieważ w projekcie koniecznym było wykorzystanie </w:t>
      </w:r>
      <w:r w:rsidR="009162B1" w:rsidRPr="005226C3">
        <w:t>trzech</w:t>
      </w:r>
      <w:r w:rsidRPr="005226C3">
        <w:t xml:space="preserve"> urządzeń w jednej magistrali koniecznym było sięgnięcie po dodatkowy układ</w:t>
      </w:r>
      <w:r w:rsidR="00F7023F">
        <w:t xml:space="preserve"> </w:t>
      </w:r>
      <w:r w:rsidRPr="005226C3">
        <w:t>- przełącznik I</w:t>
      </w:r>
      <w:r w:rsidRPr="00C63858">
        <w:rPr>
          <w:vertAlign w:val="superscript"/>
        </w:rPr>
        <w:t>2</w:t>
      </w:r>
      <w:r w:rsidRPr="005226C3">
        <w:t xml:space="preserve">C. Umożliwia on </w:t>
      </w:r>
      <w:r w:rsidR="00CD5AA7" w:rsidRPr="005226C3">
        <w:t xml:space="preserve">przyłączenie do 4 urządzeń </w:t>
      </w:r>
      <w:proofErr w:type="spellStart"/>
      <w:r w:rsidR="00CD5AA7" w:rsidRPr="005226C3">
        <w:t>Slave</w:t>
      </w:r>
      <w:proofErr w:type="spellEnd"/>
      <w:r w:rsidR="00CD5AA7" w:rsidRPr="005226C3">
        <w:t xml:space="preserve"> o jednakowym adresie do Mastera. Wybór aktywnego urządzenia na magistrali odbywa się programowo i jest dość prosty- komunikujemy się </w:t>
      </w:r>
      <w:r w:rsidR="004E4F4D">
        <w:br/>
      </w:r>
      <w:r w:rsidR="00CD5AA7" w:rsidRPr="00412BF1">
        <w:t xml:space="preserve">z przełącznikiem przez podanie jego adresu – 1101000, ustawiamy </w:t>
      </w:r>
      <w:r w:rsidR="00CD5AA7" w:rsidRPr="005226C3">
        <w:t>rejestr kontrolny, któr</w:t>
      </w:r>
      <w:r w:rsidR="009162B1" w:rsidRPr="005226C3">
        <w:t>ego poszczególne bity przyłączają odpowiednie urządzenia do magistrali. W ten sposób tylko wybrane urządzenie połączone jest do magistrali I</w:t>
      </w:r>
      <w:r w:rsidR="009162B1" w:rsidRPr="00C63858">
        <w:rPr>
          <w:vertAlign w:val="superscript"/>
        </w:rPr>
        <w:t>2</w:t>
      </w:r>
      <w:r w:rsidR="009162B1" w:rsidRPr="005226C3">
        <w:t>C,  co rozwiązuje konflikt adresów urządzeń. Funkcja przerwań przełącznika I</w:t>
      </w:r>
      <w:r w:rsidR="009162B1" w:rsidRPr="00C63858">
        <w:rPr>
          <w:vertAlign w:val="superscript"/>
        </w:rPr>
        <w:t>2</w:t>
      </w:r>
      <w:r w:rsidR="009162B1" w:rsidRPr="005226C3">
        <w:t xml:space="preserve">C jest niewykorzystywana, dlatego wejścia </w:t>
      </w:r>
      <w:proofErr w:type="spellStart"/>
      <w:r w:rsidR="009162B1" w:rsidRPr="005226C3">
        <w:t>INTx</w:t>
      </w:r>
      <w:proofErr w:type="spellEnd"/>
      <w:r w:rsidR="009162B1" w:rsidRPr="005226C3">
        <w:t xml:space="preserve"> zostały podciągnięto do VCC jako nieużywane. </w:t>
      </w:r>
    </w:p>
    <w:p w:rsidR="00DF6CCD" w:rsidRPr="005226C3" w:rsidRDefault="00DF6CCD" w:rsidP="00365371">
      <w:pPr>
        <w:rPr>
          <w:szCs w:val="24"/>
        </w:rPr>
      </w:pPr>
    </w:p>
    <w:p w:rsidR="009162B1" w:rsidRPr="005226C3" w:rsidRDefault="009162B1" w:rsidP="00365371">
      <w:r w:rsidRPr="005226C3">
        <w:t xml:space="preserve">Jednym z wymagań sterownika było zaprojektowanie prostego i taniego układu pomiaru oświetlenia w celu dopasowania jasności </w:t>
      </w:r>
      <w:r w:rsidR="005226C3" w:rsidRPr="005226C3">
        <w:t>oświetlenia</w:t>
      </w:r>
      <w:r w:rsidRPr="005226C3">
        <w:t>. Po przeglądzie dostępnych rozwiązań zdecydowano się na najprostszy element – fotorezystor, tym samym odrzucając specjalizowane układy scalone do pomiaru natężenia oświetlenia</w:t>
      </w:r>
      <w:r w:rsidR="005226C3" w:rsidRPr="005226C3">
        <w:t xml:space="preserve"> (np. BH1750)</w:t>
      </w:r>
      <w:r w:rsidRPr="005226C3">
        <w:t xml:space="preserve">. </w:t>
      </w:r>
      <w:r w:rsidR="005226C3" w:rsidRPr="005226C3">
        <w:t xml:space="preserve"> </w:t>
      </w:r>
      <w:r w:rsidRPr="005226C3">
        <w:t xml:space="preserve">Spowodowane było to funkcjami jakie ma spełnić czujnik. Do sterowania intensywnością oświetlenia wystarczający jest zakres pomiarowy </w:t>
      </w:r>
      <w:r w:rsidR="004E4F4D">
        <w:br/>
      </w:r>
      <w:r w:rsidRPr="005226C3">
        <w:t xml:space="preserve">w </w:t>
      </w:r>
      <w:r w:rsidR="005226C3" w:rsidRPr="005226C3">
        <w:t xml:space="preserve">orientacyjnych </w:t>
      </w:r>
      <w:r w:rsidRPr="005226C3">
        <w:t xml:space="preserve">granicach </w:t>
      </w:r>
      <w:r w:rsidR="005226C3" w:rsidRPr="005226C3">
        <w:t>10-</w:t>
      </w:r>
      <w:r w:rsidR="006E48F2">
        <w:t>5</w:t>
      </w:r>
      <w:r w:rsidR="00F7023F">
        <w:t>00 lx. Ponadto</w:t>
      </w:r>
      <w:r w:rsidR="005226C3" w:rsidRPr="005226C3">
        <w:t xml:space="preserve"> nie jest konieczny dokładny pomiar natężenia oświetlenia w jednostkach inżynierskich, a jedynie ogólne określenie poziomu jasności. Fotorezystor jako element dzielnika napięcia, na  którym zmierzono wartość napięcia wbudowanym w µC przetwornikiem ADC powinien spełnić stawiane wymagania. Wartość rezystora w przetworniku dobrano jako 10 kΩ, natomiast dzielnik przyłączono do 3.3 V.</w:t>
      </w:r>
    </w:p>
    <w:p w:rsidR="005226C3" w:rsidRPr="00F50FEF" w:rsidRDefault="005226C3" w:rsidP="00365371">
      <w:pPr>
        <w:pStyle w:val="Standard"/>
        <w:spacing w:line="276" w:lineRule="auto"/>
        <w:rPr>
          <w:rFonts w:cs="Times New Roman"/>
          <w:sz w:val="22"/>
          <w:szCs w:val="22"/>
        </w:rPr>
      </w:pPr>
    </w:p>
    <w:p w:rsidR="003E7A01" w:rsidRDefault="003C6940" w:rsidP="00365371">
      <w:pPr>
        <w:pStyle w:val="Standard"/>
        <w:spacing w:line="276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5</w:t>
      </w:r>
      <w:r w:rsidR="003E7A01" w:rsidRPr="00840063">
        <w:rPr>
          <w:rFonts w:cs="Times New Roman"/>
          <w:b/>
          <w:sz w:val="22"/>
          <w:szCs w:val="22"/>
        </w:rPr>
        <w:t>. Podsumowanie</w:t>
      </w:r>
    </w:p>
    <w:p w:rsidR="00085C13" w:rsidRPr="00840063" w:rsidRDefault="00085C13" w:rsidP="00365371">
      <w:pPr>
        <w:pStyle w:val="Standard"/>
        <w:spacing w:line="276" w:lineRule="auto"/>
        <w:rPr>
          <w:rFonts w:cs="Times New Roman"/>
          <w:sz w:val="20"/>
          <w:szCs w:val="20"/>
        </w:rPr>
      </w:pPr>
    </w:p>
    <w:p w:rsidR="007919D8" w:rsidRDefault="00085C13" w:rsidP="00365371">
      <w:r>
        <w:t>Wynikiem końcowym projektu jest ogólna wizja sterownika, schemat ideowy oraz mozaika PCB wraz ze schematem montażowym. Dodatkowo, w dołączonym dokumencie zestawiono wykorzystane elementy elektroniczne do budowy lamp. Projekt ma charakter teoretyczny, poza układem zasilania 3,3V (które zostało zbudowane i przetestowane empirycznie przez autorów w innych projektach), układ elektroniczny nie był testowany jako rzeczywisty układ. Powstawał jedynie na podstawie dokumentacji technicznych wykorzystanych komponentów</w:t>
      </w:r>
      <w:r w:rsidR="00804CB5">
        <w:t xml:space="preserve"> oraz stosunkowo niewielkim doświadczeniu autorów w projektowaniu elektroniki</w:t>
      </w:r>
      <w:r>
        <w:t>.</w:t>
      </w:r>
      <w:r w:rsidR="00804CB5">
        <w:t xml:space="preserve"> </w:t>
      </w:r>
      <w:r>
        <w:t xml:space="preserve"> Pomimo początkowo zakładanego dość prostego </w:t>
      </w:r>
      <w:r w:rsidR="004E4F4D">
        <w:br/>
      </w:r>
      <w:r>
        <w:t>i nieskomplikowanego projektu</w:t>
      </w:r>
      <w:r w:rsidR="007919D8">
        <w:t>,</w:t>
      </w:r>
      <w:r>
        <w:t xml:space="preserve"> w miarę prac projekt dość szybko i mocno się rozrastał np. w początkowej fazie nie zakładan</w:t>
      </w:r>
      <w:r w:rsidR="00804CB5">
        <w:t>o</w:t>
      </w:r>
      <w:r>
        <w:t xml:space="preserve"> </w:t>
      </w:r>
      <w:r w:rsidR="00804CB5">
        <w:t>użycia</w:t>
      </w:r>
      <w:r>
        <w:t xml:space="preserve"> przełącznika magistrali I</w:t>
      </w:r>
      <w:r w:rsidRPr="006E48F2">
        <w:rPr>
          <w:vertAlign w:val="superscript"/>
        </w:rPr>
        <w:t>2</w:t>
      </w:r>
      <w:r>
        <w:t>C</w:t>
      </w:r>
      <w:r w:rsidR="00804CB5">
        <w:t xml:space="preserve"> czy budowy przetwornicy step-down 3.3 V</w:t>
      </w:r>
      <w:r>
        <w:t>.</w:t>
      </w:r>
      <w:r w:rsidR="00804CB5">
        <w:t xml:space="preserve"> Spowodowało to większy nakład pracy niż początkowo zakładano. Nowością było też zaprojektowanie mozaiki PCB dla niewielkich elementów  </w:t>
      </w:r>
      <w:r w:rsidR="00804CB5">
        <w:lastRenderedPageBreak/>
        <w:t xml:space="preserve">SMD (drivery LED RGB – obudowa QFN20). </w:t>
      </w:r>
    </w:p>
    <w:p w:rsidR="007919D8" w:rsidRDefault="007919D8" w:rsidP="00365371"/>
    <w:p w:rsidR="006C4594" w:rsidRDefault="00804CB5" w:rsidP="00365371">
      <w:pPr>
        <w:rPr>
          <w:sz w:val="20"/>
          <w:szCs w:val="20"/>
        </w:rPr>
      </w:pPr>
      <w:r>
        <w:t xml:space="preserve">Projekt przyczynił się do poszerzenia wiedzy w zakresie projektowania elektroniki oraz systemów mikrokontrolerowych. Doskonalono umiejętności zapoznawania się z dokumentacją techniczną układów scalonych, a także dokładniej poznano środowisko do projektowania elektroniki </w:t>
      </w:r>
      <w:r w:rsidR="00F9648D">
        <w:t xml:space="preserve">i </w:t>
      </w:r>
      <w:r>
        <w:t xml:space="preserve">PCB. </w:t>
      </w:r>
    </w:p>
    <w:p w:rsidR="007228B3" w:rsidRDefault="007228B3" w:rsidP="00365371"/>
    <w:p w:rsidR="007228B3" w:rsidRDefault="007228B3" w:rsidP="00365371">
      <w:r>
        <w:t xml:space="preserve">Projekt stanowi jeden z elementów składowych do powstania kompletnego </w:t>
      </w:r>
      <w:r w:rsidR="006E48F2">
        <w:t xml:space="preserve">systemu </w:t>
      </w:r>
      <w:r>
        <w:t xml:space="preserve">oświetlenia. Po wykonaniu PCB należy oczywiście zaimplementować funkcje oświetlenia poprzez zaprogramowanie mikrokontrolera. Koniecznym do tego będzie dalsza współpraca z notami katalogowymi układami driverów czy przełącznika magistrali. </w:t>
      </w:r>
    </w:p>
    <w:p w:rsidR="007919D8" w:rsidRDefault="007919D8" w:rsidP="00365371"/>
    <w:p w:rsidR="00C27396" w:rsidRDefault="007919D8" w:rsidP="00365371">
      <w:r>
        <w:t>Wszelkie materiały które powstały jak wynik projektu dołączono do niniejszego raportu. Poniżej, jako załącznik przedstawiono ideowe schematy elektroniczny lampy. Został on również dodany jako załącznik w lepszej rozdzielczości w osobnym pliku.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kern w:val="3"/>
          <w:sz w:val="22"/>
          <w:szCs w:val="22"/>
        </w:rPr>
        <w:id w:val="-1218278149"/>
        <w:docPartObj>
          <w:docPartGallery w:val="Bibliographies"/>
          <w:docPartUnique/>
        </w:docPartObj>
      </w:sdtPr>
      <w:sdtEndPr/>
      <w:sdtContent>
        <w:p w:rsidR="00C27396" w:rsidRPr="005124FC" w:rsidRDefault="00C27396">
          <w:pPr>
            <w:pStyle w:val="Nagwek1"/>
            <w:rPr>
              <w:rFonts w:asciiTheme="minorHAnsi" w:hAnsiTheme="minorHAnsi" w:cstheme="minorHAnsi"/>
              <w:color w:val="auto"/>
              <w:sz w:val="32"/>
            </w:rPr>
          </w:pPr>
          <w:r w:rsidRPr="005124FC">
            <w:rPr>
              <w:rFonts w:asciiTheme="minorHAnsi" w:hAnsiTheme="minorHAnsi" w:cstheme="minorHAnsi"/>
              <w:color w:val="auto"/>
              <w:sz w:val="32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C27396" w:rsidRDefault="00C27396" w:rsidP="00C27396">
              <w:pPr>
                <w:pStyle w:val="Bibliografia"/>
                <w:ind w:left="720" w:hanging="720"/>
                <w:rPr>
                  <w:noProof/>
                </w:rPr>
              </w:pPr>
              <w:r>
                <w:t>[1]</w:t>
              </w:r>
              <w:r>
                <w:tab/>
              </w: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Diodes Intercorporated. (2012, 06). </w:t>
              </w:r>
              <w:r>
                <w:rPr>
                  <w:i/>
                  <w:iCs/>
                  <w:noProof/>
                </w:rPr>
                <w:t>AP8801 .</w:t>
              </w:r>
              <w:r>
                <w:rPr>
                  <w:noProof/>
                </w:rPr>
                <w:t xml:space="preserve"> Pobrano 12 26, 2017 z lokalizacji http://www.farnell.com: http://www.farnell.com/datasheets/2100281.pdf?_ga=2.196159023.2049070978.1512573310-2129565307.1510436968</w:t>
              </w:r>
            </w:p>
            <w:p w:rsidR="00C27396" w:rsidRDefault="00C27396" w:rsidP="00C27396">
              <w:pPr>
                <w:pStyle w:val="Bibliografia"/>
                <w:ind w:left="720" w:hanging="720"/>
                <w:rPr>
                  <w:noProof/>
                </w:rPr>
              </w:pPr>
              <w:r>
                <w:t>[2]</w:t>
              </w:r>
              <w:r>
                <w:tab/>
              </w:r>
              <w:r>
                <w:rPr>
                  <w:noProof/>
                </w:rPr>
                <w:t xml:space="preserve">Intersil. (2017, 08 14). </w:t>
              </w:r>
              <w:r>
                <w:rPr>
                  <w:i/>
                  <w:iCs/>
                  <w:noProof/>
                </w:rPr>
                <w:t>ISL97671A.</w:t>
              </w:r>
              <w:r>
                <w:rPr>
                  <w:noProof/>
                </w:rPr>
                <w:t xml:space="preserve"> Pobrano 12 26, 2017 z lokalizacji http://www.farnell.com: http://www.farnell.com/datasheets/2372583.pdf?_ga=2.122414216.2049070978.1512573310-2129565307.1510436968</w:t>
              </w:r>
            </w:p>
            <w:p w:rsidR="00C27396" w:rsidRDefault="00C27396" w:rsidP="00C27396">
              <w:pPr>
                <w:pStyle w:val="Bibliografia"/>
                <w:ind w:left="720" w:hanging="720"/>
                <w:rPr>
                  <w:noProof/>
                </w:rPr>
              </w:pPr>
              <w:r w:rsidRPr="00926A53">
                <w:rPr>
                  <w:lang w:val="en-GB"/>
                </w:rPr>
                <w:t>[3]</w:t>
              </w:r>
              <w:r w:rsidRPr="00926A53">
                <w:rPr>
                  <w:lang w:val="en-GB"/>
                </w:rPr>
                <w:tab/>
              </w:r>
              <w:r w:rsidRPr="00C27396">
                <w:rPr>
                  <w:noProof/>
                  <w:lang w:val="en-GB"/>
                </w:rPr>
                <w:t xml:space="preserve">NXP Semiconductors. (2014, 05 04). </w:t>
              </w:r>
              <w:r w:rsidRPr="00C27396">
                <w:rPr>
                  <w:i/>
                  <w:iCs/>
                  <w:noProof/>
                  <w:lang w:val="en-GB"/>
                </w:rPr>
                <w:t>PCA9545A/45B/45C.</w:t>
              </w:r>
              <w:r w:rsidRPr="00C27396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Pobrano 12 26, 2017 z lokalizacji https://www.tme.eu: https://www.tme.eu/pl/Document/032fc3beb8ff9b04fdddbda1f9bb7e14/PCA9545AD.pdf</w:t>
              </w:r>
            </w:p>
            <w:p w:rsidR="00C27396" w:rsidRDefault="00C27396" w:rsidP="00C27396">
              <w:pPr>
                <w:pStyle w:val="Bibliografia"/>
                <w:ind w:left="720" w:hanging="720"/>
                <w:rPr>
                  <w:noProof/>
                </w:rPr>
              </w:pPr>
              <w:r>
                <w:t>[4]</w:t>
              </w:r>
              <w:r>
                <w:tab/>
              </w:r>
              <w:r>
                <w:rPr>
                  <w:noProof/>
                </w:rPr>
                <w:t xml:space="preserve">Rzechówka, W. (2015). </w:t>
              </w:r>
              <w:r>
                <w:rPr>
                  <w:i/>
                  <w:iCs/>
                  <w:noProof/>
                </w:rPr>
                <w:t>Oświetlenie pojazdu elektrycznego.</w:t>
              </w:r>
              <w:r>
                <w:rPr>
                  <w:noProof/>
                </w:rPr>
                <w:t xml:space="preserve"> Poznań.</w:t>
              </w:r>
            </w:p>
            <w:p w:rsidR="00C27396" w:rsidRDefault="00C27396" w:rsidP="00C27396">
              <w:pPr>
                <w:pStyle w:val="Bibliografia"/>
                <w:ind w:left="720" w:hanging="720"/>
                <w:rPr>
                  <w:noProof/>
                </w:rPr>
              </w:pPr>
              <w:r>
                <w:t>[5]</w:t>
              </w:r>
              <w:r>
                <w:tab/>
              </w:r>
              <w:r>
                <w:rPr>
                  <w:noProof/>
                </w:rPr>
                <w:t xml:space="preserve">STMicroelectronics. (2017, 01). </w:t>
              </w:r>
              <w:r>
                <w:rPr>
                  <w:i/>
                  <w:iCs/>
                  <w:noProof/>
                </w:rPr>
                <w:t>STM32F042x4 STM32F042x6.</w:t>
              </w:r>
              <w:r>
                <w:rPr>
                  <w:noProof/>
                </w:rPr>
                <w:t xml:space="preserve"> Pobrano 12 26, 2017 z lokalizacji http://www.st.com: http://www.st.com/content/ccc/resource/technical/document/datasheet/52/ad/d0/80/e6/be/40/ad/DM00105814.pdf/files/DM00105814.pdf/jcr:content/translations/en.DM00105814.pdf</w:t>
              </w:r>
            </w:p>
            <w:p w:rsidR="00C27396" w:rsidRDefault="00C27396" w:rsidP="00C273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27396" w:rsidRDefault="00C27396" w:rsidP="00C27396"/>
    <w:p w:rsidR="00B778BE" w:rsidRDefault="00B778BE">
      <w:pPr>
        <w:widowControl/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:rsidR="00465CA9" w:rsidRDefault="00B778BE" w:rsidP="00B778BE">
      <w:pPr>
        <w:widowControl/>
        <w:suppressAutoHyphens w:val="0"/>
        <w:autoSpaceDN/>
        <w:spacing w:after="160" w:line="259" w:lineRule="auto"/>
        <w:jc w:val="left"/>
        <w:textAlignment w:val="auto"/>
        <w:rPr>
          <w:b/>
          <w:sz w:val="40"/>
        </w:rPr>
      </w:pPr>
      <w:r w:rsidRPr="00B778BE">
        <w:rPr>
          <w:b/>
          <w:sz w:val="40"/>
        </w:rPr>
        <w:lastRenderedPageBreak/>
        <w:t>Załącznik A – schemat ideowy LED</w:t>
      </w:r>
      <w:r w:rsidR="00C27396">
        <w:rPr>
          <w:noProof/>
        </w:rPr>
        <w:drawing>
          <wp:inline distT="0" distB="0" distL="0" distR="0" wp14:anchorId="0BE369B7" wp14:editId="2E5B38E5">
            <wp:extent cx="8786526" cy="4264590"/>
            <wp:effectExtent l="0" t="5715" r="889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6014" cy="42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BE" w:rsidRDefault="00B778BE" w:rsidP="00B778BE">
      <w:pPr>
        <w:widowControl/>
        <w:suppressAutoHyphens w:val="0"/>
        <w:autoSpaceDN/>
        <w:spacing w:after="160" w:line="259" w:lineRule="auto"/>
        <w:jc w:val="left"/>
        <w:textAlignment w:val="auto"/>
        <w:rPr>
          <w:b/>
          <w:sz w:val="40"/>
        </w:rPr>
      </w:pPr>
      <w:r w:rsidRPr="00B778BE">
        <w:rPr>
          <w:b/>
          <w:sz w:val="40"/>
        </w:rPr>
        <w:lastRenderedPageBreak/>
        <w:t xml:space="preserve">Załącznik </w:t>
      </w:r>
      <w:r>
        <w:rPr>
          <w:b/>
          <w:sz w:val="40"/>
        </w:rPr>
        <w:t>B</w:t>
      </w:r>
      <w:r w:rsidRPr="00B778BE">
        <w:rPr>
          <w:b/>
          <w:sz w:val="40"/>
        </w:rPr>
        <w:t xml:space="preserve"> – schemat ideowy </w:t>
      </w:r>
      <w:r>
        <w:rPr>
          <w:b/>
          <w:sz w:val="40"/>
        </w:rPr>
        <w:t>Driver LED</w:t>
      </w:r>
    </w:p>
    <w:p w:rsidR="00B778BE" w:rsidRDefault="00B778BE" w:rsidP="00B778BE">
      <w:pPr>
        <w:widowControl/>
        <w:suppressAutoHyphens w:val="0"/>
        <w:autoSpaceDN/>
        <w:spacing w:after="160" w:line="259" w:lineRule="auto"/>
        <w:jc w:val="left"/>
        <w:textAlignment w:val="auto"/>
      </w:pPr>
      <w:r>
        <w:rPr>
          <w:noProof/>
        </w:rPr>
        <w:drawing>
          <wp:inline distT="0" distB="0" distL="0" distR="0">
            <wp:extent cx="8664408" cy="4283935"/>
            <wp:effectExtent l="0" t="635" r="3175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2358" cy="42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BE" w:rsidRDefault="00B778BE" w:rsidP="00B778BE">
      <w:pPr>
        <w:widowControl/>
        <w:suppressAutoHyphens w:val="0"/>
        <w:autoSpaceDN/>
        <w:spacing w:after="160" w:line="259" w:lineRule="auto"/>
        <w:jc w:val="left"/>
        <w:textAlignment w:val="auto"/>
        <w:rPr>
          <w:b/>
          <w:sz w:val="40"/>
        </w:rPr>
      </w:pPr>
      <w:r w:rsidRPr="00B778BE">
        <w:rPr>
          <w:b/>
          <w:sz w:val="40"/>
        </w:rPr>
        <w:lastRenderedPageBreak/>
        <w:t xml:space="preserve">Załącznik </w:t>
      </w:r>
      <w:r>
        <w:rPr>
          <w:b/>
          <w:sz w:val="40"/>
        </w:rPr>
        <w:t>C</w:t>
      </w:r>
      <w:r w:rsidRPr="00B778BE">
        <w:rPr>
          <w:b/>
          <w:sz w:val="40"/>
        </w:rPr>
        <w:t xml:space="preserve"> –</w:t>
      </w:r>
      <w:r>
        <w:rPr>
          <w:b/>
          <w:sz w:val="40"/>
        </w:rPr>
        <w:t xml:space="preserve"> µC,  przełącznik I</w:t>
      </w:r>
      <w:r w:rsidRPr="00B778BE">
        <w:rPr>
          <w:b/>
          <w:sz w:val="40"/>
          <w:vertAlign w:val="superscript"/>
        </w:rPr>
        <w:t>2</w:t>
      </w:r>
      <w:r>
        <w:rPr>
          <w:b/>
          <w:sz w:val="40"/>
        </w:rPr>
        <w:t>C,  zasilanie,  CAN</w:t>
      </w:r>
    </w:p>
    <w:p w:rsidR="00B778BE" w:rsidRDefault="00DA0AC7" w:rsidP="00B778BE">
      <w:pPr>
        <w:widowControl/>
        <w:suppressAutoHyphens w:val="0"/>
        <w:autoSpaceDN/>
        <w:spacing w:after="160" w:line="259" w:lineRule="auto"/>
        <w:jc w:val="left"/>
        <w:textAlignment w:val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7530285" cy="5063371"/>
            <wp:effectExtent l="0" t="4763" r="9208" b="9207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30255" cy="50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8BE" w:rsidRPr="007228B3" w:rsidRDefault="00B778BE" w:rsidP="00B778BE">
      <w:pPr>
        <w:widowControl/>
        <w:suppressAutoHyphens w:val="0"/>
        <w:autoSpaceDN/>
        <w:spacing w:after="160" w:line="259" w:lineRule="auto"/>
        <w:jc w:val="left"/>
        <w:textAlignment w:val="auto"/>
      </w:pPr>
    </w:p>
    <w:sectPr w:rsidR="00B778BE" w:rsidRPr="007228B3" w:rsidSect="00C63858">
      <w:type w:val="continuous"/>
      <w:pgSz w:w="11906" w:h="16838"/>
      <w:pgMar w:top="1134" w:right="567" w:bottom="1135" w:left="567" w:header="708" w:footer="708" w:gutter="0"/>
      <w:cols w:space="2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4F" w:rsidRDefault="008D1E4F" w:rsidP="007228B3">
      <w:r>
        <w:separator/>
      </w:r>
    </w:p>
  </w:endnote>
  <w:endnote w:type="continuationSeparator" w:id="0">
    <w:p w:rsidR="008D1E4F" w:rsidRDefault="008D1E4F" w:rsidP="0072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CBC" w:rsidRDefault="00BC406C" w:rsidP="00B55C92">
    <w:pPr>
      <w:pStyle w:val="Stopka"/>
      <w:rPr>
        <w:sz w:val="20"/>
        <w:szCs w:val="20"/>
      </w:rPr>
    </w:pPr>
    <w:r>
      <w:rPr>
        <w:sz w:val="20"/>
        <w:szCs w:val="20"/>
      </w:rPr>
      <w:t>PP&gt;WE&gt;</w:t>
    </w:r>
    <w:proofErr w:type="spellStart"/>
    <w:r>
      <w:rPr>
        <w:sz w:val="20"/>
        <w:szCs w:val="20"/>
      </w:rPr>
      <w:t>Dz</w:t>
    </w:r>
    <w:proofErr w:type="spellEnd"/>
    <w:r>
      <w:rPr>
        <w:sz w:val="20"/>
        <w:szCs w:val="20"/>
      </w:rPr>
      <w:t>&gt;</w:t>
    </w:r>
    <w:proofErr w:type="spellStart"/>
    <w:r>
      <w:rPr>
        <w:sz w:val="20"/>
        <w:szCs w:val="20"/>
      </w:rPr>
      <w:t>AiR</w:t>
    </w:r>
    <w:proofErr w:type="spellEnd"/>
    <w:r w:rsidR="0081546B">
      <w:rPr>
        <w:sz w:val="20"/>
        <w:szCs w:val="20"/>
      </w:rPr>
      <w:t>&gt;Mgr&gt;Sem2</w:t>
    </w:r>
    <w:r>
      <w:rPr>
        <w:sz w:val="20"/>
        <w:szCs w:val="20"/>
      </w:rPr>
      <w:t>&gt;</w:t>
    </w:r>
    <w:r w:rsidR="00B55C92">
      <w:rPr>
        <w:b/>
        <w:bCs/>
        <w:sz w:val="20"/>
        <w:szCs w:val="20"/>
      </w:rPr>
      <w:t>LP</w:t>
    </w:r>
    <w:r w:rsidR="0081546B">
      <w:rPr>
        <w:sz w:val="20"/>
        <w:szCs w:val="20"/>
      </w:rPr>
      <w:t>&gt;</w:t>
    </w:r>
    <w:r w:rsidR="00B55C92">
      <w:rPr>
        <w:sz w:val="20"/>
        <w:szCs w:val="20"/>
      </w:rPr>
      <w:t>AUT</w:t>
    </w:r>
    <w:r>
      <w:rPr>
        <w:sz w:val="20"/>
        <w:szCs w:val="20"/>
      </w:rPr>
      <w:t>&gt;</w:t>
    </w:r>
    <w:r w:rsidR="00B55C92">
      <w:rPr>
        <w:sz w:val="20"/>
        <w:szCs w:val="20"/>
      </w:rPr>
      <w:t xml:space="preserve"> Arkadiusz Nawrot, Sławomir Smyczyński</w:t>
    </w:r>
    <w:r>
      <w:rPr>
        <w:sz w:val="20"/>
        <w:szCs w:val="20"/>
      </w:rPr>
      <w:t xml:space="preserve">   </w:t>
    </w:r>
    <w:r w:rsidR="00B55C92"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B62CDF">
      <w:rPr>
        <w:noProof/>
        <w:sz w:val="20"/>
        <w:szCs w:val="20"/>
      </w:rPr>
      <w:t>8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 w:rsidR="00B62CDF">
      <w:rPr>
        <w:noProof/>
        <w:sz w:val="20"/>
        <w:szCs w:val="20"/>
      </w:rPr>
      <w:t>8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4F" w:rsidRDefault="008D1E4F" w:rsidP="007228B3">
      <w:r>
        <w:separator/>
      </w:r>
    </w:p>
  </w:footnote>
  <w:footnote w:type="continuationSeparator" w:id="0">
    <w:p w:rsidR="008D1E4F" w:rsidRDefault="008D1E4F" w:rsidP="00722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829"/>
    <w:multiLevelType w:val="multilevel"/>
    <w:tmpl w:val="7CDA5F5E"/>
    <w:lvl w:ilvl="0">
      <w:start w:val="1"/>
      <w:numFmt w:val="decimal"/>
      <w:lvlText w:val=" %1 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 %1.%2 "/>
      <w:lvlJc w:val="left"/>
      <w:pPr>
        <w:ind w:left="454" w:hanging="454"/>
      </w:pPr>
      <w:rPr>
        <w:b w:val="0"/>
        <w:bCs w:val="0"/>
      </w:rPr>
    </w:lvl>
    <w:lvl w:ilvl="2">
      <w:start w:val="1"/>
      <w:numFmt w:val="decimal"/>
      <w:lvlText w:val=" %1.%2.%3 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 %1.%2.%3.%4 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 %1.%2.%3.%4.%5 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 %1.%2.%3.%4.%5.%6 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 %1.%2.%3.%4.%5.%6.%7 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 %1.%2.%3.%4.%5.%6.%7.%8 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 %1.%2.%3.%4.%5.%6.%7.%8.%9 "/>
      <w:lvlJc w:val="left"/>
      <w:pPr>
        <w:ind w:left="3600" w:hanging="360"/>
      </w:pPr>
      <w:rPr>
        <w:b w:val="0"/>
        <w:bCs w:val="0"/>
      </w:rPr>
    </w:lvl>
  </w:abstractNum>
  <w:abstractNum w:abstractNumId="1">
    <w:nsid w:val="0CEC6C8A"/>
    <w:multiLevelType w:val="hybridMultilevel"/>
    <w:tmpl w:val="82C65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32953"/>
    <w:multiLevelType w:val="hybridMultilevel"/>
    <w:tmpl w:val="30103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34CC3"/>
    <w:multiLevelType w:val="hybridMultilevel"/>
    <w:tmpl w:val="2A30D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83AA0"/>
    <w:multiLevelType w:val="hybridMultilevel"/>
    <w:tmpl w:val="753299A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C05FB"/>
    <w:multiLevelType w:val="hybridMultilevel"/>
    <w:tmpl w:val="30D6CC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03B0E"/>
    <w:multiLevelType w:val="hybridMultilevel"/>
    <w:tmpl w:val="4F26C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86"/>
    <w:rsid w:val="000245D3"/>
    <w:rsid w:val="00031FD8"/>
    <w:rsid w:val="000725D8"/>
    <w:rsid w:val="00080A3D"/>
    <w:rsid w:val="00085C13"/>
    <w:rsid w:val="000A4C97"/>
    <w:rsid w:val="000D2494"/>
    <w:rsid w:val="000F6296"/>
    <w:rsid w:val="00110B8D"/>
    <w:rsid w:val="00130ACC"/>
    <w:rsid w:val="001351F2"/>
    <w:rsid w:val="00136BFD"/>
    <w:rsid w:val="00144482"/>
    <w:rsid w:val="00146454"/>
    <w:rsid w:val="00175A5F"/>
    <w:rsid w:val="001804E8"/>
    <w:rsid w:val="001A4046"/>
    <w:rsid w:val="001A66B4"/>
    <w:rsid w:val="00204C29"/>
    <w:rsid w:val="002066FB"/>
    <w:rsid w:val="00207221"/>
    <w:rsid w:val="00251058"/>
    <w:rsid w:val="00263861"/>
    <w:rsid w:val="00284DEB"/>
    <w:rsid w:val="002B3BF7"/>
    <w:rsid w:val="002E6A02"/>
    <w:rsid w:val="002E79F9"/>
    <w:rsid w:val="00312DA5"/>
    <w:rsid w:val="00325946"/>
    <w:rsid w:val="00346B4C"/>
    <w:rsid w:val="00365371"/>
    <w:rsid w:val="00375796"/>
    <w:rsid w:val="00376E2F"/>
    <w:rsid w:val="003C6940"/>
    <w:rsid w:val="003E7A01"/>
    <w:rsid w:val="003F26C4"/>
    <w:rsid w:val="00403E80"/>
    <w:rsid w:val="00412BF1"/>
    <w:rsid w:val="00427DF9"/>
    <w:rsid w:val="004654C6"/>
    <w:rsid w:val="00465CA9"/>
    <w:rsid w:val="00467A7D"/>
    <w:rsid w:val="00477650"/>
    <w:rsid w:val="004B5E23"/>
    <w:rsid w:val="004C1CAF"/>
    <w:rsid w:val="004C4300"/>
    <w:rsid w:val="004E4F4D"/>
    <w:rsid w:val="00511086"/>
    <w:rsid w:val="005124FC"/>
    <w:rsid w:val="005226C3"/>
    <w:rsid w:val="00532C88"/>
    <w:rsid w:val="00540E10"/>
    <w:rsid w:val="00550FE8"/>
    <w:rsid w:val="00565A0A"/>
    <w:rsid w:val="00576866"/>
    <w:rsid w:val="005816A4"/>
    <w:rsid w:val="005878A4"/>
    <w:rsid w:val="005D6306"/>
    <w:rsid w:val="006259B3"/>
    <w:rsid w:val="00626F99"/>
    <w:rsid w:val="00664559"/>
    <w:rsid w:val="00667E57"/>
    <w:rsid w:val="006813A9"/>
    <w:rsid w:val="006B24C4"/>
    <w:rsid w:val="006C4594"/>
    <w:rsid w:val="006D1C6B"/>
    <w:rsid w:val="006E48F2"/>
    <w:rsid w:val="006F62F3"/>
    <w:rsid w:val="007026E2"/>
    <w:rsid w:val="007228B3"/>
    <w:rsid w:val="007271CD"/>
    <w:rsid w:val="007370B4"/>
    <w:rsid w:val="007919D8"/>
    <w:rsid w:val="007C666C"/>
    <w:rsid w:val="007D49E4"/>
    <w:rsid w:val="007E58B0"/>
    <w:rsid w:val="007E6A27"/>
    <w:rsid w:val="00804CB5"/>
    <w:rsid w:val="00810EB8"/>
    <w:rsid w:val="0081546B"/>
    <w:rsid w:val="00840063"/>
    <w:rsid w:val="00845ABB"/>
    <w:rsid w:val="00864279"/>
    <w:rsid w:val="008959E5"/>
    <w:rsid w:val="008B71AD"/>
    <w:rsid w:val="008D1E4F"/>
    <w:rsid w:val="008E056C"/>
    <w:rsid w:val="00910DDC"/>
    <w:rsid w:val="009162B1"/>
    <w:rsid w:val="00920F10"/>
    <w:rsid w:val="0092505C"/>
    <w:rsid w:val="00926A53"/>
    <w:rsid w:val="0093431E"/>
    <w:rsid w:val="009624AF"/>
    <w:rsid w:val="00980391"/>
    <w:rsid w:val="009859D4"/>
    <w:rsid w:val="009C764F"/>
    <w:rsid w:val="009E03BC"/>
    <w:rsid w:val="00A06DD1"/>
    <w:rsid w:val="00A4184A"/>
    <w:rsid w:val="00A72F23"/>
    <w:rsid w:val="00A87FAB"/>
    <w:rsid w:val="00AD6B07"/>
    <w:rsid w:val="00B06422"/>
    <w:rsid w:val="00B17481"/>
    <w:rsid w:val="00B24334"/>
    <w:rsid w:val="00B25228"/>
    <w:rsid w:val="00B55C92"/>
    <w:rsid w:val="00B62CDF"/>
    <w:rsid w:val="00B778BE"/>
    <w:rsid w:val="00B8339A"/>
    <w:rsid w:val="00B94AE1"/>
    <w:rsid w:val="00BC406C"/>
    <w:rsid w:val="00BE2CB7"/>
    <w:rsid w:val="00C10567"/>
    <w:rsid w:val="00C23DC0"/>
    <w:rsid w:val="00C27396"/>
    <w:rsid w:val="00C345BD"/>
    <w:rsid w:val="00C63858"/>
    <w:rsid w:val="00C861AA"/>
    <w:rsid w:val="00C912D4"/>
    <w:rsid w:val="00CA1980"/>
    <w:rsid w:val="00CC480E"/>
    <w:rsid w:val="00CD5AA7"/>
    <w:rsid w:val="00CD698F"/>
    <w:rsid w:val="00CF02E9"/>
    <w:rsid w:val="00CF4AD5"/>
    <w:rsid w:val="00D41083"/>
    <w:rsid w:val="00D64CF4"/>
    <w:rsid w:val="00DA0AC7"/>
    <w:rsid w:val="00DE1083"/>
    <w:rsid w:val="00DE4D8A"/>
    <w:rsid w:val="00DF6CCD"/>
    <w:rsid w:val="00E1138B"/>
    <w:rsid w:val="00E44FB7"/>
    <w:rsid w:val="00E46715"/>
    <w:rsid w:val="00E47E46"/>
    <w:rsid w:val="00E76D00"/>
    <w:rsid w:val="00E80FCA"/>
    <w:rsid w:val="00ED69A3"/>
    <w:rsid w:val="00F070E5"/>
    <w:rsid w:val="00F36718"/>
    <w:rsid w:val="00F44FBD"/>
    <w:rsid w:val="00F50FEF"/>
    <w:rsid w:val="00F6724E"/>
    <w:rsid w:val="00F7023F"/>
    <w:rsid w:val="00F74382"/>
    <w:rsid w:val="00F9310C"/>
    <w:rsid w:val="00F9648D"/>
    <w:rsid w:val="00F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28B3"/>
    <w:pPr>
      <w:widowControl w:val="0"/>
      <w:suppressAutoHyphens/>
      <w:autoSpaceDN w:val="0"/>
      <w:spacing w:after="0" w:line="276" w:lineRule="auto"/>
      <w:jc w:val="both"/>
      <w:textAlignment w:val="baseline"/>
    </w:pPr>
    <w:rPr>
      <w:rFonts w:ascii="Times New Roman" w:eastAsia="Arial Unicode MS" w:hAnsi="Times New Roman" w:cs="Times New Roman"/>
      <w:kern w:val="3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5CA9"/>
    <w:pPr>
      <w:keepNext/>
      <w:keepLines/>
      <w:widowControl/>
      <w:suppressAutoHyphens w:val="0"/>
      <w:autoSpaceDN/>
      <w:spacing w:before="48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6C45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l-PL"/>
    </w:rPr>
  </w:style>
  <w:style w:type="paragraph" w:styleId="Stopka">
    <w:name w:val="footer"/>
    <w:basedOn w:val="Standard"/>
    <w:link w:val="StopkaZnak"/>
    <w:rsid w:val="006C4594"/>
    <w:pPr>
      <w:suppressLineNumbers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tabs>
        <w:tab w:val="center" w:pos="5386"/>
        <w:tab w:val="right" w:pos="10772"/>
      </w:tabs>
    </w:pPr>
  </w:style>
  <w:style w:type="character" w:customStyle="1" w:styleId="StopkaZnak">
    <w:name w:val="Stopka Znak"/>
    <w:basedOn w:val="Domylnaczcionkaakapitu"/>
    <w:link w:val="Stopka"/>
    <w:rsid w:val="006C4594"/>
    <w:rPr>
      <w:rFonts w:ascii="Times New Roman" w:eastAsia="Arial Unicode MS" w:hAnsi="Times New Roman" w:cs="Tahoma"/>
      <w:kern w:val="3"/>
      <w:sz w:val="24"/>
      <w:szCs w:val="24"/>
      <w:lang w:eastAsia="pl-PL"/>
    </w:rPr>
  </w:style>
  <w:style w:type="paragraph" w:customStyle="1" w:styleId="TableContents">
    <w:name w:val="Table Contents"/>
    <w:basedOn w:val="Standard"/>
    <w:rsid w:val="006C4594"/>
    <w:pPr>
      <w:suppressLineNumbers/>
    </w:pPr>
  </w:style>
  <w:style w:type="paragraph" w:styleId="Bezodstpw">
    <w:name w:val="No Spacing"/>
    <w:uiPriority w:val="1"/>
    <w:qFormat/>
    <w:rsid w:val="007370B4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81546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1546B"/>
    <w:rPr>
      <w:rFonts w:ascii="Times New Roman" w:eastAsia="Arial Unicode MS" w:hAnsi="Times New Roman" w:cs="Tahoma"/>
      <w:kern w:val="3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81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E79F9"/>
    <w:pPr>
      <w:spacing w:after="200"/>
      <w:jc w:val="center"/>
    </w:pPr>
    <w:rPr>
      <w:i/>
      <w:iCs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0E10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0E10"/>
    <w:rPr>
      <w:rFonts w:ascii="Tahoma" w:eastAsia="Arial Unicode MS" w:hAnsi="Tahoma" w:cs="Tahoma"/>
      <w:kern w:val="3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unhideWhenUsed/>
    <w:rsid w:val="00130ACC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30ACC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7A7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7A7D"/>
    <w:rPr>
      <w:rFonts w:ascii="Times New Roman" w:eastAsia="Arial Unicode MS" w:hAnsi="Times New Roman" w:cs="Tahoma"/>
      <w:kern w:val="3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7A7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5D6306"/>
    <w:rPr>
      <w:color w:val="808080"/>
    </w:rPr>
  </w:style>
  <w:style w:type="paragraph" w:styleId="Akapitzlist">
    <w:name w:val="List Paragraph"/>
    <w:basedOn w:val="Normalny"/>
    <w:uiPriority w:val="34"/>
    <w:qFormat/>
    <w:rsid w:val="002E79F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65C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465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28B3"/>
    <w:pPr>
      <w:widowControl w:val="0"/>
      <w:suppressAutoHyphens/>
      <w:autoSpaceDN w:val="0"/>
      <w:spacing w:after="0" w:line="276" w:lineRule="auto"/>
      <w:jc w:val="both"/>
      <w:textAlignment w:val="baseline"/>
    </w:pPr>
    <w:rPr>
      <w:rFonts w:ascii="Times New Roman" w:eastAsia="Arial Unicode MS" w:hAnsi="Times New Roman" w:cs="Times New Roman"/>
      <w:kern w:val="3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5CA9"/>
    <w:pPr>
      <w:keepNext/>
      <w:keepLines/>
      <w:widowControl/>
      <w:suppressAutoHyphens w:val="0"/>
      <w:autoSpaceDN/>
      <w:spacing w:before="48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6C45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l-PL"/>
    </w:rPr>
  </w:style>
  <w:style w:type="paragraph" w:styleId="Stopka">
    <w:name w:val="footer"/>
    <w:basedOn w:val="Standard"/>
    <w:link w:val="StopkaZnak"/>
    <w:rsid w:val="006C4594"/>
    <w:pPr>
      <w:suppressLineNumbers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tabs>
        <w:tab w:val="center" w:pos="5386"/>
        <w:tab w:val="right" w:pos="10772"/>
      </w:tabs>
    </w:pPr>
  </w:style>
  <w:style w:type="character" w:customStyle="1" w:styleId="StopkaZnak">
    <w:name w:val="Stopka Znak"/>
    <w:basedOn w:val="Domylnaczcionkaakapitu"/>
    <w:link w:val="Stopka"/>
    <w:rsid w:val="006C4594"/>
    <w:rPr>
      <w:rFonts w:ascii="Times New Roman" w:eastAsia="Arial Unicode MS" w:hAnsi="Times New Roman" w:cs="Tahoma"/>
      <w:kern w:val="3"/>
      <w:sz w:val="24"/>
      <w:szCs w:val="24"/>
      <w:lang w:eastAsia="pl-PL"/>
    </w:rPr>
  </w:style>
  <w:style w:type="paragraph" w:customStyle="1" w:styleId="TableContents">
    <w:name w:val="Table Contents"/>
    <w:basedOn w:val="Standard"/>
    <w:rsid w:val="006C4594"/>
    <w:pPr>
      <w:suppressLineNumbers/>
    </w:pPr>
  </w:style>
  <w:style w:type="paragraph" w:styleId="Bezodstpw">
    <w:name w:val="No Spacing"/>
    <w:uiPriority w:val="1"/>
    <w:qFormat/>
    <w:rsid w:val="007370B4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81546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1546B"/>
    <w:rPr>
      <w:rFonts w:ascii="Times New Roman" w:eastAsia="Arial Unicode MS" w:hAnsi="Times New Roman" w:cs="Tahoma"/>
      <w:kern w:val="3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81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E79F9"/>
    <w:pPr>
      <w:spacing w:after="200"/>
      <w:jc w:val="center"/>
    </w:pPr>
    <w:rPr>
      <w:i/>
      <w:iCs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0E10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0E10"/>
    <w:rPr>
      <w:rFonts w:ascii="Tahoma" w:eastAsia="Arial Unicode MS" w:hAnsi="Tahoma" w:cs="Tahoma"/>
      <w:kern w:val="3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unhideWhenUsed/>
    <w:rsid w:val="00130ACC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30ACC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7A7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7A7D"/>
    <w:rPr>
      <w:rFonts w:ascii="Times New Roman" w:eastAsia="Arial Unicode MS" w:hAnsi="Times New Roman" w:cs="Tahoma"/>
      <w:kern w:val="3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7A7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5D6306"/>
    <w:rPr>
      <w:color w:val="808080"/>
    </w:rPr>
  </w:style>
  <w:style w:type="paragraph" w:styleId="Akapitzlist">
    <w:name w:val="List Paragraph"/>
    <w:basedOn w:val="Normalny"/>
    <w:uiPriority w:val="34"/>
    <w:qFormat/>
    <w:rsid w:val="002E79F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65C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46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tme.eu/pl/details/fyls-5050nrgbc/diody-led-smd-kolorowe/foryard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me.eu/pl/details/pm2b-1lwe/diody-led-mocy-biale-emiter/prolight-opt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rnell.com/datasheets/2100281.pdf?_ga=2.196159023.2049070978.1512573310-2129565307.151043696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farnell.com/datasheets/2372583.pdf?_ga=2.122414216.2049070978.1512573310-2129565307.151043696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Dio12</b:Tag>
    <b:SourceType>DocumentFromInternetSite</b:SourceType>
    <b:Guid>{07A3DAE7-3FBE-45D1-AEC4-7B3D06B66801}</b:Guid>
    <b:Author>
      <b:Author>
        <b:Corporate>Diodes Intercorporated</b:Corporate>
      </b:Author>
    </b:Author>
    <b:Title>AP8801 </b:Title>
    <b:InternetSiteTitle>http://www.farnell.com</b:InternetSiteTitle>
    <b:Year>2012</b:Year>
    <b:Month>06</b:Month>
    <b:YearAccessed>2017</b:YearAccessed>
    <b:MonthAccessed>12</b:MonthAccessed>
    <b:DayAccessed>26</b:DayAccessed>
    <b:URL>http://www.farnell.com/datasheets/2100281.pdf?_ga=2.196159023.2049070978.1512573310-2129565307.1510436968</b:URL>
    <b:RefOrder>1</b:RefOrder>
  </b:Source>
  <b:Source>
    <b:Tag>Int17</b:Tag>
    <b:SourceType>DocumentFromInternetSite</b:SourceType>
    <b:Guid>{B38F442A-0F6E-4C70-9468-562D619DB157}</b:Guid>
    <b:Title>ISL97671A</b:Title>
    <b:Year>2017</b:Year>
    <b:Author>
      <b:Author>
        <b:Corporate>Intersil</b:Corporate>
      </b:Author>
    </b:Author>
    <b:Month>08</b:Month>
    <b:Day>14</b:Day>
    <b:YearAccessed>2017</b:YearAccessed>
    <b:MonthAccessed>12</b:MonthAccessed>
    <b:DayAccessed>26</b:DayAccessed>
    <b:URL>http://www.farnell.com/datasheets/2372583.pdf?_ga=2.122414216.2049070978.1512573310-2129565307.1510436968</b:URL>
    <b:InternetSiteTitle>http://www.farnell.com</b:InternetSiteTitle>
    <b:RefOrder>2</b:RefOrder>
  </b:Source>
  <b:Source>
    <b:Tag>Woj</b:Tag>
    <b:SourceType>Report</b:SourceType>
    <b:Guid>{41901C4A-83C1-40D9-AB9A-C9266A76BAA4}</b:Guid>
    <b:Title>Oświetlenie pojazdu elektrycznego</b:Title>
    <b:Author>
      <b:Author>
        <b:NameList>
          <b:Person>
            <b:Last>Rzechówka</b:Last>
            <b:First>Wojciech</b:First>
          </b:Person>
        </b:NameList>
      </b:Author>
    </b:Author>
    <b:Year>2015</b:Year>
    <b:City>Poznań</b:City>
    <b:RefOrder>3</b:RefOrder>
  </b:Source>
  <b:Source>
    <b:Tag>NXP14</b:Tag>
    <b:SourceType>DocumentFromInternetSite</b:SourceType>
    <b:Guid>{65D1B484-D5DC-4DE6-AAE9-11F346975825}</b:Guid>
    <b:Author>
      <b:Author>
        <b:Corporate>NXP Semiconductors</b:Corporate>
      </b:Author>
    </b:Author>
    <b:Title>PCA9545A/45B/45C</b:Title>
    <b:InternetSiteTitle>https://www.tme.eu</b:InternetSiteTitle>
    <b:Year>2014</b:Year>
    <b:Month>05</b:Month>
    <b:Day>04</b:Day>
    <b:YearAccessed>2017</b:YearAccessed>
    <b:MonthAccessed>12</b:MonthAccessed>
    <b:DayAccessed>26</b:DayAccessed>
    <b:URL>https://www.tme.eu/pl/Document/032fc3beb8ff9b04fdddbda1f9bb7e14/PCA9545AD.pdf</b:URL>
    <b:RefOrder>4</b:RefOrder>
  </b:Source>
  <b:Source>
    <b:Tag>STM17</b:Tag>
    <b:SourceType>DocumentFromInternetSite</b:SourceType>
    <b:Guid>{313E09D4-2F73-4EFE-9545-060DC246B770}</b:Guid>
    <b:Author>
      <b:Author>
        <b:Corporate>STMicroelectronics</b:Corporate>
      </b:Author>
    </b:Author>
    <b:Title>STM32F042x4 STM32F042x6</b:Title>
    <b:InternetSiteTitle>http://www.st.com</b:InternetSiteTitle>
    <b:Year>2017</b:Year>
    <b:Month>01</b:Month>
    <b:YearAccessed>2017</b:YearAccessed>
    <b:MonthAccessed>12</b:MonthAccessed>
    <b:DayAccessed>26</b:DayAccessed>
    <b:URL>http://www.st.com/content/ccc/resource/technical/document/datasheet/52/ad/d0/80/e6/be/40/ad/DM00105814.pdf/files/DM00105814.pdf/jcr:content/translations/en.DM00105814.pdf</b:URL>
    <b:RefOrder>5</b:RefOrder>
  </b:Source>
</b:Sources>
</file>

<file path=customXml/itemProps1.xml><?xml version="1.0" encoding="utf-8"?>
<ds:datastoreItem xmlns:ds="http://schemas.openxmlformats.org/officeDocument/2006/customXml" ds:itemID="{D092817F-91BB-45C2-A5CE-9081F43A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2158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Arek</cp:lastModifiedBy>
  <cp:revision>15</cp:revision>
  <cp:lastPrinted>2018-01-17T12:43:00Z</cp:lastPrinted>
  <dcterms:created xsi:type="dcterms:W3CDTF">2018-01-14T10:24:00Z</dcterms:created>
  <dcterms:modified xsi:type="dcterms:W3CDTF">2018-01-17T12:43:00Z</dcterms:modified>
</cp:coreProperties>
</file>