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4C7E"/>
          <w:sz w:val="48"/>
          <w:szCs w:val="48"/>
        </w:rPr>
        <w:t xml:space="preserve">ALLMÄN RISKBEDÖMNING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enligt lag (2017:630) om åtgärder mot penningtvätt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och finansiering av terrorism</w:t>
      </w:r>
    </w:p>
    <w:p>
      <w:pPr>
        <w:spacing w:before="6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Stadsauktion Sundsvall AB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Org.nr: 556942-7379</w:t>
      </w:r>
    </w:p>
    <w:p>
      <w:pPr>
        <w:spacing w:before="600"/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Dokumentinformation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(UTKAST)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2025-02-13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Ansvarig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Kjell Anders Melin, 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Nästa översyn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Utkast – inväntar juridisk granskning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Inledning och syfte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Denna allmänna riskbedömning är upprättad i enlighet med 2 kap. 1–2 §§ lag (2017:630) om åtgärder mot penningtvätt och finansiering av terrorism (“penningtvättslagen”). Syftet är att identifiera och bedöma de risker för penningtvätt och finansiering av terrorism som är förenade med Stadsauktion Sundsvall AB:s verksamhet.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Riskbedömningen ska ligga till grund för bolagets rutiner, riktlinjer och åtgärder för kundkännedom (KYC) och ska överses årligen eller vid väsentliga förändringar i verksamheten.</w:t>
      </w:r>
    </w:p>
    <w:p>
      <w:pPr>
        <w:pStyle w:val="Heading1"/>
      </w:pPr>
      <w:r>
        <w:rPr>
          <w:rFonts w:ascii="Arial" w:cs="Arial" w:eastAsia="Arial" w:hAnsi="Arial"/>
        </w:rPr>
        <w:t xml:space="preserve">2. Verksamhetsbeskrivning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Stadsauktion Sundsvall AB (org.nr 556942-7379) bedriver auktionsverksamhet i Sundsvall och är anslutet till den digitala auktionsplattformen Auctionet. Bolaget drivs av VD Kjell Anders Melin.</w:t>
      </w:r>
    </w:p>
    <w:p>
      <w:pPr>
        <w:pStyle w:val="Heading2"/>
      </w:pPr>
      <w:r>
        <w:rPr>
          <w:rFonts w:ascii="Arial" w:cs="Arial" w:eastAsia="Arial" w:hAnsi="Arial"/>
        </w:rPr>
        <w:t xml:space="preserve">2.1 Verksamhetens karaktär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Auktionsförsäljning av lös egendom via Auctionet.com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Varugrupper: möbler, inredning, konst, antikviteter, fordon/motorcyklar samt blandat sortiment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Föremål tas emot både genom inlämning hos auktionshuset och genom hämtning hos säljare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Årlig omsättning: cirka 10 MSEK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Inga kontantbetalningar – alla transaktioner hanteras via Auctionets betalningsplattform</w:t>
      </w:r>
    </w:p>
    <w:p>
      <w:pPr>
        <w:pStyle w:val="Heading2"/>
      </w:pPr>
      <w:r>
        <w:rPr>
          <w:rFonts w:ascii="Arial" w:cs="Arial" w:eastAsia="Arial" w:hAnsi="Arial"/>
        </w:rPr>
        <w:t xml:space="preserve">2.2 Organisation och personal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Bolaget har följande personalsammansättning: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 heltidsanställda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halvtidsanställd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transportkonsulter på deltid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anställd på 25 %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extra inskrivare (ej anställda, uppdragstagare)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anställd på timmar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Totalt ca 14 personer är verksamma i eller åt bolaget.</w:t>
      </w:r>
    </w:p>
    <w:p>
      <w:pPr>
        <w:pStyle w:val="Heading2"/>
      </w:pPr>
      <w:r>
        <w:rPr>
          <w:rFonts w:ascii="Arial" w:cs="Arial" w:eastAsia="Arial" w:hAnsi="Arial"/>
        </w:rPr>
        <w:t xml:space="preserve">2.3 Kundkategorier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Bolagets kunder (säljare) består av: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Privatpersoner som lämnar in eller får föremål hämtade för försäljning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Företag och juridiska personer som avyttrar inventarier, konst, fordon m.m.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Köpare registrerar sig och betalar via Auctionets plattform och omfattas av Auctionets egna KYC-rutiner.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Riskidentifiering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Nedan identifieras de huvudsakliga riskfaktorerna kopplade till bolagets verksamhet. Bedömningen utgår från de riskfaktorer som anges i penningtvättslagen och Länsstyrelsens vägledning.</w:t>
      </w:r>
    </w:p>
    <w:p>
      <w:pPr>
        <w:pStyle w:val="Heading2"/>
      </w:pPr>
      <w:r>
        <w:rPr>
          <w:rFonts w:ascii="Arial" w:cs="Arial" w:eastAsia="Arial" w:hAnsi="Arial"/>
        </w:rPr>
        <w:t xml:space="preserve">3.1 Produkter och tjänster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Riskfaktor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Risknivå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Motivering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Auktionsförsäljning generellt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Auktionsbranschen har av Länsstyrelsen identifierats som en sektor med förhöjd risk. Föremål kan användas för värdeöverföring.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Konst och antikviteter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HÖG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Värdet på konst och antikviteter kan vara svårt att fastställa objektivt. Internationellt identifierad högrisksektor för penningtvätt.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Fordon och motorcyklar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HÖG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Högvärdeföremål som är lätta att flytta och omsätta. Förfalskade ägarhandlingar förekommer.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Möbler och inredning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LÅG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Generellt lägre värden. Mindre attraktivt för penningtvättändamål, men kan förekomma vid större volymer.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Blandat sortiment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Blandningen av varugrupper försvårar överblick. Enstaka högvärdeföremål kan döljas i större inlämningar.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Kundrelaterade risker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Riskfaktor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Risknivå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Motivering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Privatpersoner (lokal kundkrets)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LÅG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Huvudsakligen lokala säljare från Sundsvallsområdet med enstaka föremål. Låg anonymitetsrisk.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Privatpersoner (ej lokala)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Säljare från andra orter eller som kontaktar bolaget digitalt är svårare att verifiera.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Företag/juridiska personer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Kräver verifiering av verklig huvudman och firmatecknare. Risk för bulvanföretag.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(politiskt exponerade personer)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HÖG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Lagkrav på skärpta åtgärder. Förekommer sällan men ska alltid identifieras.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Frekvent återkommande säljare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MEDEL–HÖG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Mönster med upprepade inlämningar kan indikera yrkesmässig handel eller penningtvätt.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Geografiska risker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Riskfaktor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Risknivå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Motivering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Sundsvall/Västernorrland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LÅG–MEDEL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 marknad med begränsad internationell exponering. Dock finns organiserad brottslighet även regionalt.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Nationell försäljning via Auctionet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plattform möjliggör köpare från hela Sverige. Auctionet hanterar KYC för köpare.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Högriskländer (FATF)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LÅG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Verksamheten har begränsad internationell exponering. Förhöjd vaksamhet krävs vid kopplingar till FATF-listade länder.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Transaktionsrelaterade risker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Riskfaktor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Risknivå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Motivering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Betalningar via Auctionet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LÅG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Alla betalningar går via Auctionets plattform med spårbarhet. Inga kontanter hanteras.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Högvärdetransaktioner (&gt;5 000 EUR)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MEDEL–HÖG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Försäljning av konst, antikviteter och fordon kan uppgå till betydande belopp. Kräver ökad vaksamhet.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Ovanligt transaktionsmönster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Upprepade köp och försäljningar av samma typ av föremål, eller snabb omsättning.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Sammanvägd riskbedömning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Baserat på ovanstående analys bedöms den sammanvägda risknivån för Stadsauktion Sundsvall AB:s verksamhet som MEDEL.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Risken höjs av: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Hantering av konst, antikviteter och fordon (högvärdeföremål)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Blandning av varugrupper som försvårar överblick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Både privatpersoner och företag som säljare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Hämtning hos säljare minskar kontrollmöjligheten vid inlämning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Risken sänks av: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Inga kontantbetalningar – full spårbarhet via Auctionet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Huvudsakligen lokal kundkrets i Sundsvallsområdet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Begränsad internationell exponering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Auctionet hanterar KYC för köparsidan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Relativt måttlig omsättning (ca 10 MSEK)</w:t>
      </w:r>
    </w:p>
    <w:p>
      <w:pPr>
        <w:pStyle w:val="Heading1"/>
      </w:pPr>
      <w:r>
        <w:rPr>
          <w:rFonts w:ascii="Arial" w:cs="Arial" w:eastAsia="Arial" w:hAnsi="Arial"/>
        </w:rPr>
        <w:t xml:space="preserve">5. Åtgärder baserade på riskbedömningen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Följande åtgärder ska vidtas baserat på den sammanvägda riskbedömningen:</w:t>
      </w:r>
    </w:p>
    <w:p>
      <w:pPr>
        <w:pStyle w:val="Heading2"/>
      </w:pPr>
      <w:r>
        <w:rPr>
          <w:rFonts w:ascii="Arial" w:cs="Arial" w:eastAsia="Arial" w:hAnsi="Arial"/>
        </w:rPr>
        <w:t xml:space="preserve">5.1 Grundläggande åtgärder (alla kunder)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Identifiering av alla säljare genom giltig fysisk ID-handling (nationellt ID-kort, körkort eller pass)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Dokumentering av ID-/passnummer i kundens riskprofil i Auctionets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Kontroll av att kunden agerar för egen räkning eller om det finns en företrädare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Löpande övervakning av kundrelationen och transaktionsmönster</w:t>
      </w:r>
    </w:p>
    <w:p>
      <w:pPr>
        <w:pStyle w:val="Heading2"/>
      </w:pPr>
      <w:r>
        <w:rPr>
          <w:rFonts w:ascii="Arial" w:cs="Arial" w:eastAsia="Arial" w:hAnsi="Arial"/>
        </w:rPr>
        <w:t xml:space="preserve">5.2 Skärpta åtgärder (förhöjd risk)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Vid förhöjd risk ska följande tilläggsåtgärder vidtas: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Fördjupad kontroll av säljarens identitet och bakgrund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Verifiering av föremålens ursprung och ägarhistorik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Kontroll mot PEP-register och sanktionslistor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Verifiering av verklig huvudman för juridiska personer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Dokumentering av skälen till affärsrelationen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Godkännande från VD/AML-ansvarig innan affärsrelation inleds</w:t>
      </w:r>
    </w:p>
    <w:p>
      <w:pPr>
        <w:pStyle w:val="Heading2"/>
      </w:pPr>
      <w:r>
        <w:rPr>
          <w:rFonts w:ascii="Arial" w:cs="Arial" w:eastAsia="Arial" w:hAnsi="Arial"/>
        </w:rPr>
        <w:t xml:space="preserve">5.3 Förenklade åtgärder (låg risk)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Vid bedömd låg risk kan förenklade åtgärder tillämpas, men grundläggande identifiering ska alltid ske. Förenklade åtgärder kan innebära: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Mindre frekvent uppdatering av kunduppgifter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Förenklad övervakning av transaktioner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Notera: Förenklade åtgärder får aldrig tillämpas vid misstanke om penningtvätt.</w:t>
      </w:r>
    </w:p>
    <w:p>
      <w:pPr>
        <w:pStyle w:val="Heading1"/>
      </w:pPr>
      <w:r>
        <w:rPr>
          <w:rFonts w:ascii="Arial" w:cs="Arial" w:eastAsia="Arial" w:hAnsi="Arial"/>
        </w:rPr>
        <w:t xml:space="preserve">6. Översyn och uppdatering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Denna riskbedömning ska överses minst en gång per år, eller tidigare vid: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Väsentliga förändringar i verksamheten (nya varugrupper, nya marknader)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Förändringar i regelverk eller tillsynspraxis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Uppmärksammade incidenter eller misstankar om penningtvätt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Förändringar i kundkretsen eller transaktionsmönster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Fastställd av: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Kjell Anders Melin, VD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none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UTKAST – Ska granskas av extern jurist innan beslut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Stadsauktion Sundsvall 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4C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2026-02-13T08:12:18.396Z</dcterms:created>
  <dcterms:modified xsi:type="dcterms:W3CDTF">2026-02-13T08:12:18.396Z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