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4C7E"/>
          <w:sz w:val="48"/>
          <w:szCs w:val="48"/>
        </w:rPr>
        <w:t xml:space="preserve">POLICY OCH RUTINER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FÖR ARBETE MOT PENNINGTVÄTT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OCH FINANSIERING AV TERRORISM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Stadsauktion Sundsvall AB – Org.nr 556942-7379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Dokumentinformation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 (UTKAST)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2025-02-13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Ansvarig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Kjell Anders Melin, VD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Nästa översyn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2026-02-13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Utkast – inväntar juridisk granskning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Inledning och syfte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Detta dokument fastställer Stadsauktion Sundsvall AB:s policy och rutiner för arbete mot penningtvätt och finansiering av terrorism, i enlighet med lag (2017:630) om åtgärder mot penningtvätt och finansiering av terrorism (“penningtvättslagen”).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Policyn omfattar samtliga anställda, uppdragstagare och konsulter som är verksamma i eller åt bolaget. Alla medarbetare är skyldiga att känna till och följa dessa rutiner.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Dokumentet är indelat i följande huvudområden: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Kundkännedom (KYC) – hur kunder identifieras och verifieras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Övervakning och rapportering – hur misstänkta aktiviteter upptäcks och rapporteras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Bevarande av handlingar – hur dokumentation sparas och hanteras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 kontroll – ansvar, roller och regelefterlevnad</w:t>
      </w:r>
    </w:p>
    <w:p>
      <w:pPr>
        <w:pStyle w:val="Heading1"/>
      </w:pPr>
      <w:r>
        <w:rPr>
          <w:rFonts w:ascii="Arial" w:cs="Arial" w:eastAsia="Arial" w:hAnsi="Arial"/>
        </w:rPr>
        <w:t xml:space="preserve">2. Rutiner för kundkännedom (KYC)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Syftet med kundkännedom är att säkerställa att bolaget vet vem kunden är, förstår affärsrelationens syfte och kan upptäcka avvikande beteenden.</w:t>
      </w:r>
    </w:p>
    <w:p>
      <w:pPr>
        <w:pStyle w:val="Heading2"/>
      </w:pPr>
      <w:r>
        <w:rPr>
          <w:rFonts w:ascii="Arial" w:cs="Arial" w:eastAsia="Arial" w:hAnsi="Arial"/>
        </w:rPr>
        <w:t xml:space="preserve">2.1 När ska kundkännedom inhämtas?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Kundkännedom ska inhämtas: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 etablering av ny affärsrelation (första gången en säljare lämnar in föremål)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 enstaka transaktioner som uppgår till minst 5 000 EUR (ca 55 000 SEK) eller motsvarande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 misstanke om penningtvätt eller terroristfinansiering, oavsett belopp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När det finns skäl att ifrågasätta tidigare inhämtad information</w:t>
      </w:r>
    </w:p>
    <w:p>
      <w:pPr>
        <w:pStyle w:val="Heading2"/>
      </w:pPr>
      <w:r>
        <w:rPr>
          <w:rFonts w:ascii="Arial" w:cs="Arial" w:eastAsia="Arial" w:hAnsi="Arial"/>
        </w:rPr>
        <w:t xml:space="preserve">2.2 Identifiering av privatpersoner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Följande uppgifter ska inhämtas och dokumenteras för alla privatpersoner som är säljare: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Fullständigt namn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Personnummer eller födelsedatum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ID-handlingens typ och nummer (nationellt ID-kort, körkort eller pass)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Identiteten ska verifieras genom fysisk kontroll av giltig ID-handling. ID-/passnummer ska dokumenteras i kundens riskprofil i Auctionets Admin-system (Visa detaljer → Uppdatera riskprofil → Kommentarsfält).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Vid hämtning hos säljare ska ID-kontroll ske på plats. Om detta inte är möjligt vid hämtningstillfället ska ID-kontroll ske innan utbetalning genomförs.</w:t>
      </w:r>
    </w:p>
    <w:p>
      <w:pPr>
        <w:pStyle w:val="Heading3"/>
      </w:pPr>
      <w:r>
        <w:rPr>
          <w:rFonts w:ascii="Arial" w:cs="Arial" w:eastAsia="Arial" w:hAnsi="Arial"/>
        </w:rPr>
        <w:t xml:space="preserve">2.2.1 Dokumentationsmetod – två nivåer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Bolaget tillämpar manuell notering av ID-uppgifter som standardmetod. Scanning av ID-handlingar används inte. För att balansera effektivitet, bevissäkring och dataminimering (artikel 5.1c GDPR) tillämpas två dokumentationsnivåer: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Nivå 1 – Standardrutin (grundläggande åtgärder, låg–medel risk):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Fysisk kontroll av giltig ID-handling (visuell inspektion)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Manuell notering av: handlingstyp, ID-/passnummer, utgivningsland och giltighetsdatum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Notering av vem som utförde kontrollen och datum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Uppgifterna förs in i kundens riskprofil i Auctionets Admin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Nivå 2 – Förstärkt rutin (skärpta åtgärder, förhöjd risk):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Utöver nivå 1 ska ID-handlingen även fotograferas med mobiltelefon när någon av följande omständigheter föreligger: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Föremål med uppskattat värde över 55 000 SEK (ca 5 000 EUR)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Konst, antikviteter eller fordon där ursprunget är osäkert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Säljaren är PEP eller har koppling till PEP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Säljaren är ny och ej lokal (ej Sundsvallsområdet)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Något i situationen upplevs som avvikande eller olämpligt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Hantering av fotograferade ID-handlingar (GDPR):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Behandlingen sker med stöd av rättslig förpliktelse (artikel 6.1c GDPR, penningtvättslagen)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Fotot ska överföras från mobiltelefonen till bolagets säkerhetskopierade system samma dag och raderas från telefonen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Åtkomst till lagrade ID-foton begränsas till VD/AML-ansvarig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Foton bevaras i högst fem år från avslutad affärsrelation och raderas därefter</w:t>
      </w:r>
    </w:p>
    <w:p>
      <w:pPr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Säljaren ska informeras om att ID-handlingen fotograferas och syftet med behandlingen</w:t>
      </w:r>
    </w:p>
    <w:p>
      <w:pPr>
        <w:pStyle w:val="Heading2"/>
      </w:pPr>
      <w:r>
        <w:rPr>
          <w:rFonts w:ascii="Arial" w:cs="Arial" w:eastAsia="Arial" w:hAnsi="Arial"/>
        </w:rPr>
        <w:t xml:space="preserve">2.3 Identifiering av juridiska personer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För säljare som är företag eller juridiska personer ska följande inhämtas: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Företagsnamn och organisationsnummer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Registreringsbevis (ej äldre än 3 månader)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Uppgifter om firmatecknare och verklig huvudman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Identifiering av den fysiska person som företräder företaget (giltig ID-handling)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Fullmakt om annan person än firmatecknare företräder företaget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Verklig huvudman ska kontrolleras via Bolagsverkets register.</w:t>
      </w:r>
    </w:p>
    <w:p>
      <w:pPr>
        <w:pStyle w:val="Heading2"/>
      </w:pPr>
      <w:r>
        <w:rPr>
          <w:rFonts w:ascii="Arial" w:cs="Arial" w:eastAsia="Arial" w:hAnsi="Arial"/>
        </w:rPr>
        <w:t xml:space="preserve">2.4 Politiskt exponerade personer (PEP)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Bolaget ska kontrollera om säljaren är en politiskt exponerad person (PEP), familjemedlem till PEP eller känd medarbetare till PEP. Vid identifiering av PEP ska: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Skärpta åtgärder för kundkännedom tillämpas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VD/AML-ansvarig godkänna affärsrelationen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Ursprunget till de föremål som ska säljas dokumenteras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Förstärkt löpande uppföljning ske</w:t>
      </w:r>
    </w:p>
    <w:p>
      <w:pPr>
        <w:pStyle w:val="Heading2"/>
      </w:pPr>
      <w:r>
        <w:rPr>
          <w:rFonts w:ascii="Arial" w:cs="Arial" w:eastAsia="Arial" w:hAnsi="Arial"/>
        </w:rPr>
        <w:t xml:space="preserve">2.5 Bedömning av affärsrelationens syfte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Vid etablering av affärsrelation ska bolaget bilda sig en uppfattning om: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Varför kunden vill sälja via auktion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Föremålens ursprung (arv, eget inköp, företagsavveckling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Om transaktionen framstår som rimlig i förhållande till kundens profil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Uppgifterna ska dokumenteras i kundens riskprofil.</w:t>
      </w:r>
    </w:p>
    <w:p>
      <w:pPr>
        <w:pStyle w:val="Heading2"/>
      </w:pPr>
      <w:r>
        <w:rPr>
          <w:rFonts w:ascii="Arial" w:cs="Arial" w:eastAsia="Arial" w:hAnsi="Arial"/>
        </w:rPr>
        <w:t xml:space="preserve">2.6 Löpande uppföljning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Befintliga kundrelationer ska följas upp löpande. Detta innebär: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 kunduppgifter hålls aktuella och uppdateras vid förändring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 transaktioner övervakas för avvikelser från förväntat mönster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 riskprofilen omprövas vid förändrade omständigheter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Övervakning och rapportering</w:t>
      </w:r>
    </w:p>
    <w:p>
      <w:pPr>
        <w:pStyle w:val="Heading2"/>
      </w:pPr>
      <w:r>
        <w:rPr>
          <w:rFonts w:ascii="Arial" w:cs="Arial" w:eastAsia="Arial" w:hAnsi="Arial"/>
        </w:rPr>
        <w:t xml:space="preserve">3.1 Övervakning av transaktioner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Bolaget ska löpande övervaka kundrelationer och transaktioner för att upptäcka avvikelser. Särskild uppmärksamhet ska ägnas åt: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Ovanligt stora eller frekventa inlämningar från samma säljare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Föremål vars värde inte överensstämmer med säljarens profil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Säljare som uppvisar nervösitet, brådska eller ovilja att legitimera sig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Frekventa ändringar av kunduppgifter (adress, telefonnummer, bankuppgifter)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Inkonsekvenser mellan registrerad adress och IP-adress (identifieras av Auctionet)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Föremål som misstänks vara stulna eller förfalskade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Säljare som agerar åt annan person utan tydlig förklaring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Handel inom varugrupper som bedömts som högrisk i den allmänna riskbedömningen</w:t>
      </w:r>
    </w:p>
    <w:p>
      <w:pPr>
        <w:pStyle w:val="Heading2"/>
      </w:pPr>
      <w:r>
        <w:rPr>
          <w:rFonts w:ascii="Arial" w:cs="Arial" w:eastAsia="Arial" w:hAnsi="Arial"/>
        </w:rPr>
        <w:t xml:space="preserve">3.2 Rapportering till Finanspolisen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Vid misstanke om penningtvätt eller terroristfinansiering gäller följande: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Steg 1: Intern anmälan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Medarbetaren som fattar misstanke rapporterar omedelbart till VD/AML-ansvarig (Kjell Anders Melin)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Misstanken dokumenteras skriftligt med datum, berörd kund, relevanta omständigheter och observationer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Steg 2: Rapportering till Auctionet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Misstanken rapporteras till KYC@auctionet.com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Auctionets AML Compliance Officer ansvarar för vidare rapportering till Finanspolisen via goAML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Steg 3: Eventuell egen rapportering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Bolaget har även möjlighet att självt rapportera direkt till Finanspolisen via goAML (fipogoaml.polisen.se)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 osäkerhet om rapporteringsplikt ska rapportering ändå ske – tröskeln är låg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Viktigt: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Rapportering ska ske vid minsta misstanke – det krävs inte bevis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Den berörda kunden får ALDRIG informeras om att misstanke eller rapportering föreligger (meddlandeförbud)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Ärendet får inte diskuteras med någon utanför den interna rapporteringskretsen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Transaktionen ska om möjligt avvakta tills Finanspolisen tagit ställning</w:t>
      </w:r>
    </w:p>
    <w:p>
      <w:pPr>
        <w:pStyle w:val="Heading2"/>
      </w:pPr>
      <w:r>
        <w:rPr>
          <w:rFonts w:ascii="Arial" w:cs="Arial" w:eastAsia="Arial" w:hAnsi="Arial"/>
        </w:rPr>
        <w:t xml:space="preserve">3.3 Dokumentation av misstankar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dokumentation kopplad till misstankar ska: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Sparas separat från övrig kunddokumentation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Innehålla datum, ansvarig handläggare, berörd kund, beskrivning av misstanken och vidtagna åtgärder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Bevaras i minst 5 år (Auctionet sparar i upp till 10 år)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Bevarande av handlingar och personuppgifter</w:t>
      </w:r>
    </w:p>
    <w:p>
      <w:pPr>
        <w:pStyle w:val="Heading2"/>
      </w:pPr>
      <w:r>
        <w:rPr>
          <w:rFonts w:ascii="Arial" w:cs="Arial" w:eastAsia="Arial" w:hAnsi="Arial"/>
        </w:rPr>
        <w:t xml:space="preserve">4.1 Dokumentation som ska bevaras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Följande dokumentation ska bevaras: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Kopior eller uppgifter från ID-handlingar (typ, nummer, utgivningsland)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Kunduppgifter: namn, adress, personnummer/organisationsnummer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Riskprofiler och riskbedömningar för enskilda kunder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Transaktionsuppgifter (föremål, värde, datum)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Dokumentation av vidtagna åtgärder för kundkännedom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Rapporter och misstankeärenden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Utbildningsdokumentation</w:t>
      </w:r>
    </w:p>
    <w:p>
      <w:pPr>
        <w:pStyle w:val="Heading2"/>
      </w:pPr>
      <w:r>
        <w:rPr>
          <w:rFonts w:ascii="Arial" w:cs="Arial" w:eastAsia="Arial" w:hAnsi="Arial"/>
        </w:rPr>
        <w:t xml:space="preserve">4.2 Bevarandetid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Handlingar ska bevaras i minst fem år från det att affärsrelationen upphörde eller transaktionen genomfördes, i enlighet med 5 kap. 3 § penningtvättslagen.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Dokumentation kopplad till misstankerapporteringar kan behöva bevaras längre (Auctionet sparar i upp till 10 år).</w:t>
      </w:r>
    </w:p>
    <w:p>
      <w:pPr>
        <w:pStyle w:val="Heading2"/>
      </w:pPr>
      <w:r>
        <w:rPr>
          <w:rFonts w:ascii="Arial" w:cs="Arial" w:eastAsia="Arial" w:hAnsi="Arial"/>
        </w:rPr>
        <w:t xml:space="preserve">4.3 Personuppgifter och GDPR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Behandlingen av personuppgifter inom ramen för penningtvättsarbetet sker med stöd av rättslig förpliktelse (artikel 6.1c GDPR). Bolaget ska: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Informera kunder om att personuppgifter behandlas för penningtvättsändamål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 använda uppgifterna för andra ändamål än penningtvättsarbete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Säkerställa att uppgifterna förvaras säkert med begränsad åtkomst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Radera uppgifterna när bevarandetiden löpt ut</w:t>
      </w:r>
    </w:p>
    <w:p>
      <w:pPr>
        <w:pStyle w:val="Heading2"/>
      </w:pPr>
      <w:r>
        <w:rPr>
          <w:rFonts w:ascii="Arial" w:cs="Arial" w:eastAsia="Arial" w:hAnsi="Arial"/>
        </w:rPr>
        <w:t xml:space="preserve">4.4 Förvaring och säkerhet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Dokumentation ska förvaras på följande sätt: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Digitala handlingar: i Auctionets Admin-system samt i bolagets egna säkerhetskopierade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Fysiska handlingar (om några): i låst utrymme med begränsad åtkomst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Åtkomst till AML-dokumentation begränsas till VD/AML-ansvarig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Intern kontroll och regelefterlevnad</w:t>
      </w:r>
    </w:p>
    <w:p>
      <w:pPr>
        <w:pStyle w:val="Heading2"/>
      </w:pPr>
      <w:r>
        <w:rPr>
          <w:rFonts w:ascii="Arial" w:cs="Arial" w:eastAsia="Arial" w:hAnsi="Arial"/>
        </w:rPr>
        <w:t xml:space="preserve">5.1 Organisation och ansvar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Ansvar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VD / AML-ansvarig
(Kjell Anders Melin)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Yttersta ansvaret för regelefterlevnad. Godkänner högrisk-kundrelationer. Mottar interna misstankerapporter. Ansvarar för kontakt med Finanspolisen och Auctionet. Ansvarar för att rutiner hålls uppdaterade.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Inskrivare / mottagningspersonal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Genomför ID-kontroll vid inlämning. Dokumenterar kunduppgifter i Admin. Rapporterar misstankar till VD/AML-ansvarig.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Transportpersonal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Genomför ID-kontroll vid hämtning hos säljare när möjligt. Rapporterar avvikande observationer till VD/AML-ansvarig.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Extra inskrivare (uppdragstagare)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Omfattas av samma rutiner som anställd personal. Ska genomgå utbildning innan arbete påbörjas.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Övrig personal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Ska känna till rutinerna och rapportera eventuella misstankar till VD/AML-ansvarig.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Kontroll av rutinernas efterlevnad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VD/AML-ansvarig ska löpande kontrollera att rutinerna följs, genom att: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Stickprovsvis granska att ID-kontroll utförts och dokumenterats för nya säljare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Följa upp att riskprofiler är ifyllda och aktuella i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Minst årligen genomföra en intern översyn av AML-arbetet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Dokumentera genomförda kontroller och eventuella brister</w:t>
      </w:r>
    </w:p>
    <w:p>
      <w:pPr>
        <w:pStyle w:val="Heading2"/>
      </w:pPr>
      <w:r>
        <w:rPr>
          <w:rFonts w:ascii="Arial" w:cs="Arial" w:eastAsia="Arial" w:hAnsi="Arial"/>
        </w:rPr>
        <w:t xml:space="preserve">5.3 Uppdatering av rutiner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Rutinerna ska ses över och vid behov uppdateras: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Minst en gång per år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 förändringar i lag eller föreskrifter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 förändringar i Auctionets krav eller riktlinjer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 incidenter eller rapporterade misstankar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 väsentliga förändringar i verksamheten</w:t>
      </w:r>
    </w:p>
    <w:p>
      <w:pPr>
        <w:pStyle w:val="Heading2"/>
      </w:pPr>
      <w:r>
        <w:rPr>
          <w:rFonts w:ascii="Arial" w:cs="Arial" w:eastAsia="Arial" w:hAnsi="Arial"/>
        </w:rPr>
        <w:t xml:space="preserve">5.4 Oberoende granskning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Då bolaget har färre än 20 anställda och omsätter under 50 MSEK är kravet på oberoende granskningsfunktion begränsat. Bolaget bör dock överväga att låta extern jurist eller revisor granska AML-arbetet periodiskt.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Lagstöd och referenser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Denna policy bygger på följande regelverk: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Lag (2017:630) om åtgärder mot penningtvätt och finansiering av terrorism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Förordning (2009:92) om åtgärder mot penningtvätt och finansiering av terrorism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Länsstyrelsens föreskrifter och allmänna råd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Europaparlamentets och rådets direktiv (EU) 2015/849 (fjärde penningtvättsdirektivet)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Auctionets riktlinjer för anslutna auktionshus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Dataskyddsförordningen (GDPR)</w:t>
      </w:r>
    </w:p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Fastställd av:</w:t>
            </w:r>
          </w:p>
          <w:p>
            <w:pPr>
              <w:spacing w:before="600"/>
            </w:pPr>
          </w:p>
          <w:p>
            <w:pPr>
              <w:pBdr>
                <w:bottom w:val="single" w:color="000000" w:sz="1"/>
              </w:pBdr>
            </w:pP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Kjell Anders Melin, VD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Datum:</w:t>
            </w:r>
          </w:p>
          <w:p>
            <w:pPr>
              <w:spacing w:before="600"/>
            </w:pPr>
          </w:p>
          <w:p>
            <w:pPr>
              <w:pBdr>
                <w:bottom w:val="single" w:color="000000" w:sz="1"/>
              </w:pBdr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UTKAST – Ska granskas av extern jurist innan beslut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Stadsauktion Sundsvall AB – AML-policy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4C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4C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60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2026-02-13T08:14:47.046Z</dcterms:created>
  <dcterms:modified xsi:type="dcterms:W3CDTF">2026-02-13T08:14:47.046Z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