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B4C7E"/>
          <w:sz w:val="48"/>
          <w:szCs w:val="48"/>
        </w:rPr>
        <w:t xml:space="preserve">VISSELBLÅSARPOLICY</w:t>
      </w:r>
    </w:p>
    <w:p>
      <w:pPr>
        <w:jc w:val="center"/>
      </w:pPr>
      <w:r>
        <w:rPr>
          <w:rFonts w:ascii="Arial" w:cs="Arial" w:eastAsia="Arial" w:hAnsi="Arial"/>
          <w:sz w:val="22"/>
          <w:szCs w:val="22"/>
        </w:rPr>
        <w:t xml:space="preserve">Stadsauktion Sundsvall AB – Org.nr 556942-7379</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Dokumentinformation</w:t>
            </w:r>
          </w:p>
        </w:tc>
        <w:tc>
          <w:tcPr>
            <w:tcW w:type="dxa" w:w="250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i w:val="false"/>
                <w:iCs w:val="false"/>
                <w:sz w:val="20"/>
                <w:szCs w:val="20"/>
              </w:rPr>
              <w:t xml:space="preserve">Version</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 (UTKAST)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i w:val="false"/>
                <w:iCs w:val="false"/>
                <w:sz w:val="20"/>
                <w:szCs w:val="20"/>
              </w:rPr>
              <w:t xml:space="preserve">Datum</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2025-02-13</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i w:val="false"/>
                <w:iCs w:val="false"/>
                <w:sz w:val="20"/>
                <w:szCs w:val="20"/>
              </w:rPr>
              <w:t xml:space="preserve">Ansvarig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Kjell Anders Melin, VD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i/>
                <w:iCs/>
                <w:sz w:val="20"/>
                <w:szCs w:val="20"/>
              </w:rPr>
              <w:t xml:space="preserve">Utkast</w:t>
            </w:r>
          </w:p>
        </w:tc>
      </w:tr>
    </w:tbl>
    <w:p>
      <w:r>
        <w:br w:type="page"/>
      </w:r>
    </w:p>
    <w:p>
      <w:pPr>
        <w:pStyle w:val="Heading1"/>
      </w:pPr>
      <w:r>
        <w:rPr>
          <w:rFonts w:ascii="Arial" w:cs="Arial" w:eastAsia="Arial" w:hAnsi="Arial"/>
        </w:rPr>
        <w:t xml:space="preserve">1. Syfte och bakgrund</w:t>
      </w:r>
    </w:p>
    <w:p>
      <w:pPr>
        <w:spacing w:before="120" w:after="120"/>
      </w:pPr>
      <w:r>
        <w:rPr>
          <w:rFonts w:ascii="Arial" w:cs="Arial" w:eastAsia="Arial" w:hAnsi="Arial"/>
          <w:b w:val="false"/>
          <w:bCs w:val="false"/>
          <w:i w:val="false"/>
          <w:iCs w:val="false"/>
          <w:sz w:val="22"/>
          <w:szCs w:val="22"/>
        </w:rPr>
        <w:t xml:space="preserve">Denna policy fastställer rutiner för intern rapportering av missförhållanden (visselblåsning) vid Stadsauktion Sundsvall AB. Policyn är upprättad i enlighet med penningtvättslagens krav på lämpliga rutiner för visselblåsning (2 kap. 15 §).</w:t>
      </w:r>
    </w:p>
    <w:p>
      <w:pPr>
        <w:spacing w:before="120" w:after="120"/>
      </w:pPr>
      <w:r>
        <w:rPr>
          <w:rFonts w:ascii="Arial" w:cs="Arial" w:eastAsia="Arial" w:hAnsi="Arial"/>
          <w:b w:val="false"/>
          <w:bCs w:val="false"/>
          <w:i w:val="false"/>
          <w:iCs w:val="false"/>
          <w:sz w:val="22"/>
          <w:szCs w:val="22"/>
        </w:rPr>
        <w:t xml:space="preserve">Notera: Lag (2021:890) om skydd för personer som rapporterar om missförhållanden (“visselblåsarlagen”) ställer krav på interna rapporteringskanaler för företag med 50 eller fler anställda. Stadsauktion Sundsvall AB har färre än 50 anställda och omfattas därför inte av dessa krav, men inför ändå denna policy som god praxis och för att uppfylla penningtvättslagens krav.</w:t>
      </w:r>
    </w:p>
    <w:p>
      <w:pPr>
        <w:pStyle w:val="Heading1"/>
      </w:pPr>
      <w:r>
        <w:rPr>
          <w:rFonts w:ascii="Arial" w:cs="Arial" w:eastAsia="Arial" w:hAnsi="Arial"/>
        </w:rPr>
        <w:t xml:space="preserve">2. Vad kan rapporteras?</w:t>
      </w:r>
    </w:p>
    <w:p>
      <w:pPr>
        <w:spacing w:before="120" w:after="120"/>
      </w:pPr>
      <w:r>
        <w:rPr>
          <w:rFonts w:ascii="Arial" w:cs="Arial" w:eastAsia="Arial" w:hAnsi="Arial"/>
          <w:b w:val="false"/>
          <w:bCs w:val="false"/>
          <w:i w:val="false"/>
          <w:iCs w:val="false"/>
          <w:sz w:val="22"/>
          <w:szCs w:val="22"/>
        </w:rPr>
        <w:t xml:space="preserve">Följande kan rapporteras genom visselblåsarfunktionen:</w:t>
      </w:r>
    </w:p>
    <w:p>
      <w:pPr>
        <w:pStyle w:val="ListParagraph"/>
        <w:numPr>
          <w:ilvl w:val="0"/>
          <w:numId w:val="2"/>
        </w:numPr>
      </w:pPr>
      <w:r>
        <w:rPr>
          <w:rFonts w:ascii="Arial" w:cs="Arial" w:eastAsia="Arial" w:hAnsi="Arial"/>
          <w:sz w:val="22"/>
          <w:szCs w:val="22"/>
        </w:rPr>
        <w:t xml:space="preserve">Misstanke om penningtvätt eller terroristfinansiering</w:t>
      </w:r>
    </w:p>
    <w:p>
      <w:pPr>
        <w:pStyle w:val="ListParagraph"/>
        <w:numPr>
          <w:ilvl w:val="0"/>
          <w:numId w:val="2"/>
        </w:numPr>
      </w:pPr>
      <w:r>
        <w:rPr>
          <w:rFonts w:ascii="Arial" w:cs="Arial" w:eastAsia="Arial" w:hAnsi="Arial"/>
          <w:sz w:val="22"/>
          <w:szCs w:val="22"/>
        </w:rPr>
        <w:t xml:space="preserve">Misstanke om brott mot penningtvättslagen eller bolagets AML-rutiner</w:t>
      </w:r>
    </w:p>
    <w:p>
      <w:pPr>
        <w:pStyle w:val="ListParagraph"/>
        <w:numPr>
          <w:ilvl w:val="0"/>
          <w:numId w:val="2"/>
        </w:numPr>
      </w:pPr>
      <w:r>
        <w:rPr>
          <w:rFonts w:ascii="Arial" w:cs="Arial" w:eastAsia="Arial" w:hAnsi="Arial"/>
          <w:sz w:val="22"/>
          <w:szCs w:val="22"/>
        </w:rPr>
        <w:t xml:space="preserve">Överträdelser av interna riktlinjer kopplade till AML-arbetet</w:t>
      </w:r>
    </w:p>
    <w:p>
      <w:pPr>
        <w:pStyle w:val="ListParagraph"/>
        <w:numPr>
          <w:ilvl w:val="0"/>
          <w:numId w:val="2"/>
        </w:numPr>
      </w:pPr>
      <w:r>
        <w:rPr>
          <w:rFonts w:ascii="Arial" w:cs="Arial" w:eastAsia="Arial" w:hAnsi="Arial"/>
          <w:sz w:val="22"/>
          <w:szCs w:val="22"/>
        </w:rPr>
        <w:t xml:space="preserve">Missförhållanden som rör bristande efterlevnad av lagar kopplade till verksamheten</w:t>
      </w:r>
    </w:p>
    <w:p>
      <w:pPr>
        <w:pStyle w:val="Heading1"/>
      </w:pPr>
      <w:r>
        <w:rPr>
          <w:rFonts w:ascii="Arial" w:cs="Arial" w:eastAsia="Arial" w:hAnsi="Arial"/>
        </w:rPr>
        <w:t xml:space="preserve">3. Hur rapporterar man?</w:t>
      </w:r>
    </w:p>
    <w:p>
      <w:pPr>
        <w:pStyle w:val="Heading2"/>
      </w:pPr>
      <w:r>
        <w:rPr>
          <w:rFonts w:ascii="Arial" w:cs="Arial" w:eastAsia="Arial" w:hAnsi="Arial"/>
        </w:rPr>
        <w:t xml:space="preserve">3.1 Rapporteringskanaler</w:t>
      </w:r>
    </w:p>
    <w:p>
      <w:pPr>
        <w:spacing w:before="120" w:after="120"/>
      </w:pPr>
      <w:r>
        <w:rPr>
          <w:rFonts w:ascii="Arial" w:cs="Arial" w:eastAsia="Arial" w:hAnsi="Arial"/>
          <w:b w:val="false"/>
          <w:bCs w:val="false"/>
          <w:i w:val="false"/>
          <w:iCs w:val="false"/>
          <w:sz w:val="22"/>
          <w:szCs w:val="22"/>
        </w:rPr>
        <w:t xml:space="preserve">Rapportering kan ske på följande sätt:</w:t>
      </w:r>
    </w:p>
    <w:p>
      <w:pPr>
        <w:pStyle w:val="ListParagraph"/>
        <w:numPr>
          <w:ilvl w:val="0"/>
          <w:numId w:val="2"/>
        </w:numPr>
      </w:pPr>
      <w:r>
        <w:rPr>
          <w:rFonts w:ascii="Arial" w:cs="Arial" w:eastAsia="Arial" w:hAnsi="Arial"/>
          <w:sz w:val="22"/>
          <w:szCs w:val="22"/>
        </w:rPr>
        <w:t xml:space="preserve">Muntligt eller skriftligt direkt till VD/AML-ansvarig Kjell Anders Melin</w:t>
      </w:r>
    </w:p>
    <w:p>
      <w:pPr>
        <w:pStyle w:val="ListParagraph"/>
        <w:numPr>
          <w:ilvl w:val="0"/>
          <w:numId w:val="2"/>
        </w:numPr>
      </w:pPr>
      <w:r>
        <w:rPr>
          <w:rFonts w:ascii="Arial" w:cs="Arial" w:eastAsia="Arial" w:hAnsi="Arial"/>
          <w:sz w:val="22"/>
          <w:szCs w:val="22"/>
        </w:rPr>
        <w:t xml:space="preserve">Via e-post till en dedikerad e-postadress: [att fastställas, exempelvis visselblasare@stadsauktionsundsvall.se]</w:t>
      </w:r>
    </w:p>
    <w:p>
      <w:pPr>
        <w:pStyle w:val="ListParagraph"/>
        <w:numPr>
          <w:ilvl w:val="0"/>
          <w:numId w:val="2"/>
        </w:numPr>
      </w:pPr>
      <w:r>
        <w:rPr>
          <w:rFonts w:ascii="Arial" w:cs="Arial" w:eastAsia="Arial" w:hAnsi="Arial"/>
          <w:sz w:val="22"/>
          <w:szCs w:val="22"/>
        </w:rPr>
        <w:t xml:space="preserve">Anonymt genom skriftligt meddelande i förseglat kuvert märkt “Visselblåsare” riktat till VD</w:t>
      </w:r>
    </w:p>
    <w:p>
      <w:pPr>
        <w:pStyle w:val="Heading2"/>
      </w:pPr>
      <w:r>
        <w:rPr>
          <w:rFonts w:ascii="Arial" w:cs="Arial" w:eastAsia="Arial" w:hAnsi="Arial"/>
        </w:rPr>
        <w:t xml:space="preserve">3.2 Extern rapportering</w:t>
      </w:r>
    </w:p>
    <w:p>
      <w:pPr>
        <w:spacing w:before="120" w:after="120"/>
      </w:pPr>
      <w:r>
        <w:rPr>
          <w:rFonts w:ascii="Arial" w:cs="Arial" w:eastAsia="Arial" w:hAnsi="Arial"/>
          <w:b w:val="false"/>
          <w:bCs w:val="false"/>
          <w:i w:val="false"/>
          <w:iCs w:val="false"/>
          <w:sz w:val="22"/>
          <w:szCs w:val="22"/>
        </w:rPr>
        <w:t xml:space="preserve">Den som rapporterar har även möjlighet att vända sig direkt till:</w:t>
      </w:r>
    </w:p>
    <w:p>
      <w:pPr>
        <w:pStyle w:val="ListParagraph"/>
        <w:numPr>
          <w:ilvl w:val="0"/>
          <w:numId w:val="2"/>
        </w:numPr>
      </w:pPr>
      <w:r>
        <w:rPr>
          <w:rFonts w:ascii="Arial" w:cs="Arial" w:eastAsia="Arial" w:hAnsi="Arial"/>
          <w:sz w:val="22"/>
          <w:szCs w:val="22"/>
        </w:rPr>
        <w:t xml:space="preserve">Länsstyrelsen (tillsynsmyndighet för auktionshus)</w:t>
      </w:r>
    </w:p>
    <w:p>
      <w:pPr>
        <w:pStyle w:val="ListParagraph"/>
        <w:numPr>
          <w:ilvl w:val="0"/>
          <w:numId w:val="2"/>
        </w:numPr>
      </w:pPr>
      <w:r>
        <w:rPr>
          <w:rFonts w:ascii="Arial" w:cs="Arial" w:eastAsia="Arial" w:hAnsi="Arial"/>
          <w:sz w:val="22"/>
          <w:szCs w:val="22"/>
        </w:rPr>
        <w:t xml:space="preserve">Finanspolisen (vid misstanke om penningtvätt eller terroristfinansiering)</w:t>
      </w:r>
    </w:p>
    <w:p>
      <w:pPr>
        <w:pStyle w:val="ListParagraph"/>
        <w:numPr>
          <w:ilvl w:val="0"/>
          <w:numId w:val="2"/>
        </w:numPr>
      </w:pPr>
      <w:r>
        <w:rPr>
          <w:rFonts w:ascii="Arial" w:cs="Arial" w:eastAsia="Arial" w:hAnsi="Arial"/>
          <w:sz w:val="22"/>
          <w:szCs w:val="22"/>
        </w:rPr>
        <w:t xml:space="preserve">Polisen (vid misstanke om brott)</w:t>
      </w:r>
    </w:p>
    <w:p>
      <w:pPr>
        <w:pStyle w:val="Heading1"/>
      </w:pPr>
      <w:r>
        <w:rPr>
          <w:rFonts w:ascii="Arial" w:cs="Arial" w:eastAsia="Arial" w:hAnsi="Arial"/>
        </w:rPr>
        <w:t xml:space="preserve">4. Hantering av rapporter</w:t>
      </w:r>
    </w:p>
    <w:p>
      <w:pPr>
        <w:pStyle w:val="ListParagraph"/>
        <w:numPr>
          <w:ilvl w:val="0"/>
          <w:numId w:val="2"/>
        </w:numPr>
      </w:pPr>
      <w:r>
        <w:rPr>
          <w:rFonts w:ascii="Arial" w:cs="Arial" w:eastAsia="Arial" w:hAnsi="Arial"/>
          <w:sz w:val="22"/>
          <w:szCs w:val="22"/>
        </w:rPr>
        <w:t xml:space="preserve">Alla rapporter behandlas konfidentiellt</w:t>
      </w:r>
    </w:p>
    <w:p>
      <w:pPr>
        <w:pStyle w:val="ListParagraph"/>
        <w:numPr>
          <w:ilvl w:val="0"/>
          <w:numId w:val="2"/>
        </w:numPr>
      </w:pPr>
      <w:r>
        <w:rPr>
          <w:rFonts w:ascii="Arial" w:cs="Arial" w:eastAsia="Arial" w:hAnsi="Arial"/>
          <w:sz w:val="22"/>
          <w:szCs w:val="22"/>
        </w:rPr>
        <w:t xml:space="preserve">VD/AML-ansvarig tar emot och utreder rapporter</w:t>
      </w:r>
    </w:p>
    <w:p>
      <w:pPr>
        <w:pStyle w:val="ListParagraph"/>
        <w:numPr>
          <w:ilvl w:val="0"/>
          <w:numId w:val="2"/>
        </w:numPr>
      </w:pPr>
      <w:r>
        <w:rPr>
          <w:rFonts w:ascii="Arial" w:cs="Arial" w:eastAsia="Arial" w:hAnsi="Arial"/>
          <w:sz w:val="22"/>
          <w:szCs w:val="22"/>
        </w:rPr>
        <w:t xml:space="preserve">Utredning ska inledas utan dröjsmål</w:t>
      </w:r>
    </w:p>
    <w:p>
      <w:pPr>
        <w:pStyle w:val="ListParagraph"/>
        <w:numPr>
          <w:ilvl w:val="0"/>
          <w:numId w:val="2"/>
        </w:numPr>
      </w:pPr>
      <w:r>
        <w:rPr>
          <w:rFonts w:ascii="Arial" w:cs="Arial" w:eastAsia="Arial" w:hAnsi="Arial"/>
          <w:sz w:val="22"/>
          <w:szCs w:val="22"/>
        </w:rPr>
        <w:t xml:space="preserve">Den som rapporterar ska få återkoppling om att rapporten mottagits och om eventuella åtgärder</w:t>
      </w:r>
    </w:p>
    <w:p>
      <w:pPr>
        <w:pStyle w:val="ListParagraph"/>
        <w:numPr>
          <w:ilvl w:val="0"/>
          <w:numId w:val="2"/>
        </w:numPr>
      </w:pPr>
      <w:r>
        <w:rPr>
          <w:rFonts w:ascii="Arial" w:cs="Arial" w:eastAsia="Arial" w:hAnsi="Arial"/>
          <w:sz w:val="22"/>
          <w:szCs w:val="22"/>
        </w:rPr>
        <w:t xml:space="preserve">Dokumentation av rapporter och utredningar sparas i minst 5 år</w:t>
      </w:r>
    </w:p>
    <w:p>
      <w:pPr>
        <w:pStyle w:val="Heading1"/>
      </w:pPr>
      <w:r>
        <w:rPr>
          <w:rFonts w:ascii="Arial" w:cs="Arial" w:eastAsia="Arial" w:hAnsi="Arial"/>
        </w:rPr>
        <w:t xml:space="preserve">5. Skydd för rapporterören</w:t>
      </w:r>
    </w:p>
    <w:p>
      <w:pPr>
        <w:spacing w:before="120" w:after="120"/>
      </w:pPr>
      <w:r>
        <w:rPr>
          <w:rFonts w:ascii="Arial" w:cs="Arial" w:eastAsia="Arial" w:hAnsi="Arial"/>
          <w:b w:val="false"/>
          <w:bCs w:val="false"/>
          <w:i w:val="false"/>
          <w:iCs w:val="false"/>
          <w:sz w:val="22"/>
          <w:szCs w:val="22"/>
        </w:rPr>
        <w:t xml:space="preserve">Den som i god tro rapporterar ett missförhållande ska inte drabbas av några negativa konsekvenser. Se dokumentet “Rutiner för skydd mot hot, hämnd och fientliga åtgärder” för detaljer.</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120" w:after="120"/>
            </w:pPr>
            <w:r>
              <w:rPr>
                <w:rFonts w:ascii="Arial" w:cs="Arial" w:eastAsia="Arial" w:hAnsi="Arial"/>
                <w:b/>
                <w:bCs/>
                <w:i w:val="false"/>
                <w:iCs w:val="false"/>
                <w:sz w:val="22"/>
                <w:szCs w:val="22"/>
              </w:rPr>
              <w:t xml:space="preserve">Fastställd av:</w:t>
            </w:r>
          </w:p>
          <w:p>
            <w:pPr>
              <w:spacing w:before="600"/>
            </w:pPr>
          </w:p>
          <w:p>
            <w:pPr>
              <w:pBdr>
                <w:bottom w:val="single" w:color="000000" w:sz="1"/>
              </w:pBdr>
            </w:pPr>
          </w:p>
          <w:p>
            <w:pPr>
              <w:spacing w:before="120" w:after="120"/>
            </w:pPr>
            <w:r>
              <w:rPr>
                <w:rFonts w:ascii="Arial" w:cs="Arial" w:eastAsia="Arial" w:hAnsi="Arial"/>
                <w:b w:val="false"/>
                <w:bCs w:val="false"/>
                <w:i w:val="false"/>
                <w:iCs w:val="false"/>
                <w:sz w:val="22"/>
                <w:szCs w:val="22"/>
              </w:rPr>
              <w:t xml:space="preserve">Kjell Anders Melin, VD</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120" w:after="120"/>
            </w:pPr>
            <w:r>
              <w:rPr>
                <w:rFonts w:ascii="Arial" w:cs="Arial" w:eastAsia="Arial" w:hAnsi="Arial"/>
                <w:b/>
                <w:bCs/>
                <w:i w:val="false"/>
                <w:iCs w:val="false"/>
                <w:sz w:val="22"/>
                <w:szCs w:val="22"/>
              </w:rPr>
              <w:t xml:space="preserve">Datum:</w:t>
            </w:r>
          </w:p>
          <w:p>
            <w:pPr>
              <w:spacing w:before="600"/>
            </w:pPr>
          </w:p>
          <w:p>
            <w:pPr>
              <w:pBdr>
                <w:bottom w:val="single" w:color="000000" w:sz="1"/>
              </w:pBdr>
            </w:pP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6"/>
        <w:szCs w:val="16"/>
      </w:rPr>
      <w:t xml:space="preserve">UTKAST – Ska granskas av extern jurist innan beslut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Stadsauktion Sundsvall AB – Visselblåsarpolicy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4C7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60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2026-02-13T08:17:14.305Z</dcterms:created>
  <dcterms:modified xsi:type="dcterms:W3CDTF">2026-02-13T08:17:14.305Z</dcterms:modified>
</cp:coreProperties>
</file>

<file path=docProps/custom.xml><?xml version="1.0" encoding="utf-8"?>
<Properties xmlns="http://schemas.openxmlformats.org/officeDocument/2006/custom-properties" xmlns:vt="http://schemas.openxmlformats.org/officeDocument/2006/docPropsVTypes"/>
</file>