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59" w:rsidRPr="006A6659" w:rsidRDefault="006A6659" w:rsidP="00205F54">
      <w:pPr>
        <w:shd w:val="clear" w:color="auto" w:fill="FFFFFF"/>
        <w:spacing w:after="300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9"/>
          <w:szCs w:val="39"/>
          <w:lang w:eastAsia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6"/>
      </w:tblGrid>
      <w:tr w:rsidR="006A6659" w:rsidRPr="00205F54" w:rsidTr="00205F54">
        <w:trPr>
          <w:tblCellSpacing w:w="0" w:type="dxa"/>
        </w:trPr>
        <w:tc>
          <w:tcPr>
            <w:tcW w:w="6636" w:type="dxa"/>
            <w:shd w:val="clear" w:color="auto" w:fill="auto"/>
            <w:hideMark/>
          </w:tcPr>
          <w:p w:rsidR="006A6659" w:rsidRPr="00205F54" w:rsidRDefault="00A12BE4" w:rsidP="00205F54">
            <w:pPr>
              <w:spacing w:before="100" w:beforeAutospacing="1" w:after="312" w:line="273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 xml:space="preserve">LES </w:t>
            </w:r>
            <w:r w:rsidR="00205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STRATEGIES GLOBALES</w:t>
            </w:r>
          </w:p>
        </w:tc>
      </w:tr>
      <w:tr w:rsidR="00205F54" w:rsidRPr="00205F54" w:rsidTr="00205F54">
        <w:trPr>
          <w:tblCellSpacing w:w="0" w:type="dxa"/>
        </w:trPr>
        <w:tc>
          <w:tcPr>
            <w:tcW w:w="6636" w:type="dxa"/>
            <w:shd w:val="clear" w:color="auto" w:fill="auto"/>
          </w:tcPr>
          <w:p w:rsidR="00205F54" w:rsidRPr="00205F54" w:rsidRDefault="00205F54" w:rsidP="00205F54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</w:p>
        </w:tc>
      </w:tr>
    </w:tbl>
    <w:p w:rsidR="006A6659" w:rsidRPr="00E45E44" w:rsidRDefault="006A6659" w:rsidP="00E45E44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4"/>
          <w:szCs w:val="24"/>
          <w:lang w:eastAsia="fr-FR"/>
        </w:rPr>
      </w:pPr>
      <w:r w:rsidRPr="00E45E44">
        <w:rPr>
          <w:rFonts w:ascii="Trebuchet MS" w:eastAsia="Times New Roman" w:hAnsi="Trebuchet MS" w:cs="Times New Roman"/>
          <w:b/>
          <w:bCs/>
          <w:i/>
          <w:iCs/>
          <w:color w:val="030303"/>
          <w:sz w:val="24"/>
          <w:szCs w:val="24"/>
          <w:lang w:eastAsia="fr-FR"/>
        </w:rPr>
        <w:t> </w:t>
      </w:r>
      <w:r w:rsidR="00E45E44" w:rsidRPr="00E45E44">
        <w:rPr>
          <w:rFonts w:ascii="Trebuchet MS" w:eastAsia="Times New Roman" w:hAnsi="Trebuchet MS" w:cs="Times New Roman"/>
          <w:color w:val="030303"/>
          <w:sz w:val="24"/>
          <w:szCs w:val="24"/>
          <w:lang w:eastAsia="fr-FR"/>
        </w:rPr>
        <w:t xml:space="preserve">I - </w:t>
      </w:r>
      <w:r w:rsidR="00205F54" w:rsidRPr="00E45E44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L</w:t>
      </w:r>
      <w:r w:rsidRPr="00E45E44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es critères de choix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 </w:t>
      </w:r>
      <w:r w:rsidRPr="00205F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choix stratégiques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l’entreprise sont déterminés à la fois au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niveau global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l’entreprise (stratégie</w:t>
      </w:r>
      <w:r w:rsidR="00205F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proofErr w:type="spellStart"/>
      <w:r w:rsidRPr="006A6659">
        <w:rPr>
          <w:rFonts w:ascii="Trebuchet MS" w:eastAsia="Times New Roman" w:hAnsi="Trebuchet MS" w:cs="Times New Roman"/>
          <w:i/>
          <w:iCs/>
          <w:color w:val="030303"/>
          <w:sz w:val="20"/>
          <w:szCs w:val="20"/>
          <w:lang w:eastAsia="fr-FR"/>
        </w:rPr>
        <w:t>corporate</w:t>
      </w:r>
      <w:proofErr w:type="spellEnd"/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 qu’au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niveau de cha</w:t>
      </w:r>
      <w:r w:rsidR="00205F54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cun de ses domaines d’activités 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stratégiques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(stratégie </w:t>
      </w:r>
      <w:r w:rsidRPr="006A6659">
        <w:rPr>
          <w:rFonts w:ascii="Trebuchet MS" w:eastAsia="Times New Roman" w:hAnsi="Trebuchet MS" w:cs="Times New Roman"/>
          <w:i/>
          <w:iCs/>
          <w:color w:val="030303"/>
          <w:sz w:val="20"/>
          <w:szCs w:val="20"/>
          <w:lang w:eastAsia="fr-FR"/>
        </w:rPr>
        <w:t>business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).</w:t>
      </w:r>
      <w:r w:rsidR="00205F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 </w:t>
      </w:r>
      <w:r w:rsidRPr="00205F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orientations stratégiques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s’appuient sur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les diagnostics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l’entreprise dans la perspective d’en favoriser la croissance. 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Les stratégies globales proposées </w:t>
      </w:r>
      <w:r w:rsidRPr="00E45E44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par </w:t>
      </w:r>
      <w:r w:rsidRPr="00E45E44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H. I. </w:t>
      </w:r>
      <w:proofErr w:type="spellStart"/>
      <w:r w:rsidRPr="00E45E44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Ansoff</w:t>
      </w:r>
      <w:proofErr w:type="spellEnd"/>
      <w:r w:rsidR="00E45E44" w:rsidRPr="00E45E44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 en 1957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sont définies à partir des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champs d’activités</w:t>
      </w:r>
      <w:r w:rsidR="00E45E4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Produit/marché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dans lesquels se situe l’entreprise et dont elle maîtrise les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facteurs clés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succès.</w:t>
      </w:r>
      <w:r w:rsidR="00E45E4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Deux </w:t>
      </w:r>
      <w:r w:rsidRPr="00205F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axes de croissance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sont possibles : la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spécialisation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dans les métiers actuels et la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diversification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vers de nouveaux métiers.</w:t>
      </w:r>
    </w:p>
    <w:p w:rsidR="006A6659" w:rsidRPr="00E45E44" w:rsidRDefault="00B2088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b/>
          <w:bCs/>
          <w:iCs/>
          <w:color w:val="030303"/>
          <w:sz w:val="24"/>
          <w:szCs w:val="24"/>
          <w:lang w:eastAsia="fr-FR"/>
        </w:rPr>
        <w:t>II - Stratégie de spécialisation</w:t>
      </w:r>
      <w:r w:rsidR="006A6659" w:rsidRPr="00E45E44">
        <w:rPr>
          <w:rFonts w:ascii="Trebuchet MS" w:eastAsia="Times New Roman" w:hAnsi="Trebuchet MS" w:cs="Times New Roman"/>
          <w:b/>
          <w:bCs/>
          <w:iCs/>
          <w:color w:val="030303"/>
          <w:sz w:val="24"/>
          <w:szCs w:val="24"/>
          <w:lang w:eastAsia="fr-FR"/>
        </w:rPr>
        <w:t> </w:t>
      </w:r>
      <w:r>
        <w:rPr>
          <w:rFonts w:ascii="Trebuchet MS" w:eastAsia="Times New Roman" w:hAnsi="Trebuchet MS" w:cs="Times New Roman"/>
          <w:b/>
          <w:bCs/>
          <w:iCs/>
          <w:color w:val="030303"/>
          <w:sz w:val="24"/>
          <w:szCs w:val="24"/>
          <w:lang w:eastAsia="fr-FR"/>
        </w:rPr>
        <w:t>ou stratégie de diversification</w:t>
      </w:r>
    </w:p>
    <w:p w:rsidR="006A6659" w:rsidRPr="00E45E44" w:rsidRDefault="00B2088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II-1</w:t>
      </w:r>
      <w:r w:rsidR="00E45E44" w:rsidRPr="00E45E44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– La spécialisation</w:t>
      </w:r>
    </w:p>
    <w:p w:rsidR="006A6659" w:rsidRPr="006A6659" w:rsidRDefault="006A6659" w:rsidP="00E45E44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1.    Fondements des stratégies de spécialisation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 stratégies de spécialisation sont adaptées à un domaine d’activité qui présente des perspectives</w:t>
      </w:r>
      <w:r w:rsidR="00E45E4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importantes de développement : l’entreprise concentre ses efforts sur la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croissance de la production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pour couvrir la demande du marché (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u w:val="single"/>
          <w:lang w:eastAsia="fr-FR"/>
        </w:rPr>
        <w:t>spécialisation intensive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).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En phase de maturité ou de déclin du secteur, l’entreprise peut maintenir la spécialisation qu’elle a développée</w:t>
      </w:r>
      <w:r w:rsidR="00E45E4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(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u w:val="single"/>
          <w:lang w:eastAsia="fr-FR"/>
        </w:rPr>
        <w:t>spécialisation passive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 sur un nombre plus réduit de segments de marché tant que sa position concurrentielle est favorable. </w:t>
      </w:r>
    </w:p>
    <w:p w:rsidR="006A6659" w:rsidRPr="006A6659" w:rsidRDefault="006A6659" w:rsidP="00E45E44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2.      Typologie des stratégies de spécialisation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Il est habituel d’analyser les stratégies de spécialisation dans une matrice produits/marchés : l’entreprise</w:t>
      </w:r>
      <w:r w:rsidR="00E45E4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peut se développer avec les mêmes produits, ou en élargissant la gamme de ses produits, en conservant</w:t>
      </w:r>
      <w:r w:rsidR="00E45E4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la même mission, ou en l’adaptant.</w:t>
      </w:r>
    </w:p>
    <w:p w:rsidR="006A6659" w:rsidRDefault="00EF5CF4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 trois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axes de la spécialisation sont alors :</w:t>
      </w:r>
    </w:p>
    <w:p w:rsidR="006A6659" w:rsidRDefault="006A6659" w:rsidP="006A665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="00E45E44"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Spécialisation par </w:t>
      </w:r>
      <w:r w:rsidR="00E45E44" w:rsidRPr="00F03BBD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pénétration de marché</w:t>
      </w:r>
      <w:r w:rsidR="00E45E44" w:rsidRPr="00EF5CF4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. </w:t>
      </w:r>
      <w:r w:rsidR="00E45E44"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="00EF5CF4"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L’entreprise se concentre sur son produi</w:t>
      </w:r>
      <w:r w:rsid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t et son marché existant dans le</w:t>
      </w:r>
      <w:r w:rsidR="00EF5CF4"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but d’améliorer sa position actuelle. </w:t>
      </w:r>
    </w:p>
    <w:p w:rsidR="006A6659" w:rsidRDefault="00EF5CF4" w:rsidP="006A665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EF5CF4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lastRenderedPageBreak/>
        <w:t>Spécialisation par développement de marché</w:t>
      </w:r>
      <w:r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 T</w:t>
      </w:r>
      <w:r w:rsidR="006A6659"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rouv</w:t>
      </w:r>
      <w:r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er de nouveaux </w:t>
      </w:r>
      <w:r w:rsidR="006A6659"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marché</w:t>
      </w:r>
      <w:r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s</w:t>
      </w:r>
      <w:r w:rsidR="006A6659"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qui permettront un développement des compétences</w:t>
      </w:r>
      <w:r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actuelles de l’entreprise (clientèle spécifique, régions, pays).</w:t>
      </w:r>
    </w:p>
    <w:p w:rsidR="00EF5CF4" w:rsidRPr="00EF5CF4" w:rsidRDefault="00EF5CF4" w:rsidP="006A6659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Spécialisation par développement de produits</w:t>
      </w:r>
      <w:r w:rsidRPr="00EF5CF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L’entreprise développe de nouveaux produits sur son marché.</w:t>
      </w:r>
    </w:p>
    <w:p w:rsidR="00EF5CF4" w:rsidRPr="00EF5CF4" w:rsidRDefault="00EF5CF4" w:rsidP="00EF5CF4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Cette stratégie présente des intérêts et des limites 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3684"/>
      </w:tblGrid>
      <w:tr w:rsidR="006A6659" w:rsidRPr="006A6659" w:rsidTr="006A6659">
        <w:trPr>
          <w:tblCellSpacing w:w="0" w:type="dxa"/>
        </w:trPr>
        <w:tc>
          <w:tcPr>
            <w:tcW w:w="2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659" w:rsidRPr="006A6659" w:rsidRDefault="006A6659" w:rsidP="006A6659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Intérêts</w:t>
            </w:r>
          </w:p>
        </w:tc>
        <w:tc>
          <w:tcPr>
            <w:tcW w:w="3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659" w:rsidRPr="006A6659" w:rsidRDefault="006A6659" w:rsidP="006A6659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Limites</w:t>
            </w:r>
          </w:p>
          <w:p w:rsidR="006A6659" w:rsidRPr="006A6659" w:rsidRDefault="006A6659" w:rsidP="006A6659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</w:tc>
      </w:tr>
      <w:tr w:rsidR="006A6659" w:rsidRPr="006A6659" w:rsidTr="006A6659">
        <w:trPr>
          <w:tblCellSpacing w:w="0" w:type="dxa"/>
        </w:trPr>
        <w:tc>
          <w:tcPr>
            <w:tcW w:w="2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659" w:rsidRPr="006A6659" w:rsidRDefault="00442054" w:rsidP="006A6659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6A6659"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Simplicité de gestion de l’entreprise.</w:t>
            </w:r>
          </w:p>
          <w:p w:rsidR="006A6659" w:rsidRPr="006A6659" w:rsidRDefault="00442054" w:rsidP="006A6659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6A6659"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 de spécialiste.</w:t>
            </w:r>
          </w:p>
          <w:p w:rsidR="006A6659" w:rsidRPr="006A6659" w:rsidRDefault="00442054" w:rsidP="006A6659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6A6659"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de l’expérience.</w:t>
            </w:r>
          </w:p>
          <w:p w:rsidR="006A6659" w:rsidRDefault="00442054" w:rsidP="006A6659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6A6659"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Concentration des ressources.</w:t>
            </w:r>
          </w:p>
          <w:p w:rsidR="00EF5CF4" w:rsidRPr="00EF5CF4" w:rsidRDefault="00442054" w:rsidP="00EF5CF4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EF5C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Economie d’échelle</w:t>
            </w:r>
          </w:p>
        </w:tc>
        <w:tc>
          <w:tcPr>
            <w:tcW w:w="3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659" w:rsidRPr="006A6659" w:rsidRDefault="00442054" w:rsidP="006A6659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6A6659"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Vulnérabilité en cas d’évolution défavorable de l’environnement.</w:t>
            </w:r>
          </w:p>
          <w:p w:rsidR="006A6659" w:rsidRPr="006A6659" w:rsidRDefault="00442054" w:rsidP="006A6659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6A6659"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Risque de rigidité organisationnelle.</w:t>
            </w:r>
          </w:p>
          <w:p w:rsidR="006A6659" w:rsidRPr="00442054" w:rsidRDefault="00442054" w:rsidP="00442054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 xml:space="preserve">● </w:t>
            </w:r>
            <w:r w:rsidR="006A6659" w:rsidRPr="004420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Capacité d’adaptation et de changement parfois limitée.</w:t>
            </w:r>
          </w:p>
          <w:p w:rsidR="00AD21D8" w:rsidRPr="00442054" w:rsidRDefault="00442054" w:rsidP="00442054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="00AD21D8" w:rsidRPr="004420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Copiage par les concurrents</w:t>
            </w:r>
          </w:p>
        </w:tc>
      </w:tr>
    </w:tbl>
    <w:p w:rsidR="006A6659" w:rsidRPr="002A553A" w:rsidRDefault="00B2088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II-2</w:t>
      </w:r>
      <w:r w:rsidR="00AD21D8" w:rsidRPr="00AD21D8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 xml:space="preserve"> – La diversification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</w:p>
    <w:p w:rsidR="006A6659" w:rsidRPr="006A6659" w:rsidRDefault="006A6659" w:rsidP="00817F5E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1.      Fondements des stratégies de diversification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L’abandon d’une stratégie de spécialisation est fonction du cycle de vie du métier de l’entreprise. Lorsqu’il</w:t>
      </w:r>
      <w:r w:rsidR="00817F5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arrive en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phase de déclin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, quatre options sont offertes au dirigeant :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 concentrer les efforts de l’entreprise sur une partie limitée du marché (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créneau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 ;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 chercher à éliminer les concurrents qui subsistent sur le marché (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domination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 ;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 sélectionner les clients finaux afin d’optimiser les coûts des produits (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écrémage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 ;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 arrêter la production actuelle pour choisir un nouveau métier (l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iquidation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).   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Se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diversifier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, c’est assurer la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croissance future de l’entreprise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en développant de nouvelles activités présentant ou non des synergies avec les compétences déjà maîtrisées.</w:t>
      </w:r>
      <w:r w:rsidR="00817F5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La diversification est aussi le fait d’une entreprise dont les activités actuelles génèrent un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excédent de ressources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pour permettre l’entrée dans de nouveaux métiers sans nuire à la position concurrentielle.</w:t>
      </w:r>
    </w:p>
    <w:p w:rsidR="002A553A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2.      Typologie des stratégies de diversification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La diversification correspond au choix de nouveaux métiers pour l’entreprise. On </w:t>
      </w:r>
      <w:r w:rsidR="00F03BBD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peut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distingue</w:t>
      </w:r>
      <w:r w:rsidR="00F03BBD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r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: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–       </w:t>
      </w: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la diversification de placement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stratégie des entreprises qui tirent de leurs activités principales un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excédent de liquidités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qui leur permet d’acquérir un ensemble de compétences qu’elles ne maîtrisent pas du tout ou très mal ;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–       </w:t>
      </w: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la diversification de confortement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stratégie d’une entreprise qui, grâce à une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activité supplémentaire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, cherche à bouleverser le jeu concurrentiel qui lui est défavorable en renforçant ses activités existantes et en compensant les déséquilibres d’expérience ;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–       </w:t>
      </w: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la diversification de redéploiement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stratégie des entreprises engagées dans des secteurs ou sur des segments d’activité en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phase de maturité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, qui cherchent </w:t>
      </w:r>
      <w:r w:rsidR="0042414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à se reconvertir sans que cette reconversion soit vitale pour l’entreprise.</w:t>
      </w:r>
    </w:p>
    <w:p w:rsid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–       </w:t>
      </w:r>
      <w:r w:rsidRPr="00F03BBD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la diversification de survie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 xml:space="preserve"> :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="003A1D7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Proche de la diversification de redéploiement, mais ici la reconversion est vitale pour la pérennité de l’entreprise qui cherche une porte de sortie</w:t>
      </w:r>
      <w:bookmarkStart w:id="0" w:name="_GoBack"/>
      <w:bookmarkEnd w:id="0"/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avant la disparition de leur métier principal.</w:t>
      </w:r>
    </w:p>
    <w:p w:rsidR="00817F5E" w:rsidRDefault="00817F5E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En s’appuyant sur la terminologie </w:t>
      </w:r>
      <w:proofErr w:type="gramStart"/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de </w:t>
      </w:r>
      <w:r w:rsidRPr="000220D1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I.ANSOFF</w:t>
      </w:r>
      <w:proofErr w:type="gramEnd"/>
      <w:r w:rsidRPr="000220D1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 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pour lequel la diversification se concrétise par le changement de produit,</w:t>
      </w:r>
      <w:r w:rsidR="000220D1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de marché et/ou de technologie, on distingue : </w:t>
      </w:r>
    </w:p>
    <w:p w:rsidR="000220D1" w:rsidRDefault="000220D1" w:rsidP="000220D1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 w:rsidRPr="000220D1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La diversification horizontale</w:t>
      </w:r>
    </w:p>
    <w:p w:rsidR="000220D1" w:rsidRPr="00383C1E" w:rsidRDefault="000220D1" w:rsidP="000220D1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L’entreprise produit et développe des nouveaux produits. Il s’agit d’un élargissement de gam</w:t>
      </w:r>
      <w:r w:rsid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me. La clientèle reste inchangée</w:t>
      </w:r>
      <w:r w:rsidRP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</w:t>
      </w:r>
    </w:p>
    <w:p w:rsidR="000220D1" w:rsidRDefault="000220D1" w:rsidP="000220D1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La diversification concentrique</w:t>
      </w:r>
    </w:p>
    <w:p w:rsidR="000220D1" w:rsidRPr="00383C1E" w:rsidRDefault="000220D1" w:rsidP="000220D1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L’entreprise développe des activités nouvelles en lien avec son métier d’origine et destinées à des marchés proches voire complémentaires. </w:t>
      </w:r>
    </w:p>
    <w:p w:rsidR="000220D1" w:rsidRDefault="000220D1" w:rsidP="000220D1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La diversification conglomérale</w:t>
      </w:r>
    </w:p>
    <w:p w:rsidR="000220D1" w:rsidRPr="00383C1E" w:rsidRDefault="000220D1" w:rsidP="000220D1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L’entreprise développe des activités nouvelles sans lien entre elles. </w:t>
      </w:r>
      <w:r w:rsidR="00383C1E" w:rsidRP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Cette forme de diversification peut aussi se traduire par l’intégration verticale en amont ou en aval.</w:t>
      </w:r>
    </w:p>
    <w:p w:rsid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</w:t>
      </w:r>
      <w:r w:rsidR="00383C1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ette stratégie présente des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intérêts et des limites :</w:t>
      </w:r>
    </w:p>
    <w:p w:rsidR="002A553A" w:rsidRDefault="002A553A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</w:p>
    <w:p w:rsidR="002A553A" w:rsidRDefault="002A553A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</w:p>
    <w:p w:rsidR="002A553A" w:rsidRPr="006A6659" w:rsidRDefault="002A553A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</w:p>
    <w:tbl>
      <w:tblPr>
        <w:tblW w:w="92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1257"/>
        <w:gridCol w:w="4917"/>
      </w:tblGrid>
      <w:tr w:rsidR="002A553A" w:rsidRPr="006A6659" w:rsidTr="00CB2133">
        <w:trPr>
          <w:trHeight w:val="764"/>
          <w:tblCellSpacing w:w="0" w:type="dxa"/>
        </w:trPr>
        <w:tc>
          <w:tcPr>
            <w:tcW w:w="3087" w:type="dxa"/>
            <w:hideMark/>
          </w:tcPr>
          <w:p w:rsidR="002A553A" w:rsidRPr="006A6659" w:rsidRDefault="002A553A" w:rsidP="002A553A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Intérêts</w:t>
            </w:r>
          </w:p>
        </w:tc>
        <w:tc>
          <w:tcPr>
            <w:tcW w:w="1257" w:type="dxa"/>
          </w:tcPr>
          <w:p w:rsidR="002A553A" w:rsidRPr="006A6659" w:rsidRDefault="002A553A" w:rsidP="002A553A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917" w:type="dxa"/>
          </w:tcPr>
          <w:p w:rsidR="002A553A" w:rsidRPr="006A6659" w:rsidRDefault="002A553A" w:rsidP="00CB2133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Limites</w:t>
            </w:r>
          </w:p>
          <w:p w:rsidR="002A553A" w:rsidRPr="006A6659" w:rsidRDefault="002A553A" w:rsidP="002A553A">
            <w:pPr>
              <w:spacing w:before="100" w:beforeAutospacing="1" w:after="312" w:line="27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</w:tc>
      </w:tr>
      <w:tr w:rsidR="002A553A" w:rsidRPr="006A6659" w:rsidTr="00CB2133">
        <w:trPr>
          <w:trHeight w:val="2879"/>
          <w:tblCellSpacing w:w="0" w:type="dxa"/>
        </w:trPr>
        <w:tc>
          <w:tcPr>
            <w:tcW w:w="3087" w:type="dxa"/>
            <w:hideMark/>
          </w:tcPr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Répartition des risques sur plusieurs activités.</w:t>
            </w:r>
          </w:p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Synergies entre les activités pour limiter les coûts</w:t>
            </w:r>
          </w:p>
          <w:p w:rsidR="002A553A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Acquisition et maîtrise de nouvelles compétences.</w:t>
            </w:r>
          </w:p>
          <w:p w:rsidR="002A553A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Augmentation de la rentabilité</w:t>
            </w:r>
          </w:p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57" w:type="dxa"/>
          </w:tcPr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917" w:type="dxa"/>
          </w:tcPr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Complexité de gestion.</w:t>
            </w:r>
          </w:p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Risque de dilution de l’identité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et de l’image</w:t>
            </w:r>
            <w:r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l’entreprise.</w:t>
            </w:r>
          </w:p>
          <w:p w:rsidR="002A553A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●</w:t>
            </w:r>
            <w:r w:rsidRPr="006A665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Éparpillement des efforts, dispersion des compétences</w:t>
            </w:r>
            <w:r w:rsidRPr="006A6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  <w:p w:rsidR="002A553A" w:rsidRPr="006A6659" w:rsidRDefault="002A553A" w:rsidP="002A553A">
            <w:pPr>
              <w:spacing w:before="100" w:beforeAutospacing="1" w:after="312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fr-FR"/>
              </w:rPr>
              <w:t>●</w:t>
            </w:r>
            <w:r w:rsidRPr="00383C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Investissements importants</w:t>
            </w:r>
          </w:p>
        </w:tc>
      </w:tr>
    </w:tbl>
    <w:p w:rsidR="00CB2133" w:rsidRDefault="008E44D7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bCs/>
          <w:color w:val="030303"/>
          <w:sz w:val="24"/>
          <w:szCs w:val="24"/>
          <w:u w:val="single"/>
          <w:lang w:eastAsia="fr-FR"/>
        </w:rPr>
      </w:pPr>
      <w:r w:rsidRPr="008E44D7">
        <w:rPr>
          <w:rFonts w:ascii="Trebuchet MS" w:eastAsia="Times New Roman" w:hAnsi="Trebuchet MS" w:cs="Times New Roman"/>
          <w:b/>
          <w:bCs/>
          <w:color w:val="030303"/>
          <w:sz w:val="24"/>
          <w:szCs w:val="24"/>
          <w:lang w:eastAsia="fr-FR"/>
        </w:rPr>
        <w:t>III-   </w:t>
      </w:r>
      <w:r w:rsidRPr="008E44D7">
        <w:rPr>
          <w:rFonts w:ascii="Trebuchet MS" w:eastAsia="Times New Roman" w:hAnsi="Trebuchet MS" w:cs="Times New Roman"/>
          <w:b/>
          <w:bCs/>
          <w:color w:val="030303"/>
          <w:sz w:val="24"/>
          <w:szCs w:val="24"/>
          <w:u w:val="single"/>
          <w:lang w:eastAsia="fr-FR"/>
        </w:rPr>
        <w:t>stratégie d’intégration ou stratégie</w:t>
      </w:r>
      <w:r w:rsidR="006A6659" w:rsidRPr="008E44D7">
        <w:rPr>
          <w:rFonts w:ascii="Trebuchet MS" w:eastAsia="Times New Roman" w:hAnsi="Trebuchet MS" w:cs="Times New Roman"/>
          <w:b/>
          <w:bCs/>
          <w:color w:val="030303"/>
          <w:sz w:val="24"/>
          <w:szCs w:val="24"/>
          <w:u w:val="single"/>
          <w:lang w:eastAsia="fr-FR"/>
        </w:rPr>
        <w:t xml:space="preserve"> d’externalisation</w:t>
      </w:r>
    </w:p>
    <w:p w:rsidR="006A6659" w:rsidRPr="00A7435A" w:rsidRDefault="00A7435A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A7435A">
        <w:rPr>
          <w:rFonts w:ascii="Trebuchet MS" w:eastAsia="Times New Roman" w:hAnsi="Trebuchet MS" w:cs="Times New Roman"/>
          <w:b/>
          <w:bCs/>
          <w:iCs/>
          <w:color w:val="030303"/>
          <w:sz w:val="20"/>
          <w:szCs w:val="20"/>
          <w:lang w:eastAsia="fr-FR"/>
        </w:rPr>
        <w:t>III-1 Stratégie d’intégration</w:t>
      </w:r>
    </w:p>
    <w:p w:rsidR="006A6659" w:rsidRPr="00A7435A" w:rsidRDefault="00A7435A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0"/>
          <w:szCs w:val="20"/>
          <w:lang w:eastAsia="fr-FR"/>
        </w:rPr>
        <w:t xml:space="preserve">1 - </w:t>
      </w:r>
      <w:r w:rsidR="006A6659" w:rsidRPr="00A7435A">
        <w:rPr>
          <w:rFonts w:ascii="Trebuchet MS" w:eastAsia="Times New Roman" w:hAnsi="Trebuchet MS" w:cs="Times New Roman"/>
          <w:b/>
          <w:iCs/>
          <w:color w:val="030303"/>
          <w:sz w:val="20"/>
          <w:szCs w:val="20"/>
          <w:lang w:eastAsia="fr-FR"/>
        </w:rPr>
        <w:t>l’intégration verticale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L’intégration verticale traduit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l’acquisition par une entreprise d’activités en amont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(par exemple, des fournisseurs)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ou en aval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(par exemple, des distributeurs) de ses propres activités dans une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logique de filière.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Les avantages ou les inconvénients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l’intégration verticale peuvent être ramenés à une comparaison entre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l’efficacité technique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et le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coût de la coordination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L’efficacité technique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apparaît lorsque l’entreprise réalise à travers l’intégration verticale un processus de production à des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coûts inférieurs.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En revanche, le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coût de la coordination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concerne les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coûts supérieurs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production ou de gestion auxquels l’entreprise fait face pour coordonner les rapports avec les autres entreprises.</w:t>
      </w:r>
    </w:p>
    <w:p w:rsidR="00A7435A" w:rsidRPr="00CB2133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i/>
          <w:iCs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L’intégration verticale est préférée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quand le coût pour organiser au sein de l’entreprise des activités déterminées est inférieur à celui qui serait nécessaire pour organiser un système de relations avec des entreprises extérieures.</w:t>
      </w:r>
      <w:r w:rsidRPr="006A6659">
        <w:rPr>
          <w:rFonts w:ascii="Trebuchet MS" w:eastAsia="Times New Roman" w:hAnsi="Trebuchet MS" w:cs="Times New Roman"/>
          <w:i/>
          <w:iCs/>
          <w:color w:val="030303"/>
          <w:sz w:val="20"/>
          <w:szCs w:val="20"/>
          <w:lang w:eastAsia="fr-FR"/>
        </w:rPr>
        <w:t> </w:t>
      </w:r>
    </w:p>
    <w:p w:rsidR="006A6659" w:rsidRPr="00A7435A" w:rsidRDefault="00A7435A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0"/>
          <w:szCs w:val="20"/>
          <w:lang w:eastAsia="fr-FR"/>
        </w:rPr>
        <w:t xml:space="preserve">2 - </w:t>
      </w:r>
      <w:r w:rsidR="006A6659" w:rsidRPr="00A7435A">
        <w:rPr>
          <w:rFonts w:ascii="Trebuchet MS" w:eastAsia="Times New Roman" w:hAnsi="Trebuchet MS" w:cs="Times New Roman"/>
          <w:b/>
          <w:iCs/>
          <w:color w:val="030303"/>
          <w:sz w:val="20"/>
          <w:szCs w:val="20"/>
          <w:lang w:eastAsia="fr-FR"/>
        </w:rPr>
        <w:t>l’intégration horizontale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L’intégration horizontale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est une stratégie de développement par laquelle les activités d’une entreprise sont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élargies à travers l’union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="00A7435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- </w:t>
      </w:r>
      <w:r w:rsidR="00A7435A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alliance ou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rachat </w:t>
      </w:r>
      <w:r w:rsidR="00A7435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(prise de participation ou fusion)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– avec une autre entreprise qui exerce les mêmes activités (un ancien concurrent).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Avec l’intégration horizontale, l’entreprise reste dans le secteur/marché d’origine, mais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élargit sa part de</w:t>
      </w:r>
      <w:r w:rsidR="00A7435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marché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et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renforce sa position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par rapport aux concurrents.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L’intégration horizontale est</w:t>
      </w:r>
      <w:r w:rsidR="00A7435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souvent motivée par la recherche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d’économies d’échelle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 L’objectif peut également être une stratégie de développement dans un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nouveau marché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ou une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stratégie de défense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contre l’attaque d’un rival, mais quand cette action se traduit par une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augmentation du pouvoir de marché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, </w:t>
      </w:r>
      <w:r w:rsidRPr="007D4671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elle peut provoquer l’intervention des autorités de la concurrence.</w:t>
      </w:r>
    </w:p>
    <w:p w:rsidR="006A6659" w:rsidRPr="00CB2133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iCs/>
          <w:color w:val="030303"/>
          <w:sz w:val="20"/>
          <w:szCs w:val="20"/>
          <w:lang w:eastAsia="fr-FR"/>
        </w:rPr>
      </w:pPr>
      <w:r w:rsidRPr="00CB2133">
        <w:rPr>
          <w:rFonts w:ascii="Trebuchet MS" w:eastAsia="Times New Roman" w:hAnsi="Trebuchet MS" w:cs="Times New Roman"/>
          <w:b/>
          <w:i/>
          <w:iCs/>
          <w:color w:val="030303"/>
          <w:sz w:val="20"/>
          <w:szCs w:val="20"/>
          <w:lang w:eastAsia="fr-FR"/>
        </w:rPr>
        <w:t> </w:t>
      </w:r>
      <w:r w:rsidR="00EE36DE" w:rsidRPr="00CB2133">
        <w:rPr>
          <w:rFonts w:ascii="Trebuchet MS" w:eastAsia="Times New Roman" w:hAnsi="Trebuchet MS" w:cs="Times New Roman"/>
          <w:b/>
          <w:iCs/>
          <w:color w:val="030303"/>
          <w:sz w:val="20"/>
          <w:szCs w:val="20"/>
          <w:lang w:eastAsia="fr-FR"/>
        </w:rPr>
        <w:t xml:space="preserve">3 – Avantages et limites de l’intégration </w:t>
      </w:r>
    </w:p>
    <w:p w:rsidR="00EE36DE" w:rsidRDefault="00EE36DE" w:rsidP="00EE36DE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Avantages</w:t>
      </w:r>
      <w:proofErr w:type="gramEnd"/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 : 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</w:p>
    <w:p w:rsidR="00EE36DE" w:rsidRP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Sécurisation des approvisionnements</w:t>
      </w:r>
      <w:r w:rsidRPr="00EE36DE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et/ou des débouchés</w:t>
      </w:r>
    </w:p>
    <w:p w:rsid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Limitation des coûts</w:t>
      </w:r>
    </w:p>
    <w:p w:rsid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Augmentation du pouvoir de l’entreprise par sa taille</w:t>
      </w:r>
    </w:p>
    <w:p w:rsid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Satisfaction des consommateurs à terme</w:t>
      </w:r>
    </w:p>
    <w:p w:rsidR="00EE36DE" w:rsidRDefault="00EE36DE" w:rsidP="00EE36DE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Limites</w:t>
      </w:r>
      <w:proofErr w:type="gramEnd"/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 : </w:t>
      </w:r>
    </w:p>
    <w:p w:rsid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Manque de réactivité et de flexibilité compte tenu du nombre d’activités</w:t>
      </w:r>
    </w:p>
    <w:p w:rsid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Investissements financiers importants</w:t>
      </w:r>
    </w:p>
    <w:p w:rsidR="00EE36DE" w:rsidRPr="00EE36DE" w:rsidRDefault="00EE36DE" w:rsidP="00EE36DE">
      <w:pPr>
        <w:pStyle w:val="Paragraphedeliste"/>
        <w:numPr>
          <w:ilvl w:val="2"/>
          <w:numId w:val="25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Manque de maîtrise des nouvelles ressources et compétences</w:t>
      </w:r>
    </w:p>
    <w:p w:rsidR="006A6659" w:rsidRPr="00CB2133" w:rsidRDefault="00EE36DE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 xml:space="preserve">III-2 </w:t>
      </w:r>
      <w:r w:rsidR="006A6659" w:rsidRPr="00EE36DE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l’externalisation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</w:p>
    <w:p w:rsidR="006A6659" w:rsidRPr="006A6659" w:rsidRDefault="0022019F" w:rsidP="0022019F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1. Fondements de l’exter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nalisation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L’externalisation désigne la décision prise par une entreprise de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recourir à un prestataire extérieur,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souvent dans une perspective de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long terme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, pour faire tout ou une partie d’une ou plusieurs fonctions (fonctions intégrées ou intégrables au moment du choix).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 choix de l’externalisation dépend des réponses apportées à deux questions-clés :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1)     la fonction concernée est-elle considérée comme s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tratégique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? </w:t>
      </w:r>
      <w:proofErr w:type="gramStart"/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est-elle</w:t>
      </w:r>
      <w:proofErr w:type="gramEnd"/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essentielle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pour maîtriser les facteurs-clés de succès dans le secteur de l’entreprise ?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2)     l’externalisation va-t-elle entraîner une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perte de compétences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pour l’entreprise dont pourrait profiter la concurrence ?</w:t>
      </w:r>
    </w:p>
    <w:p w:rsidR="00CB666C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Une réponse négative à ces questions déclenchera le processus d’externalisation.</w:t>
      </w:r>
    </w:p>
    <w:p w:rsidR="006A6659" w:rsidRPr="006A6659" w:rsidRDefault="007141CC" w:rsidP="007141C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2. 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Typologie des modes d’externalisation</w:t>
      </w:r>
    </w:p>
    <w:p w:rsidR="006A6659" w:rsidRPr="006A6659" w:rsidRDefault="006A6659" w:rsidP="007141CC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  <w:r w:rsidR="007141CC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L’externalisation peut prendre plusieurs formes : </w:t>
      </w:r>
    </w:p>
    <w:p w:rsidR="006A6659" w:rsidRPr="006A6659" w:rsidRDefault="00800EE1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="007C34B6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 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sous-traitance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l’entreprise (donneur d’ordre) confie à des partenaires extérieurs tout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ou partie d’une tâche définie.</w:t>
      </w:r>
    </w:p>
    <w:p w:rsidR="006A6659" w:rsidRPr="006A6659" w:rsidRDefault="00800EE1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="007C34B6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 </w:t>
      </w:r>
      <w:proofErr w:type="spellStart"/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co-traitance</w:t>
      </w:r>
      <w:proofErr w:type="spellEnd"/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 : l’entreprise et un partenaire extérieur réalisent 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en commun une activité précise </w:t>
      </w:r>
    </w:p>
    <w:p w:rsidR="006A6659" w:rsidRPr="006A6659" w:rsidRDefault="00800EE1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 xml:space="preserve">● </w:t>
      </w:r>
      <w:r w:rsidR="007C34B6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 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commission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l’entreprise confie à des partenaires externes une ou plusieurs fonctions (affacturage, gestion de la paye…) en les rémunérant par une commission ;</w:t>
      </w:r>
    </w:p>
    <w:p w:rsidR="007C34B6" w:rsidRDefault="007C34B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L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 </w:t>
      </w: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concession : Un commerçant (concessionnaire) accepte de vendre les produits d’un fabricant (concédant)</w:t>
      </w:r>
    </w:p>
    <w:p w:rsidR="006A6659" w:rsidRDefault="007C34B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 </w:t>
      </w:r>
      <w:r>
        <w:rPr>
          <w:rFonts w:ascii="Calibri" w:eastAsia="Times New Roman" w:hAnsi="Calibri" w:cs="Times New Roman"/>
          <w:b/>
          <w:bCs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 L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a </w:t>
      </w: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licence</w:t>
      </w:r>
      <w:r w:rsidR="006A6659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l’entreprise concède le droit d’exploiter sa marque, par exemple, à des tiers moyennant une redevance.</w:t>
      </w:r>
    </w:p>
    <w:p w:rsidR="007C34B6" w:rsidRDefault="007C34B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7C34B6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La franchise :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contrat entre un franchiseur et un franchisé contre versement d’une redevance</w:t>
      </w:r>
    </w:p>
    <w:p w:rsidR="007C34B6" w:rsidRPr="006A6659" w:rsidRDefault="007C34B6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CB666C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 GIE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(groupement d’intérêt économique) : Regroupement d’entreprises existantes afin de faciliter le développement d’activités économiques. </w:t>
      </w:r>
    </w:p>
    <w:p w:rsidR="006A6659" w:rsidRPr="006A6659" w:rsidRDefault="00CB666C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Remarque :</w:t>
      </w:r>
      <w:r w:rsidR="006A6659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La sous-traitance prend trois formes principales :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la sous-traitance de capacité ou concurrentielle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est celle à laquelle recourt de façon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temporaire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l’entreprise donneuse d’ordre confrontée à un surcroît d’activité en s’adressant à un confrère du même secteur d’activité ;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la sous-traitance communautaire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est la prise en charge collective d’un chantier ou d’une adjudication exigeant une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répartition des activités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entre des entreprises appartenant à des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corps de métiers différents</w:t>
      </w:r>
      <w:r w:rsidR="00CB2133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</w:p>
    <w:p w:rsidR="006A6659" w:rsidRP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la sous-traitance de spécialité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est celle à laquelle recourt de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façon durable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le donneur d’ordre souhaitant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éviter la prise en charge de certaines activités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, domaine pour lequel il refuse de s’équiper ou de se spécialiser (c’est celle qui, dans l’esprit, correspond à la démarche d’externalisation).</w:t>
      </w:r>
    </w:p>
    <w:p w:rsidR="006A6659" w:rsidRDefault="006A6659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 w:rsidRPr="00CB666C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 </w:t>
      </w:r>
      <w:r w:rsidR="00CB666C" w:rsidRPr="00CB666C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3. Avantages et limites de l’externalisation </w:t>
      </w:r>
    </w:p>
    <w:p w:rsidR="00CB666C" w:rsidRPr="008524FA" w:rsidRDefault="00CB666C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Avantages : </w:t>
      </w: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ab/>
      </w: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 xml:space="preserve">● 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Compétences d’experts dans le domaine</w:t>
      </w:r>
    </w:p>
    <w:p w:rsidR="002A553A" w:rsidRPr="008524FA" w:rsidRDefault="00CB666C" w:rsidP="006A6659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Accroissement de la flexibilité et de la compétitivité</w:t>
      </w:r>
    </w:p>
    <w:p w:rsidR="002A553A" w:rsidRPr="008524FA" w:rsidRDefault="002A553A" w:rsidP="002A553A">
      <w:pPr>
        <w:shd w:val="clear" w:color="auto" w:fill="FFFFFF"/>
        <w:spacing w:before="100" w:beforeAutospacing="1" w:after="312" w:line="273" w:lineRule="atLeast"/>
        <w:ind w:left="1416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Meilleur contrôle des coûts en se concentrant sur les activités créatrices de valeur.</w:t>
      </w:r>
    </w:p>
    <w:p w:rsidR="002A553A" w:rsidRDefault="002A553A" w:rsidP="002A553A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</w:p>
    <w:p w:rsidR="00CB2133" w:rsidRPr="008524FA" w:rsidRDefault="00CB2133" w:rsidP="002A553A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Limites : </w:t>
      </w: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ab/>
      </w: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Dépendance vis-à-vis des prestataires extérieurs</w:t>
      </w:r>
    </w:p>
    <w:p w:rsidR="00CB2133" w:rsidRPr="008524FA" w:rsidRDefault="00CB2133" w:rsidP="002A553A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Perte de confidentialité</w:t>
      </w:r>
    </w:p>
    <w:p w:rsidR="00CB2133" w:rsidRPr="008524FA" w:rsidRDefault="00CB2133" w:rsidP="002A553A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ab/>
      </w: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Perte de contrôle des opérations des ressources et des compétences </w:t>
      </w:r>
    </w:p>
    <w:p w:rsidR="00CB666C" w:rsidRPr="008524FA" w:rsidRDefault="00CB2133" w:rsidP="008524FA">
      <w:pPr>
        <w:shd w:val="clear" w:color="auto" w:fill="FFFFFF"/>
        <w:spacing w:before="100" w:beforeAutospacing="1" w:after="312" w:line="273" w:lineRule="atLeast"/>
        <w:ind w:left="1416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8524FA"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Coût social élevé. Suppression d’emplois – Diminution de la cohésion sociale </w:t>
      </w:r>
      <w:r w:rsidR="008524FA" w:rsidRP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- Perte de la culture d’</w:t>
      </w:r>
      <w:r w:rsidR="008524F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entreprise</w:t>
      </w:r>
    </w:p>
    <w:sectPr w:rsidR="00CB666C" w:rsidRPr="00852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F17"/>
    <w:multiLevelType w:val="hybridMultilevel"/>
    <w:tmpl w:val="C82603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59E7"/>
    <w:multiLevelType w:val="multilevel"/>
    <w:tmpl w:val="7B48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D5BFD"/>
    <w:multiLevelType w:val="hybridMultilevel"/>
    <w:tmpl w:val="658E8A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722E"/>
    <w:multiLevelType w:val="multilevel"/>
    <w:tmpl w:val="4F4E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13416"/>
    <w:multiLevelType w:val="multilevel"/>
    <w:tmpl w:val="BD0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17F17"/>
    <w:multiLevelType w:val="multilevel"/>
    <w:tmpl w:val="BAF2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54A6D"/>
    <w:multiLevelType w:val="hybridMultilevel"/>
    <w:tmpl w:val="239EC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0D3A"/>
    <w:multiLevelType w:val="multilevel"/>
    <w:tmpl w:val="1C48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20DD7"/>
    <w:multiLevelType w:val="multilevel"/>
    <w:tmpl w:val="471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2400"/>
    <w:multiLevelType w:val="multilevel"/>
    <w:tmpl w:val="9BEE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651B5"/>
    <w:multiLevelType w:val="hybridMultilevel"/>
    <w:tmpl w:val="C8D6638C"/>
    <w:lvl w:ilvl="0" w:tplc="06704A6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81395"/>
    <w:multiLevelType w:val="multilevel"/>
    <w:tmpl w:val="F3F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E3295"/>
    <w:multiLevelType w:val="hybridMultilevel"/>
    <w:tmpl w:val="324ABE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289F"/>
    <w:multiLevelType w:val="multilevel"/>
    <w:tmpl w:val="1EB0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23396"/>
    <w:multiLevelType w:val="hybridMultilevel"/>
    <w:tmpl w:val="D0A60BEE"/>
    <w:lvl w:ilvl="0" w:tplc="7B749DC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76F98"/>
    <w:multiLevelType w:val="multilevel"/>
    <w:tmpl w:val="B59A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67E2E"/>
    <w:multiLevelType w:val="multilevel"/>
    <w:tmpl w:val="1CE8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92847"/>
    <w:multiLevelType w:val="multilevel"/>
    <w:tmpl w:val="BFA2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02FA5"/>
    <w:multiLevelType w:val="multilevel"/>
    <w:tmpl w:val="0774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65A7D"/>
    <w:multiLevelType w:val="hybridMultilevel"/>
    <w:tmpl w:val="BA40DAE0"/>
    <w:lvl w:ilvl="0" w:tplc="9DE86652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86B29"/>
    <w:multiLevelType w:val="multilevel"/>
    <w:tmpl w:val="B14E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B032B9"/>
    <w:multiLevelType w:val="hybridMultilevel"/>
    <w:tmpl w:val="6BB437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244C6"/>
    <w:multiLevelType w:val="multilevel"/>
    <w:tmpl w:val="412E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243D5"/>
    <w:multiLevelType w:val="multilevel"/>
    <w:tmpl w:val="2080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A309C"/>
    <w:multiLevelType w:val="hybridMultilevel"/>
    <w:tmpl w:val="D70A38CE"/>
    <w:lvl w:ilvl="0" w:tplc="60F29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656C5"/>
    <w:multiLevelType w:val="hybridMultilevel"/>
    <w:tmpl w:val="4A16BEE4"/>
    <w:lvl w:ilvl="0" w:tplc="9E8004F4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20"/>
  </w:num>
  <w:num w:numId="10">
    <w:abstractNumId w:val="17"/>
  </w:num>
  <w:num w:numId="11">
    <w:abstractNumId w:val="18"/>
  </w:num>
  <w:num w:numId="12">
    <w:abstractNumId w:val="2"/>
  </w:num>
  <w:num w:numId="13">
    <w:abstractNumId w:val="12"/>
  </w:num>
  <w:num w:numId="14">
    <w:abstractNumId w:val="21"/>
  </w:num>
  <w:num w:numId="15">
    <w:abstractNumId w:val="16"/>
  </w:num>
  <w:num w:numId="16">
    <w:abstractNumId w:val="23"/>
  </w:num>
  <w:num w:numId="17">
    <w:abstractNumId w:val="7"/>
  </w:num>
  <w:num w:numId="18">
    <w:abstractNumId w:val="4"/>
  </w:num>
  <w:num w:numId="19">
    <w:abstractNumId w:val="3"/>
  </w:num>
  <w:num w:numId="20">
    <w:abstractNumId w:val="15"/>
  </w:num>
  <w:num w:numId="21">
    <w:abstractNumId w:val="8"/>
  </w:num>
  <w:num w:numId="22">
    <w:abstractNumId w:val="6"/>
  </w:num>
  <w:num w:numId="23">
    <w:abstractNumId w:val="14"/>
  </w:num>
  <w:num w:numId="24">
    <w:abstractNumId w:val="25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14"/>
    <w:rsid w:val="000220D1"/>
    <w:rsid w:val="001154A5"/>
    <w:rsid w:val="00205F54"/>
    <w:rsid w:val="0022019F"/>
    <w:rsid w:val="00223558"/>
    <w:rsid w:val="002A553A"/>
    <w:rsid w:val="00383C1E"/>
    <w:rsid w:val="003A1D79"/>
    <w:rsid w:val="003D2714"/>
    <w:rsid w:val="0042414A"/>
    <w:rsid w:val="00442054"/>
    <w:rsid w:val="006A6659"/>
    <w:rsid w:val="007141CC"/>
    <w:rsid w:val="007C34B6"/>
    <w:rsid w:val="007D4671"/>
    <w:rsid w:val="00800EE1"/>
    <w:rsid w:val="00817F5E"/>
    <w:rsid w:val="008524FA"/>
    <w:rsid w:val="008E44D7"/>
    <w:rsid w:val="00A12BE4"/>
    <w:rsid w:val="00A16D58"/>
    <w:rsid w:val="00A36CB4"/>
    <w:rsid w:val="00A70BCE"/>
    <w:rsid w:val="00A7435A"/>
    <w:rsid w:val="00AD21D8"/>
    <w:rsid w:val="00B20886"/>
    <w:rsid w:val="00CB2133"/>
    <w:rsid w:val="00CB666C"/>
    <w:rsid w:val="00E45E44"/>
    <w:rsid w:val="00EE36DE"/>
    <w:rsid w:val="00EF5CF4"/>
    <w:rsid w:val="00F0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F208D-031D-4E2D-AC47-37A44A32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7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6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29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7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14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BCA0-51B8-49C4-B853-F4DA2D1E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1735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15</cp:revision>
  <cp:lastPrinted>2017-03-21T06:22:00Z</cp:lastPrinted>
  <dcterms:created xsi:type="dcterms:W3CDTF">2017-03-26T11:37:00Z</dcterms:created>
  <dcterms:modified xsi:type="dcterms:W3CDTF">2017-09-15T22:07:00Z</dcterms:modified>
</cp:coreProperties>
</file>