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11F" w:rsidRPr="003C011F" w:rsidRDefault="003C011F" w:rsidP="003C011F">
      <w:pPr>
        <w:shd w:val="clear" w:color="auto" w:fill="D0CECE" w:themeFill="background2" w:themeFillShade="E6"/>
        <w:spacing w:before="100" w:beforeAutospacing="1" w:after="312" w:line="273" w:lineRule="atLeast"/>
        <w:jc w:val="center"/>
        <w:textAlignment w:val="top"/>
        <w:rPr>
          <w:rFonts w:ascii="Trebuchet MS" w:eastAsia="Times New Roman" w:hAnsi="Trebuchet MS" w:cs="Times New Roman"/>
          <w:b/>
          <w:bCs/>
          <w:color w:val="030303"/>
          <w:sz w:val="36"/>
          <w:szCs w:val="36"/>
          <w:lang w:eastAsia="fr-FR"/>
        </w:rPr>
      </w:pPr>
      <w:r w:rsidRPr="003C011F">
        <w:rPr>
          <w:rFonts w:ascii="Trebuchet MS" w:eastAsia="Times New Roman" w:hAnsi="Trebuchet MS" w:cs="Times New Roman"/>
          <w:b/>
          <w:bCs/>
          <w:color w:val="030303"/>
          <w:sz w:val="36"/>
          <w:szCs w:val="36"/>
          <w:lang w:eastAsia="fr-FR"/>
        </w:rPr>
        <w:t>STRATEGIES GENERIQUES OU DE DOMAINE</w:t>
      </w:r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 </w:t>
      </w:r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020DD7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Selon </w:t>
      </w:r>
      <w:r w:rsidR="00020DD7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M.</w:t>
      </w:r>
      <w:r w:rsidRPr="00020DD7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 xml:space="preserve"> </w:t>
      </w:r>
      <w:r w:rsidR="00020DD7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 xml:space="preserve">E. </w:t>
      </w:r>
      <w:r w:rsidRPr="00020DD7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Porter</w:t>
      </w:r>
      <w:r w:rsidRPr="00020DD7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,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l’élaboration de la stratégie d’une entreprise doit reposer sur un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avantage concurrentiel déjà obtenu ou potentiel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: avantage par les coûts ou avantage par la différenciation.</w:t>
      </w:r>
      <w:r w:rsidR="00020DD7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M.E. Porter montre qu’il n’existe que trois stratégies possibles pour dominer son marché, dites stratégies de base ou stratégies génériques.</w:t>
      </w:r>
    </w:p>
    <w:p w:rsidR="003C011F" w:rsidRPr="006A6659" w:rsidRDefault="00020DD7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020DD7">
        <w:rPr>
          <w:rFonts w:ascii="Trebuchet MS" w:eastAsia="Times New Roman" w:hAnsi="Trebuchet MS" w:cs="Times New Roman"/>
          <w:b/>
          <w:color w:val="030303"/>
          <w:sz w:val="20"/>
          <w:szCs w:val="20"/>
          <w:u w:val="single"/>
          <w:lang w:eastAsia="fr-FR"/>
        </w:rPr>
        <w:t>La Domination</w:t>
      </w:r>
      <w:r w:rsidR="003C011F" w:rsidRPr="00020DD7">
        <w:rPr>
          <w:rFonts w:ascii="Trebuchet MS" w:eastAsia="Times New Roman" w:hAnsi="Trebuchet MS" w:cs="Times New Roman"/>
          <w:b/>
          <w:color w:val="030303"/>
          <w:sz w:val="20"/>
          <w:szCs w:val="20"/>
          <w:u w:val="single"/>
          <w:lang w:eastAsia="fr-FR"/>
        </w:rPr>
        <w:t xml:space="preserve"> par les coûts</w:t>
      </w:r>
      <w:r w:rsidR="003C011F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permet à une entreprise d’obtenir des coûts de réalisation des activités de la chaîne de valeur inférieurs à ceux des concurrents. La stratégie vise alors à offrir des </w:t>
      </w:r>
      <w:r w:rsidR="003C011F"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prix faibles et inférieurs à ceux de la concurrence.</w:t>
      </w:r>
    </w:p>
    <w:p w:rsidR="003C011F" w:rsidRDefault="00020DD7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020DD7">
        <w:rPr>
          <w:rFonts w:ascii="Trebuchet MS" w:eastAsia="Times New Roman" w:hAnsi="Trebuchet MS" w:cs="Times New Roman"/>
          <w:b/>
          <w:color w:val="030303"/>
          <w:sz w:val="20"/>
          <w:szCs w:val="20"/>
          <w:u w:val="single"/>
          <w:lang w:eastAsia="fr-FR"/>
        </w:rPr>
        <w:t>L</w:t>
      </w:r>
      <w:r w:rsidR="003C011F" w:rsidRPr="00020DD7">
        <w:rPr>
          <w:rFonts w:ascii="Trebuchet MS" w:eastAsia="Times New Roman" w:hAnsi="Trebuchet MS" w:cs="Times New Roman"/>
          <w:b/>
          <w:color w:val="030303"/>
          <w:sz w:val="20"/>
          <w:szCs w:val="20"/>
          <w:u w:val="single"/>
          <w:lang w:eastAsia="fr-FR"/>
        </w:rPr>
        <w:t>a différenciation</w:t>
      </w:r>
      <w:r w:rsidR="003C011F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permet à l’entreprise de proposer une</w:t>
      </w:r>
      <w:r w:rsidR="003C011F"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 </w:t>
      </w:r>
      <w:r w:rsidR="003C011F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offre adaptée au client mais différenciée de celle de la concurrence. La stratégie vise alors à proposer une</w:t>
      </w:r>
      <w:r w:rsidR="003C011F"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 offre la plus performante aux yeux du client</w:t>
      </w:r>
      <w:r w:rsidR="003C011F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.</w:t>
      </w:r>
    </w:p>
    <w:p w:rsidR="00020DD7" w:rsidRPr="00020DD7" w:rsidRDefault="00C413EB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b/>
          <w:color w:val="030303"/>
          <w:sz w:val="20"/>
          <w:szCs w:val="20"/>
          <w:u w:val="single"/>
          <w:lang w:eastAsia="fr-FR"/>
        </w:rPr>
        <w:t>La focalisation</w:t>
      </w:r>
      <w:r w:rsidRPr="00C413EB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="00020DD7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permet à l’entreprise de concentrer son activité 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sur un segment</w:t>
      </w:r>
      <w:r w:rsidR="00020DD7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ou un groupe de segments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de clientèle restreint dite « niche ». L’entreprise propose une offre sur mesure dans le but de dégager et développer un avantage concurrentiel.</w:t>
      </w:r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i/>
          <w:iCs/>
          <w:color w:val="030303"/>
          <w:sz w:val="20"/>
          <w:szCs w:val="20"/>
          <w:lang w:eastAsia="fr-FR"/>
        </w:rPr>
        <w:t> </w:t>
      </w:r>
    </w:p>
    <w:p w:rsidR="003C011F" w:rsidRPr="00B62DF7" w:rsidRDefault="00B62DF7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4"/>
          <w:szCs w:val="24"/>
          <w:lang w:eastAsia="fr-FR"/>
        </w:rPr>
      </w:pPr>
      <w:r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>I - La</w:t>
      </w:r>
      <w:r w:rsidR="003C011F" w:rsidRPr="00B62DF7"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 xml:space="preserve"> stratég</w:t>
      </w:r>
      <w:r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>ie</w:t>
      </w:r>
      <w:r w:rsidR="003C011F" w:rsidRPr="00B62DF7"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 xml:space="preserve"> de domination par les coûts</w:t>
      </w:r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L’objectif </w:t>
      </w:r>
      <w:r w:rsidR="00B62DF7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est de produire à un coût inférieur à ceux des concurrents pour la même qualité et pour le plus grand nombre de clients </w:t>
      </w:r>
      <w:r w:rsidR="00AE76AC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afin de dégager des prix de vente attractifs tout en restant rentable.</w:t>
      </w:r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Deux </w:t>
      </w:r>
      <w:r w:rsidR="00AE76AC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modalités de la stratégie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de domination par les coûts sont envisageables :</w:t>
      </w:r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AE76AC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–       la </w:t>
      </w:r>
      <w:r w:rsidRPr="00AE76AC">
        <w:rPr>
          <w:rFonts w:ascii="Trebuchet MS" w:eastAsia="Times New Roman" w:hAnsi="Trebuchet MS" w:cs="Times New Roman"/>
          <w:b/>
          <w:color w:val="030303"/>
          <w:sz w:val="20"/>
          <w:szCs w:val="20"/>
          <w:u w:val="single"/>
          <w:lang w:eastAsia="fr-FR"/>
        </w:rPr>
        <w:t>stratégie de volume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consiste à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produire le plus possible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pour offrir des prix compétitifs et ai</w:t>
      </w:r>
      <w:r w:rsidR="00AE76AC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nsi gagner des parts de marché </w:t>
      </w:r>
    </w:p>
    <w:p w:rsidR="003C011F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AE76AC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–       la </w:t>
      </w:r>
      <w:r w:rsidRPr="00AE76AC">
        <w:rPr>
          <w:rFonts w:ascii="Trebuchet MS" w:eastAsia="Times New Roman" w:hAnsi="Trebuchet MS" w:cs="Times New Roman"/>
          <w:b/>
          <w:color w:val="030303"/>
          <w:sz w:val="20"/>
          <w:szCs w:val="20"/>
          <w:u w:val="single"/>
          <w:lang w:eastAsia="fr-FR"/>
        </w:rPr>
        <w:t>stratégie d’efficience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conduit l’entreprise à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améliorer son mode de production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(produire mieux) de façon à optimiser le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rapport qualité prix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de ses produits.</w:t>
      </w:r>
    </w:p>
    <w:p w:rsidR="00AE76AC" w:rsidRDefault="00AE76AC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La stratégie de domination par les coûts repose sur : </w:t>
      </w:r>
    </w:p>
    <w:p w:rsidR="00AE76AC" w:rsidRDefault="00AE76AC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Calibri" w:eastAsia="Times New Roman" w:hAnsi="Calibri" w:cs="Times New Roman"/>
          <w:color w:val="030303"/>
          <w:sz w:val="20"/>
          <w:szCs w:val="20"/>
          <w:lang w:eastAsia="fr-FR"/>
        </w:rPr>
        <w:t>●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Un analyse de l’ensemble de la chaîne de valeur afin de déterminer la meilleure combinaison de production et de dégager des économies.</w:t>
      </w:r>
    </w:p>
    <w:p w:rsidR="00AE76AC" w:rsidRDefault="00AE76AC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Calibri" w:eastAsia="Times New Roman" w:hAnsi="Calibri" w:cs="Times New Roman"/>
          <w:color w:val="030303"/>
          <w:sz w:val="20"/>
          <w:szCs w:val="20"/>
          <w:lang w:eastAsia="fr-FR"/>
        </w:rPr>
        <w:t>●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La recherche d’une taille critique minimale pour être rentable</w:t>
      </w:r>
    </w:p>
    <w:p w:rsidR="00AE76AC" w:rsidRDefault="00AE76AC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Calibri" w:eastAsia="Times New Roman" w:hAnsi="Calibri" w:cs="Times New Roman"/>
          <w:color w:val="030303"/>
          <w:sz w:val="20"/>
          <w:szCs w:val="20"/>
          <w:lang w:eastAsia="fr-FR"/>
        </w:rPr>
        <w:t>●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La réalisation d’économies d’échelle</w:t>
      </w:r>
    </w:p>
    <w:p w:rsidR="00AE76AC" w:rsidRDefault="00AE76AC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Calibri" w:eastAsia="Times New Roman" w:hAnsi="Calibri" w:cs="Times New Roman"/>
          <w:color w:val="030303"/>
          <w:sz w:val="20"/>
          <w:szCs w:val="20"/>
          <w:lang w:eastAsia="fr-FR"/>
        </w:rPr>
        <w:t>●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="00B4503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L’effet d’expérience. </w:t>
      </w:r>
    </w:p>
    <w:p w:rsidR="00B4503A" w:rsidRDefault="00B4503A" w:rsidP="00B4503A">
      <w:pPr>
        <w:shd w:val="clear" w:color="auto" w:fill="FFFFFF"/>
        <w:spacing w:before="100" w:beforeAutospacing="1" w:after="312" w:line="273" w:lineRule="atLeast"/>
        <w:ind w:left="1416" w:hanging="1416"/>
        <w:textAlignment w:val="top"/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</w:pPr>
      <w:proofErr w:type="gramStart"/>
      <w:r w:rsidRPr="00B4503A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lastRenderedPageBreak/>
        <w:t>Avantages</w:t>
      </w:r>
      <w:proofErr w:type="gramEnd"/>
      <w:r w:rsidRPr="00B4503A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 xml:space="preserve"> : </w:t>
      </w:r>
      <w:r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 xml:space="preserve"> </w:t>
      </w:r>
      <w:r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ab/>
        <w:t xml:space="preserve"> </w:t>
      </w:r>
    </w:p>
    <w:p w:rsidR="00B4503A" w:rsidRPr="00B4503A" w:rsidRDefault="00B4503A" w:rsidP="00B4503A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B4503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Les faibles coûts constituent une barrière à l’entrée pour les nouveaux entrants.</w:t>
      </w:r>
    </w:p>
    <w:p w:rsidR="00B4503A" w:rsidRPr="00B4503A" w:rsidRDefault="00B4503A" w:rsidP="00B4503A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B4503A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Accroissement du CA et des parts de marché</w:t>
      </w:r>
    </w:p>
    <w:p w:rsidR="00B4503A" w:rsidRDefault="00B4503A" w:rsidP="00B4503A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</w:pPr>
      <w:proofErr w:type="gramStart"/>
      <w:r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Limites</w:t>
      </w:r>
      <w:proofErr w:type="gramEnd"/>
      <w:r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 xml:space="preserve"> : </w:t>
      </w:r>
    </w:p>
    <w:p w:rsidR="00B4503A" w:rsidRPr="00313E65" w:rsidRDefault="00B4503A" w:rsidP="00B4503A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313E65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Risque de guerre des prix </w:t>
      </w:r>
    </w:p>
    <w:p w:rsidR="00B4503A" w:rsidRPr="00313E65" w:rsidRDefault="00B4503A" w:rsidP="00B4503A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313E65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Capacité d’innovation et d’adaptation entravée. Diminution de la capacité d’investissement.</w:t>
      </w:r>
    </w:p>
    <w:p w:rsidR="00B4503A" w:rsidRPr="00313E65" w:rsidRDefault="00B4503A" w:rsidP="00B4503A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313E65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Risque d’une perception négative du produit et/ou de la marque par le consommateur : prix bas = qualité médiocre.</w:t>
      </w:r>
    </w:p>
    <w:p w:rsidR="003C011F" w:rsidRPr="004776A7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</w:t>
      </w:r>
    </w:p>
    <w:p w:rsidR="003C011F" w:rsidRPr="004776A7" w:rsidRDefault="004776A7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4"/>
          <w:szCs w:val="24"/>
          <w:lang w:eastAsia="fr-FR"/>
        </w:rPr>
      </w:pPr>
      <w:r w:rsidRPr="004776A7"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 xml:space="preserve">II - </w:t>
      </w:r>
      <w:r w:rsidR="003C011F" w:rsidRPr="004776A7"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>les stratégies de différenciation</w:t>
      </w:r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La différenciation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consiste à proposer une offre perçue comme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unique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par le marché, par rapport à l’offre de référence attendue implicitement par la majorité des acheteurs (consommateurs, industriels, etc.).</w:t>
      </w:r>
      <w:r w:rsidR="004776A7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La différenciation apporte une valeur supplémentaire au produit. Elle est en général le résultat d’innovations incrémentales techniques ou commerciales qui confèrent un avantage à l’entreprise.</w:t>
      </w:r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On distingue les stratégies de différenciation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vers le haut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des stratégies de différenciation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vers le bas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en fonction de la variation du couple valeur/prix et du degré de couverture du marché. </w:t>
      </w:r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Les stratégies de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différenciation vers le haut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</w:t>
      </w:r>
      <w:r w:rsidR="00FB3447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ou </w:t>
      </w:r>
      <w:r w:rsidR="00FB3447" w:rsidRPr="00FB3447">
        <w:rPr>
          <w:rFonts w:ascii="Trebuchet MS" w:eastAsia="Times New Roman" w:hAnsi="Trebuchet MS" w:cs="Times New Roman"/>
          <w:b/>
          <w:color w:val="030303"/>
          <w:sz w:val="20"/>
          <w:szCs w:val="20"/>
          <w:u w:val="single"/>
          <w:lang w:eastAsia="fr-FR"/>
        </w:rPr>
        <w:t>différ</w:t>
      </w:r>
      <w:r w:rsidR="00FB3447" w:rsidRPr="00FB3447">
        <w:rPr>
          <w:rFonts w:ascii="Trebuchet MS" w:eastAsia="Times New Roman" w:hAnsi="Trebuchet MS" w:cs="Times New Roman"/>
          <w:b/>
          <w:color w:val="030303"/>
          <w:sz w:val="20"/>
          <w:szCs w:val="20"/>
          <w:u w:val="single"/>
          <w:lang w:eastAsia="fr-FR"/>
        </w:rPr>
        <w:t xml:space="preserve">enciation </w:t>
      </w:r>
      <w:r w:rsidR="00FB3447" w:rsidRPr="00FB3447">
        <w:rPr>
          <w:rFonts w:ascii="Trebuchet MS" w:eastAsia="Times New Roman" w:hAnsi="Trebuchet MS" w:cs="Times New Roman"/>
          <w:b/>
          <w:color w:val="030303"/>
          <w:sz w:val="20"/>
          <w:szCs w:val="20"/>
          <w:u w:val="single"/>
          <w:lang w:eastAsia="fr-FR"/>
        </w:rPr>
        <w:t>à la valeur ajoutée</w:t>
      </w:r>
      <w:r w:rsidR="00FB3447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correspondent à :</w:t>
      </w:r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–       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u w:val="single"/>
          <w:lang w:eastAsia="fr-FR"/>
        </w:rPr>
        <w:t>une amélioration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(la valeur perçue est supérieure à celle des concurrents par la sophistication, la marque, la qualité, les performances, etc.) ;</w:t>
      </w:r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–       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u w:val="single"/>
          <w:lang w:eastAsia="fr-FR"/>
        </w:rPr>
        <w:t>une spécialisation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(en termes de segments de marché desservis par une offre spécifique répondant à des besoins non satisfaits).</w:t>
      </w:r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</w:t>
      </w:r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Les stratégies de </w:t>
      </w: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différenciation vers le bas</w:t>
      </w:r>
      <w:r w:rsidR="00FB3447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 xml:space="preserve"> ou </w:t>
      </w:r>
      <w:r w:rsidR="00FB3447" w:rsidRPr="00FB3447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u w:val="single"/>
          <w:lang w:eastAsia="fr-FR"/>
        </w:rPr>
        <w:t>différenciation par le prix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sont de deux ordres :</w:t>
      </w:r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-        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u w:val="single"/>
          <w:lang w:eastAsia="fr-FR"/>
        </w:rPr>
        <w:t>une épuration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(simplification des caractères perçus du produit, ce qui permet de le proposer à des prix moindres)</w:t>
      </w:r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-        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u w:val="single"/>
          <w:lang w:eastAsia="fr-FR"/>
        </w:rPr>
        <w:t>une limitation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des segments de marché visés.</w:t>
      </w:r>
    </w:p>
    <w:p w:rsidR="003C011F" w:rsidRPr="00B7087D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</w:t>
      </w:r>
      <w:proofErr w:type="gramStart"/>
      <w:r w:rsidR="00355E0E" w:rsidRPr="00B7087D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Avantages</w:t>
      </w:r>
      <w:proofErr w:type="gramEnd"/>
      <w:r w:rsidR="00355E0E" w:rsidRPr="00B7087D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 xml:space="preserve"> : </w:t>
      </w:r>
    </w:p>
    <w:p w:rsidR="00355E0E" w:rsidRDefault="00355E0E" w:rsidP="00355E0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Possibilité de fixer des prix plus élevés que ceux des concurrents</w:t>
      </w:r>
    </w:p>
    <w:p w:rsidR="00355E0E" w:rsidRDefault="00C5415C" w:rsidP="00355E0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Communication propre au segment de clientèle visé</w:t>
      </w:r>
    </w:p>
    <w:p w:rsidR="00C5415C" w:rsidRDefault="00C5415C" w:rsidP="00355E0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Amélioration de la fidélité par effet d’attraction</w:t>
      </w:r>
    </w:p>
    <w:p w:rsidR="00C5415C" w:rsidRDefault="00C5415C" w:rsidP="00355E0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Monopole temporaire si innovation récente</w:t>
      </w:r>
    </w:p>
    <w:p w:rsidR="00C5415C" w:rsidRPr="00B7087D" w:rsidRDefault="00C5415C" w:rsidP="00C5415C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</w:pPr>
      <w:proofErr w:type="gramStart"/>
      <w:r w:rsidRPr="00B7087D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Limites</w:t>
      </w:r>
      <w:proofErr w:type="gramEnd"/>
      <w:r w:rsidRPr="00B7087D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 xml:space="preserve"> : </w:t>
      </w:r>
    </w:p>
    <w:p w:rsidR="00C5415C" w:rsidRDefault="00C5415C" w:rsidP="00C5415C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Rentable pour l’entreprise et défendable face aux concurrents</w:t>
      </w:r>
    </w:p>
    <w:p w:rsidR="00C5415C" w:rsidRDefault="00C5415C" w:rsidP="00C5415C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Doit être réelle et appréciée des clients</w:t>
      </w:r>
    </w:p>
    <w:p w:rsidR="00C5415C" w:rsidRDefault="00C5415C" w:rsidP="00C5415C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</w:p>
    <w:p w:rsidR="00B7087D" w:rsidRDefault="00C5415C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</w:pPr>
      <w:r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>III</w:t>
      </w:r>
      <w:r w:rsidRPr="004776A7"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 xml:space="preserve">- </w:t>
      </w:r>
      <w:r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>la stratégie de f</w:t>
      </w:r>
      <w:r w:rsidR="00B7087D"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  <w:t>ocalisation</w:t>
      </w:r>
    </w:p>
    <w:p w:rsidR="003C011F" w:rsidRPr="00B7087D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iCs/>
          <w:color w:val="030303"/>
          <w:sz w:val="24"/>
          <w:szCs w:val="24"/>
          <w:lang w:eastAsia="fr-FR"/>
        </w:rPr>
      </w:pPr>
      <w:r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 </w:t>
      </w:r>
    </w:p>
    <w:p w:rsidR="003C011F" w:rsidRPr="006A6659" w:rsidRDefault="00B7087D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301FF2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La stratégie de focalisation</w:t>
      </w:r>
      <w:r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 xml:space="preserve"> (ou de concentration)</w:t>
      </w:r>
      <w:r w:rsidR="003C011F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consiste à développer un </w:t>
      </w:r>
      <w:r w:rsidR="003C011F"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avantage concurrentiel</w:t>
      </w:r>
      <w:r w:rsidR="003C011F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sur un </w:t>
      </w:r>
      <w:r w:rsidR="003C011F"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petit nombre de segments</w:t>
      </w:r>
      <w:r w:rsidR="003C011F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ou sur </w:t>
      </w:r>
      <w:r w:rsidR="003C011F" w:rsidRPr="006A6659">
        <w:rPr>
          <w:rFonts w:ascii="Trebuchet MS" w:eastAsia="Times New Roman" w:hAnsi="Trebuchet MS" w:cs="Times New Roman"/>
          <w:b/>
          <w:bCs/>
          <w:color w:val="030303"/>
          <w:sz w:val="20"/>
          <w:szCs w:val="20"/>
          <w:lang w:eastAsia="fr-FR"/>
        </w:rPr>
        <w:t>un segment unique</w:t>
      </w:r>
      <w:r w:rsidR="003C011F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(« niche » de marché : soit un type de produit, soit un type de client, par exemple).</w:t>
      </w:r>
      <w:r w:rsidR="00301FF2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Selon M.PORTER cette stratégie repose sur le choix d’une cible étroite.</w:t>
      </w:r>
    </w:p>
    <w:p w:rsidR="003C011F" w:rsidRPr="006A6659" w:rsidRDefault="00301FF2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Selon M.PORTER la stratégie de focalisation</w:t>
      </w:r>
      <w:r w:rsidR="003C011F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</w:t>
      </w: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réussit grâce à</w:t>
      </w:r>
      <w:r w:rsidR="003C011F"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deux variantes :</w:t>
      </w:r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–       la </w:t>
      </w:r>
      <w:r w:rsidR="00301FF2">
        <w:rPr>
          <w:rFonts w:ascii="Trebuchet MS" w:eastAsia="Times New Roman" w:hAnsi="Trebuchet MS" w:cs="Times New Roman"/>
          <w:color w:val="030303"/>
          <w:sz w:val="20"/>
          <w:szCs w:val="20"/>
          <w:u w:val="single"/>
          <w:lang w:eastAsia="fr-FR"/>
        </w:rPr>
        <w:t>focalisation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u w:val="single"/>
          <w:lang w:eastAsia="fr-FR"/>
        </w:rPr>
        <w:t xml:space="preserve"> fondée sur les coûts</w:t>
      </w:r>
      <w:r w:rsidR="00301FF2">
        <w:rPr>
          <w:rFonts w:ascii="Trebuchet MS" w:eastAsia="Times New Roman" w:hAnsi="Trebuchet MS" w:cs="Times New Roman"/>
          <w:color w:val="030303"/>
          <w:sz w:val="20"/>
          <w:szCs w:val="20"/>
          <w:u w:val="single"/>
          <w:lang w:eastAsia="fr-FR"/>
        </w:rPr>
        <w:t xml:space="preserve"> (domination par les coûts)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consiste à chercher un avantage en ayant les coûts les plus bas dans le segment cible ;</w:t>
      </w:r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–       la </w:t>
      </w:r>
      <w:r w:rsidR="00301FF2">
        <w:rPr>
          <w:rFonts w:ascii="Trebuchet MS" w:eastAsia="Times New Roman" w:hAnsi="Trebuchet MS" w:cs="Times New Roman"/>
          <w:color w:val="030303"/>
          <w:sz w:val="20"/>
          <w:szCs w:val="20"/>
          <w:u w:val="single"/>
          <w:lang w:eastAsia="fr-FR"/>
        </w:rPr>
        <w:t>focalisation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u w:val="single"/>
          <w:lang w:eastAsia="fr-FR"/>
        </w:rPr>
        <w:t xml:space="preserve"> fondée sur la différenciation</w:t>
      </w: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consiste à rendre distinctive la valeur perçue de l’offre dans le segment cible.</w:t>
      </w:r>
    </w:p>
    <w:p w:rsidR="003C011F" w:rsidRDefault="00301FF2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Cette stratégie concerne un segment étroit en termes de produits ou de type de clientèle</w:t>
      </w:r>
      <w:r w:rsidR="0006705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 ou de zone géographique (produits spécifiques à une région comme le fromage en Savoie ou à un univers comme le luxe place </w:t>
      </w:r>
      <w:proofErr w:type="spellStart"/>
      <w:r w:rsidR="0006705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vendôme</w:t>
      </w:r>
      <w:proofErr w:type="spellEnd"/>
      <w:r w:rsidR="00067054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)</w:t>
      </w:r>
      <w:r w:rsidR="0090669D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.</w:t>
      </w:r>
    </w:p>
    <w:p w:rsidR="0090669D" w:rsidRDefault="0090669D" w:rsidP="0090669D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</w:pPr>
      <w:proofErr w:type="gramStart"/>
      <w:r w:rsidRPr="0090669D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Avantages</w:t>
      </w:r>
      <w:proofErr w:type="gramEnd"/>
      <w:r w:rsidRPr="0090669D"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 xml:space="preserve"> : </w:t>
      </w:r>
    </w:p>
    <w:p w:rsidR="0090669D" w:rsidRDefault="0090669D" w:rsidP="0090669D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Clientèle ciblée. Bonne connaissance des attentes. Fidélisation plus aisée et rentabilité garantie.</w:t>
      </w:r>
    </w:p>
    <w:p w:rsidR="0090669D" w:rsidRDefault="0090669D" w:rsidP="0090669D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b/>
          <w:color w:val="030303"/>
          <w:sz w:val="20"/>
          <w:szCs w:val="20"/>
          <w:lang w:eastAsia="fr-FR"/>
        </w:rPr>
        <w:t>Peu coûteuse et peu risquée</w:t>
      </w:r>
    </w:p>
    <w:p w:rsidR="0090669D" w:rsidRDefault="0090669D" w:rsidP="0090669D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proofErr w:type="gramStart"/>
      <w:r w:rsidRPr="0090669D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Limites</w:t>
      </w:r>
      <w:proofErr w:type="gramEnd"/>
      <w:r w:rsidRPr="0090669D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 xml:space="preserve"> : </w:t>
      </w:r>
    </w:p>
    <w:p w:rsidR="0090669D" w:rsidRDefault="0090669D" w:rsidP="0090669D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Importante dépendance vis-à-vis du segment</w:t>
      </w:r>
    </w:p>
    <w:p w:rsidR="00271909" w:rsidRDefault="00271909" w:rsidP="0090669D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Evolution inattendue des besoins du consommateur</w:t>
      </w:r>
    </w:p>
    <w:p w:rsidR="00271909" w:rsidRPr="0090669D" w:rsidRDefault="00271909" w:rsidP="0090669D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La rentabilité attir</w:t>
      </w:r>
      <w:r w:rsidR="008B2EAB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e nécessairement des concurrents</w:t>
      </w:r>
      <w:bookmarkStart w:id="0" w:name="_GoBack"/>
      <w:bookmarkEnd w:id="0"/>
    </w:p>
    <w:p w:rsidR="003C011F" w:rsidRPr="006A6659" w:rsidRDefault="003C011F" w:rsidP="003C011F">
      <w:pPr>
        <w:shd w:val="clear" w:color="auto" w:fill="FFFFFF"/>
        <w:spacing w:before="100" w:beforeAutospacing="1" w:after="312" w:line="273" w:lineRule="atLeast"/>
        <w:textAlignment w:val="top"/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</w:pPr>
      <w:r w:rsidRPr="006A6659">
        <w:rPr>
          <w:rFonts w:ascii="Trebuchet MS" w:eastAsia="Times New Roman" w:hAnsi="Trebuchet MS" w:cs="Times New Roman"/>
          <w:color w:val="030303"/>
          <w:sz w:val="20"/>
          <w:szCs w:val="20"/>
          <w:lang w:eastAsia="fr-FR"/>
        </w:rPr>
        <w:t> </w:t>
      </w:r>
    </w:p>
    <w:p w:rsidR="003C011F" w:rsidRPr="006A6659" w:rsidRDefault="003C011F" w:rsidP="003C011F"/>
    <w:p w:rsidR="001608A0" w:rsidRPr="003C011F" w:rsidRDefault="001608A0" w:rsidP="003C011F"/>
    <w:sectPr w:rsidR="001608A0" w:rsidRPr="003C0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440E2"/>
    <w:multiLevelType w:val="hybridMultilevel"/>
    <w:tmpl w:val="B3461E76"/>
    <w:lvl w:ilvl="0" w:tplc="4630F17C">
      <w:numFmt w:val="bullet"/>
      <w:lvlText w:val="-"/>
      <w:lvlJc w:val="left"/>
      <w:pPr>
        <w:ind w:left="1919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" w15:restartNumberingAfterBreak="0">
    <w:nsid w:val="3C624E85"/>
    <w:multiLevelType w:val="hybridMultilevel"/>
    <w:tmpl w:val="776C09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559EE"/>
    <w:multiLevelType w:val="hybridMultilevel"/>
    <w:tmpl w:val="85824F40"/>
    <w:lvl w:ilvl="0" w:tplc="BFFC9E62">
      <w:numFmt w:val="bullet"/>
      <w:lvlText w:val="-"/>
      <w:lvlJc w:val="left"/>
      <w:pPr>
        <w:ind w:left="1776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E9"/>
    <w:rsid w:val="00020DD7"/>
    <w:rsid w:val="00067054"/>
    <w:rsid w:val="001154A5"/>
    <w:rsid w:val="001608A0"/>
    <w:rsid w:val="00271909"/>
    <w:rsid w:val="00301FF2"/>
    <w:rsid w:val="00305BE9"/>
    <w:rsid w:val="00313E65"/>
    <w:rsid w:val="00355E0E"/>
    <w:rsid w:val="003C011F"/>
    <w:rsid w:val="00412FEA"/>
    <w:rsid w:val="004776A7"/>
    <w:rsid w:val="00534E3F"/>
    <w:rsid w:val="008B2EAB"/>
    <w:rsid w:val="0090669D"/>
    <w:rsid w:val="00A36CB4"/>
    <w:rsid w:val="00AE76AC"/>
    <w:rsid w:val="00B4503A"/>
    <w:rsid w:val="00B62DF7"/>
    <w:rsid w:val="00B7087D"/>
    <w:rsid w:val="00C0337F"/>
    <w:rsid w:val="00C413EB"/>
    <w:rsid w:val="00C5415C"/>
    <w:rsid w:val="00DC0DD2"/>
    <w:rsid w:val="00FB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D2982-9D43-4E7F-B508-BCD6DA96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1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12</cp:revision>
  <dcterms:created xsi:type="dcterms:W3CDTF">2017-09-08T18:41:00Z</dcterms:created>
  <dcterms:modified xsi:type="dcterms:W3CDTF">2017-09-22T14:13:00Z</dcterms:modified>
</cp:coreProperties>
</file>