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656"/>
      </w:tblGrid>
      <w:tr>
        <w:tc>
          <w:tcPr>
            <w:tcW w:type="dxa" w:w="10512"/>
            <w:shd w:fill="2B428A"/>
            <w:tcMar>
              <w:top w:w="170" w:type="dxa"/>
              <w:start w:w="180" w:type="dxa"/>
              <w:bottom w:w="160" w:type="dxa"/>
              <w:end w:w="180" w:type="dxa"/>
            </w:tcMar>
          </w:tcPr>
          <w:p>
            <w:pPr>
              <w:jc w:val="left"/>
            </w:pPr>
            <w:r>
              <w:rPr>
                <w:b/>
                <w:color w:val="FFFFFF"/>
                <w:sz w:val="34"/>
              </w:rPr>
              <w:t>EFERT FORECASTING INTELLIGENCE MEMO</w:t>
            </w:r>
          </w:p>
          <w:p>
            <w:pPr>
              <w:spacing w:before="40" w:after="0"/>
            </w:pPr>
            <w:r>
              <w:rPr>
                <w:color w:val="FFFFFF"/>
                <w:sz w:val="19"/>
              </w:rPr>
              <w:t>Engro Urea - 50 kg Bag | 12-Week Production &amp; Distributor Replenishment Decision</w:t>
            </w:r>
          </w:p>
        </w:tc>
      </w:tr>
    </w:tbl>
    <w:p>
      <w:pPr>
        <w:spacing w:before="100" w:after="80"/>
        <w:jc w:val="right"/>
      </w:pPr>
      <w:r>
        <w:rPr>
          <w:color w:val="6D7187"/>
          <w:sz w:val="16"/>
        </w:rPr>
        <w:t>Mustafa Mirza   |   MGT-353 Supply Chain Analytics   |   Portfolio Milestone 1</w:t>
      </w:r>
    </w:p>
    <w:tbl>
      <w:tblPr>
        <w:tblW w:type="auto" w:w="0"/>
        <w:jc w:val="center"/>
        <w:tblLook w:firstColumn="1" w:firstRow="1" w:lastColumn="0" w:lastRow="0" w:noHBand="0" w:noVBand="1" w:val="04A0"/>
      </w:tblPr>
      <w:tblGrid>
        <w:gridCol w:w="10656"/>
      </w:tblGrid>
      <w:tr>
        <w:tc>
          <w:tcPr>
            <w:tcW w:type="dxa" w:w="10656"/>
            <w:shd w:fill="EEF0FF"/>
            <w:tcMar>
              <w:top w:w="120" w:type="dxa"/>
              <w:start w:w="150" w:type="dxa"/>
              <w:bottom w:w="120" w:type="dxa"/>
              <w:end w:w="150" w:type="dxa"/>
            </w:tcMar>
            <w:tcBorders>
              <w:left w:val="single" w:sz="18" w:color="2878F0"/>
            </w:tcBorders>
          </w:tcPr>
          <w:p>
            <w:pPr>
              <w:spacing w:after="40"/>
            </w:pPr>
            <w:r>
              <w:rPr>
                <w:b/>
                <w:color w:val="6D7187"/>
                <w:sz w:val="16"/>
              </w:rPr>
              <w:t>RECOMMENDATION</w:t>
            </w:r>
          </w:p>
          <w:p>
            <w:pPr>
              <w:spacing w:after="0"/>
            </w:pPr>
            <w:r>
              <w:rPr>
                <w:b/>
                <w:color w:val="2B428A"/>
                <w:sz w:val="27"/>
              </w:rPr>
              <w:t>Commit 9.96M bags now; retain 1.11M bags as flexible replenishment volume.</w:t>
            </w:r>
          </w:p>
        </w:tc>
      </w:tr>
    </w:tbl>
    <w:p>
      <w:pPr>
        <w:spacing w:after="0"/>
      </w:pPr>
    </w:p>
    <w:tbl>
      <w:tblPr>
        <w:tblW w:type="auto" w:w="0"/>
        <w:jc w:val="center"/>
        <w:tblLayout w:type="fixed"/>
        <w:tblLook w:firstColumn="1" w:firstRow="1" w:lastColumn="0" w:lastRow="0" w:noHBand="0" w:noVBand="1" w:val="04A0"/>
      </w:tblPr>
      <w:tblGrid>
        <w:gridCol w:w="2664"/>
        <w:gridCol w:w="2664"/>
        <w:gridCol w:w="2664"/>
        <w:gridCol w:w="2664"/>
      </w:tblGrid>
      <w:tr>
        <w:tc>
          <w:tcPr>
            <w:tcW w:type="dxa" w:w="2621"/>
            <w:shd w:fill="FFFFFF"/>
            <w:tcMar>
              <w:top w:w="90" w:type="dxa"/>
              <w:start w:w="100" w:type="dxa"/>
              <w:bottom w:w="90" w:type="dxa"/>
              <w:end w:w="100" w:type="dxa"/>
            </w:tcMar>
            <w:tcBorders>
              <w:top w:val="single" w:sz="12" w:color="2B428A"/>
              <w:left w:val="single" w:sz="4" w:color="E2DFE5"/>
              <w:bottom w:val="single" w:sz="4" w:color="E2DFE5"/>
              <w:right w:val="single" w:sz="4" w:color="E2DFE5"/>
            </w:tcBorders>
          </w:tcPr>
          <w:p>
            <w:pPr>
              <w:spacing w:after="40"/>
            </w:pPr>
            <w:r>
              <w:rPr>
                <w:b/>
                <w:color w:val="6D7187"/>
                <w:sz w:val="14"/>
              </w:rPr>
              <w:t>NEXT 12-WEEK FORECAST</w:t>
            </w:r>
          </w:p>
          <w:p>
            <w:pPr>
              <w:spacing w:after="0"/>
            </w:pPr>
            <w:r>
              <w:rPr>
                <w:b/>
                <w:color w:val="2B428A"/>
                <w:sz w:val="30"/>
              </w:rPr>
              <w:t>11.07M</w:t>
            </w:r>
          </w:p>
          <w:p>
            <w:pPr>
              <w:spacing w:before="20" w:after="0"/>
            </w:pPr>
            <w:r>
              <w:rPr>
                <w:color w:val="6D7187"/>
                <w:sz w:val="14"/>
              </w:rPr>
              <w:t>50 kg bags</w:t>
            </w:r>
          </w:p>
        </w:tc>
        <w:tc>
          <w:tcPr>
            <w:tcW w:type="dxa" w:w="2621"/>
            <w:shd w:fill="FFFFFF"/>
            <w:tcMar>
              <w:top w:w="90" w:type="dxa"/>
              <w:start w:w="100" w:type="dxa"/>
              <w:bottom w:w="90" w:type="dxa"/>
              <w:end w:w="100" w:type="dxa"/>
            </w:tcMar>
            <w:tcBorders>
              <w:top w:val="single" w:sz="12" w:color="2878F0"/>
              <w:left w:val="single" w:sz="4" w:color="E2DFE5"/>
              <w:bottom w:val="single" w:sz="4" w:color="E2DFE5"/>
              <w:right w:val="single" w:sz="4" w:color="E2DFE5"/>
            </w:tcBorders>
          </w:tcPr>
          <w:p>
            <w:pPr>
              <w:spacing w:after="40"/>
            </w:pPr>
            <w:r>
              <w:rPr>
                <w:b/>
                <w:color w:val="6D7187"/>
                <w:sz w:val="14"/>
              </w:rPr>
              <w:t>AVG / WEEK</w:t>
            </w:r>
          </w:p>
          <w:p>
            <w:pPr>
              <w:spacing w:after="0"/>
            </w:pPr>
            <w:r>
              <w:rPr>
                <w:b/>
                <w:color w:val="2878F0"/>
                <w:sz w:val="30"/>
              </w:rPr>
              <w:t>922K</w:t>
            </w:r>
          </w:p>
          <w:p>
            <w:pPr>
              <w:spacing w:before="20" w:after="0"/>
            </w:pPr>
            <w:r>
              <w:rPr>
                <w:color w:val="6D7187"/>
                <w:sz w:val="14"/>
              </w:rPr>
              <w:t>bags</w:t>
            </w:r>
          </w:p>
        </w:tc>
        <w:tc>
          <w:tcPr>
            <w:tcW w:type="dxa" w:w="2621"/>
            <w:shd w:fill="FFFFFF"/>
            <w:tcMar>
              <w:top w:w="90" w:type="dxa"/>
              <w:start w:w="100" w:type="dxa"/>
              <w:bottom w:w="90" w:type="dxa"/>
              <w:end w:w="100" w:type="dxa"/>
            </w:tcMar>
            <w:tcBorders>
              <w:top w:val="single" w:sz="12" w:color="F2B84B"/>
              <w:left w:val="single" w:sz="4" w:color="E2DFE5"/>
              <w:bottom w:val="single" w:sz="4" w:color="E2DFE5"/>
              <w:right w:val="single" w:sz="4" w:color="E2DFE5"/>
            </w:tcBorders>
          </w:tcPr>
          <w:p>
            <w:pPr>
              <w:spacing w:after="40"/>
            </w:pPr>
            <w:r>
              <w:rPr>
                <w:b/>
                <w:color w:val="6D7187"/>
                <w:sz w:val="14"/>
              </w:rPr>
              <w:t>PEAK WEEK</w:t>
            </w:r>
          </w:p>
          <w:p>
            <w:pPr>
              <w:spacing w:after="0"/>
            </w:pPr>
            <w:r>
              <w:rPr>
                <w:b/>
                <w:color w:val="20233A"/>
                <w:sz w:val="30"/>
              </w:rPr>
              <w:t>1.17M</w:t>
            </w:r>
          </w:p>
          <w:p>
            <w:pPr>
              <w:spacing w:before="20" w:after="0"/>
            </w:pPr>
            <w:r>
              <w:rPr>
                <w:color w:val="6D7187"/>
                <w:sz w:val="14"/>
              </w:rPr>
              <w:t>05 Jan 2026</w:t>
            </w:r>
          </w:p>
        </w:tc>
        <w:tc>
          <w:tcPr>
            <w:tcW w:type="dxa" w:w="2621"/>
            <w:shd w:fill="FFFFFF"/>
            <w:tcMar>
              <w:top w:w="90" w:type="dxa"/>
              <w:start w:w="100" w:type="dxa"/>
              <w:bottom w:w="90" w:type="dxa"/>
              <w:end w:w="100" w:type="dxa"/>
            </w:tcMar>
            <w:tcBorders>
              <w:top w:val="single" w:sz="12" w:color="5B4BC4"/>
              <w:left w:val="single" w:sz="4" w:color="E2DFE5"/>
              <w:bottom w:val="single" w:sz="4" w:color="E2DFE5"/>
              <w:right w:val="single" w:sz="4" w:color="E2DFE5"/>
            </w:tcBorders>
          </w:tcPr>
          <w:p>
            <w:pPr>
              <w:spacing w:after="40"/>
            </w:pPr>
            <w:r>
              <w:rPr>
                <w:b/>
                <w:color w:val="6D7187"/>
                <w:sz w:val="14"/>
              </w:rPr>
              <w:t>BEST MODEL</w:t>
            </w:r>
          </w:p>
          <w:p>
            <w:pPr>
              <w:spacing w:after="0"/>
            </w:pPr>
            <w:r>
              <w:rPr>
                <w:b/>
                <w:color w:val="5B4BC4"/>
                <w:sz w:val="23"/>
              </w:rPr>
              <w:t>Holt-Winters</w:t>
            </w:r>
          </w:p>
          <w:p>
            <w:pPr>
              <w:spacing w:before="20" w:after="0"/>
            </w:pPr>
            <w:r>
              <w:rPr>
                <w:color w:val="6D7187"/>
                <w:sz w:val="14"/>
              </w:rPr>
              <w:t>Holdout WAPE 6.64%</w:t>
            </w:r>
          </w:p>
        </w:tc>
      </w:tr>
    </w:tbl>
    <w:p>
      <w:pPr>
        <w:spacing w:before="140" w:after="40"/>
      </w:pPr>
      <w:r>
        <w:rPr>
          <w:b/>
          <w:color w:val="2B428A"/>
          <w:sz w:val="20"/>
        </w:rPr>
        <w:t>1. Decision Context</w:t>
      </w:r>
    </w:p>
    <w:p>
      <w:pPr>
        <w:spacing w:before="0" w:after="60" w:line="245" w:lineRule="auto"/>
      </w:pPr>
      <w:r>
        <w:rPr>
          <w:color w:val="20233A"/>
          <w:sz w:val="17"/>
        </w:rPr>
        <w:t>EFERT needs a 12-week production and distributor-replenishment plan for Engro Urea that balances expected demand with the cost of overcommitting capacity. The final Holt-Winters model, refitted on all 156 observed synthetic weeks after validation, forecasts 11.07 million 50 kg bags over the next 12 weeks, with an average of 922,226 bags per week and a peak of 1.17 million bags in the week of 05 January 2026.</w:t>
      </w:r>
    </w:p>
    <w:p>
      <w:pPr>
        <w:spacing w:before="140" w:after="40"/>
      </w:pPr>
      <w:r>
        <w:rPr>
          <w:b/>
          <w:color w:val="2B428A"/>
          <w:sz w:val="20"/>
        </w:rPr>
        <w:t>2. Why This Forecast Is Credible</w:t>
      </w:r>
    </w:p>
    <w:p>
      <w:pPr>
        <w:spacing w:before="0" w:after="60" w:line="245" w:lineRule="auto"/>
      </w:pPr>
      <w:r>
        <w:rPr>
          <w:color w:val="20233A"/>
          <w:sz w:val="17"/>
        </w:rPr>
        <w:t>Holt-Winters produced the strongest performance on the untouched 12-week holdout: WAPE 6.64%, MAPE 7.09%, MAD 63,431 bags and RMSE 94,008 bags. Seasonal Naive was the next-best benchmark at 9.41% WAPE, reinforcing that annual agricultural seasonality is real and useful. However, the selected model still showed a negative bias of 28,192 bags per week and a Tracking Signal of -5.33, indicating an over-forecast tendency that should be managed through flexible execution rather than ignored.</w:t>
      </w:r>
    </w:p>
    <w:p>
      <w:pPr>
        <w:spacing w:before="140" w:after="40"/>
      </w:pPr>
      <w:r>
        <w:rPr>
          <w:b/>
          <w:color w:val="2B428A"/>
          <w:sz w:val="20"/>
        </w:rPr>
        <w:t>3. What Appears to Drive Demand</w:t>
      </w:r>
    </w:p>
    <w:p>
      <w:pPr>
        <w:spacing w:before="0" w:after="60" w:line="245" w:lineRule="auto"/>
      </w:pPr>
      <w:r>
        <w:rPr>
          <w:color w:val="20233A"/>
          <w:sz w:val="17"/>
        </w:rPr>
        <w:t>The training-period regression explains 81.6% of weekly demand variation (Adjusted R² 81.1%). Agricultural-event windows are associated with roughly +231,000 bags per week, promotion weeks with +148,000 bags, and every 10 additional distribution points with about +13,000 bags. Price has a small negative coefficient (about -1,800 bags per PKR 100 increase) but is not statistically significant (p = 0.195). These are associations, not verified causal effects.</w:t>
      </w:r>
    </w:p>
    <w:p>
      <w:pPr>
        <w:spacing w:before="140" w:after="40"/>
      </w:pPr>
      <w:r>
        <w:rPr>
          <w:b/>
          <w:color w:val="2B428A"/>
          <w:sz w:val="20"/>
        </w:rPr>
        <w:t>4. Risk Test &amp; Operating Policy</w:t>
      </w:r>
    </w:p>
    <w:tbl>
      <w:tblPr>
        <w:tblW w:type="auto" w:w="0"/>
        <w:jc w:val="center"/>
        <w:tblLayout w:type="fixed"/>
        <w:tblLook w:firstColumn="1" w:firstRow="1" w:lastColumn="0" w:lastRow="0" w:noHBand="0" w:noVBand="1" w:val="04A0"/>
      </w:tblPr>
      <w:tblGrid>
        <w:gridCol w:w="3552"/>
        <w:gridCol w:w="3552"/>
        <w:gridCol w:w="3552"/>
      </w:tblGrid>
      <w:tr>
        <w:tc>
          <w:tcPr>
            <w:tcW w:type="dxa" w:w="3552"/>
            <w:shd w:fill="2B428A"/>
            <w:tcMar>
              <w:top w:w="70" w:type="dxa"/>
              <w:start w:w="80" w:type="dxa"/>
              <w:bottom w:w="70" w:type="dxa"/>
              <w:end w:w="80" w:type="dxa"/>
            </w:tcMar>
          </w:tcPr>
          <w:p>
            <w:r>
              <w:rPr>
                <w:b/>
                <w:color w:val="FFFFFF"/>
                <w:sz w:val="15"/>
              </w:rPr>
              <w:t>Scenario</w:t>
            </w:r>
          </w:p>
        </w:tc>
        <w:tc>
          <w:tcPr>
            <w:tcW w:type="dxa" w:w="3552"/>
            <w:shd w:fill="2B428A"/>
            <w:tcMar>
              <w:top w:w="70" w:type="dxa"/>
              <w:start w:w="80" w:type="dxa"/>
              <w:bottom w:w="70" w:type="dxa"/>
              <w:end w:w="80" w:type="dxa"/>
            </w:tcMar>
          </w:tcPr>
          <w:p>
            <w:r>
              <w:rPr>
                <w:b/>
                <w:color w:val="FFFFFF"/>
                <w:sz w:val="15"/>
              </w:rPr>
              <w:t>12-Week Volume</w:t>
            </w:r>
          </w:p>
        </w:tc>
        <w:tc>
          <w:tcPr>
            <w:tcW w:type="dxa" w:w="3552"/>
            <w:shd w:fill="2B428A"/>
            <w:tcMar>
              <w:top w:w="70" w:type="dxa"/>
              <w:start w:w="80" w:type="dxa"/>
              <w:bottom w:w="70" w:type="dxa"/>
              <w:end w:w="80" w:type="dxa"/>
            </w:tcMar>
          </w:tcPr>
          <w:p>
            <w:r>
              <w:rPr>
                <w:b/>
                <w:color w:val="FFFFFF"/>
                <w:sz w:val="15"/>
              </w:rPr>
              <w:t>Implication</w:t>
            </w:r>
          </w:p>
        </w:tc>
      </w:tr>
      <w:tr>
        <w:tc>
          <w:tcPr>
            <w:tcW w:type="dxa" w:w="3552"/>
            <w:shd w:fill="FFFFFF"/>
            <w:tcMar>
              <w:top w:w="60" w:type="dxa"/>
              <w:start w:w="80" w:type="dxa"/>
              <w:bottom w:w="60" w:type="dxa"/>
              <w:end w:w="80" w:type="dxa"/>
            </w:tcMar>
            <w:tcBorders>
              <w:bottom w:val="single" w:sz="3" w:color="E2DFE5"/>
            </w:tcBorders>
          </w:tcPr>
          <w:p>
            <w:r>
              <w:rPr>
                <w:b/>
                <w:color w:val="20233A"/>
                <w:sz w:val="15"/>
              </w:rPr>
              <w:t>Downside -10%</w:t>
            </w:r>
          </w:p>
        </w:tc>
        <w:tc>
          <w:tcPr>
            <w:tcW w:type="dxa" w:w="3552"/>
            <w:shd w:fill="FFFFFF"/>
            <w:tcMar>
              <w:top w:w="60" w:type="dxa"/>
              <w:start w:w="80" w:type="dxa"/>
              <w:bottom w:w="60" w:type="dxa"/>
              <w:end w:w="80" w:type="dxa"/>
            </w:tcMar>
            <w:tcBorders>
              <w:bottom w:val="single" w:sz="3" w:color="E2DFE5"/>
            </w:tcBorders>
          </w:tcPr>
          <w:p>
            <w:r>
              <w:rPr>
                <w:color w:val="20233A"/>
                <w:sz w:val="15"/>
              </w:rPr>
              <w:t>9.96M bags</w:t>
            </w:r>
          </w:p>
        </w:tc>
        <w:tc>
          <w:tcPr>
            <w:tcW w:type="dxa" w:w="3552"/>
            <w:shd w:fill="FFFFFF"/>
            <w:tcMar>
              <w:top w:w="60" w:type="dxa"/>
              <w:start w:w="80" w:type="dxa"/>
              <w:bottom w:w="60" w:type="dxa"/>
              <w:end w:w="80" w:type="dxa"/>
            </w:tcMar>
            <w:tcBorders>
              <w:bottom w:val="single" w:sz="3" w:color="E2DFE5"/>
            </w:tcBorders>
          </w:tcPr>
          <w:p>
            <w:r>
              <w:rPr>
                <w:color w:val="20233A"/>
                <w:sz w:val="15"/>
              </w:rPr>
              <w:t>Absorbed by 90% firm commitment</w:t>
            </w:r>
          </w:p>
        </w:tc>
      </w:tr>
      <w:tr>
        <w:tc>
          <w:tcPr>
            <w:tcW w:type="dxa" w:w="3552"/>
            <w:shd w:fill="F6F7FB"/>
            <w:tcMar>
              <w:top w:w="60" w:type="dxa"/>
              <w:start w:w="80" w:type="dxa"/>
              <w:bottom w:w="60" w:type="dxa"/>
              <w:end w:w="80" w:type="dxa"/>
            </w:tcMar>
            <w:tcBorders>
              <w:bottom w:val="single" w:sz="3" w:color="E2DFE5"/>
            </w:tcBorders>
          </w:tcPr>
          <w:p>
            <w:r>
              <w:rPr>
                <w:b/>
                <w:color w:val="20233A"/>
                <w:sz w:val="15"/>
              </w:rPr>
              <w:t>Upside +10%</w:t>
            </w:r>
          </w:p>
        </w:tc>
        <w:tc>
          <w:tcPr>
            <w:tcW w:type="dxa" w:w="3552"/>
            <w:shd w:fill="F6F7FB"/>
            <w:tcMar>
              <w:top w:w="60" w:type="dxa"/>
              <w:start w:w="80" w:type="dxa"/>
              <w:bottom w:w="60" w:type="dxa"/>
              <w:end w:w="80" w:type="dxa"/>
            </w:tcMar>
            <w:tcBorders>
              <w:bottom w:val="single" w:sz="3" w:color="E2DFE5"/>
            </w:tcBorders>
          </w:tcPr>
          <w:p>
            <w:r>
              <w:rPr>
                <w:color w:val="20233A"/>
                <w:sz w:val="15"/>
              </w:rPr>
              <w:t>12.17M bags</w:t>
            </w:r>
          </w:p>
        </w:tc>
        <w:tc>
          <w:tcPr>
            <w:tcW w:type="dxa" w:w="3552"/>
            <w:shd w:fill="F6F7FB"/>
            <w:tcMar>
              <w:top w:w="60" w:type="dxa"/>
              <w:start w:w="80" w:type="dxa"/>
              <w:bottom w:w="60" w:type="dxa"/>
              <w:end w:w="80" w:type="dxa"/>
            </w:tcMar>
            <w:tcBorders>
              <w:bottom w:val="single" w:sz="3" w:color="E2DFE5"/>
            </w:tcBorders>
          </w:tcPr>
          <w:p>
            <w:r>
              <w:rPr>
                <w:color w:val="20233A"/>
                <w:sz w:val="15"/>
              </w:rPr>
              <w:t>+1.11M bags beyond base plan</w:t>
            </w:r>
          </w:p>
        </w:tc>
      </w:tr>
      <w:tr>
        <w:tc>
          <w:tcPr>
            <w:tcW w:type="dxa" w:w="3552"/>
            <w:shd w:fill="FFFFFF"/>
            <w:tcMar>
              <w:top w:w="60" w:type="dxa"/>
              <w:start w:w="80" w:type="dxa"/>
              <w:bottom w:w="60" w:type="dxa"/>
              <w:end w:w="80" w:type="dxa"/>
            </w:tcMar>
            <w:tcBorders>
              <w:bottom w:val="single" w:sz="3" w:color="E2DFE5"/>
            </w:tcBorders>
          </w:tcPr>
          <w:p>
            <w:r>
              <w:rPr>
                <w:b/>
                <w:color w:val="20233A"/>
                <w:sz w:val="15"/>
              </w:rPr>
              <w:t>Event weeks +15%</w:t>
            </w:r>
          </w:p>
        </w:tc>
        <w:tc>
          <w:tcPr>
            <w:tcW w:type="dxa" w:w="3552"/>
            <w:shd w:fill="FFFFFF"/>
            <w:tcMar>
              <w:top w:w="60" w:type="dxa"/>
              <w:start w:w="80" w:type="dxa"/>
              <w:bottom w:w="60" w:type="dxa"/>
              <w:end w:w="80" w:type="dxa"/>
            </w:tcMar>
            <w:tcBorders>
              <w:bottom w:val="single" w:sz="3" w:color="E2DFE5"/>
            </w:tcBorders>
          </w:tcPr>
          <w:p>
            <w:r>
              <w:rPr>
                <w:color w:val="20233A"/>
                <w:sz w:val="15"/>
              </w:rPr>
              <w:t>11.88M bags</w:t>
            </w:r>
          </w:p>
        </w:tc>
        <w:tc>
          <w:tcPr>
            <w:tcW w:type="dxa" w:w="3552"/>
            <w:shd w:fill="FFFFFF"/>
            <w:tcMar>
              <w:top w:w="60" w:type="dxa"/>
              <w:start w:w="80" w:type="dxa"/>
              <w:bottom w:w="60" w:type="dxa"/>
              <w:end w:w="80" w:type="dxa"/>
            </w:tcMar>
            <w:tcBorders>
              <w:bottom w:val="single" w:sz="3" w:color="E2DFE5"/>
            </w:tcBorders>
          </w:tcPr>
          <w:p>
            <w:r>
              <w:rPr>
                <w:color w:val="20233A"/>
                <w:sz w:val="15"/>
              </w:rPr>
              <w:t>+0.81M incremental bags</w:t>
            </w:r>
          </w:p>
        </w:tc>
      </w:tr>
    </w:tbl>
    <w:tbl>
      <w:tblPr>
        <w:tblW w:type="auto" w:w="0"/>
        <w:jc w:val="center"/>
        <w:tblLook w:firstColumn="1" w:firstRow="1" w:lastColumn="0" w:lastRow="0" w:noHBand="0" w:noVBand="1" w:val="04A0"/>
      </w:tblPr>
      <w:tblGrid>
        <w:gridCol w:w="10656"/>
      </w:tblGrid>
      <w:tr>
        <w:tc>
          <w:tcPr>
            <w:tcW w:type="dxa" w:w="10656"/>
            <w:shd w:fill="F7F4FF"/>
            <w:tcMar>
              <w:top w:w="110" w:type="dxa"/>
              <w:start w:w="140" w:type="dxa"/>
              <w:bottom w:w="110" w:type="dxa"/>
              <w:end w:w="140" w:type="dxa"/>
            </w:tcMar>
            <w:tcBorders>
              <w:left w:val="single" w:sz="18" w:color="5B4BC4"/>
            </w:tcBorders>
          </w:tcPr>
          <w:p>
            <w:r>
              <w:rPr>
                <w:b/>
                <w:color w:val="6D7187"/>
                <w:sz w:val="16"/>
              </w:rPr>
              <w:t>ACTION &amp; REVIEW TRIGGER</w:t>
            </w:r>
          </w:p>
          <w:p>
            <w:pPr>
              <w:spacing w:after="0"/>
            </w:pPr>
            <w:r>
              <w:rPr>
                <w:b/>
                <w:color w:val="20233A"/>
                <w:sz w:val="17"/>
              </w:rPr>
              <w:t>Commit 9.96M bags through production and distributor replenishment, retain 1.11M bags as responsive volume, and maintain event-week readiness for approximately 0.81M incremental bags. Reforecast if either of the first two weeks deviates from forecast by more than 10%, if Tracking Signal deteriorates materially, or if an operational disruption threatens more than 5% of planned supply.</w:t>
            </w:r>
          </w:p>
        </w:tc>
      </w:tr>
    </w:tbl>
    <w:p>
      <w:pPr>
        <w:spacing w:before="100" w:after="0"/>
        <w:jc w:val="center"/>
      </w:pPr>
      <w:r>
        <w:rPr>
          <w:i/>
          <w:color w:val="6D7187"/>
          <w:sz w:val="13"/>
        </w:rPr>
        <w:t>Company-Calibrated Synthetic Dataset for Academic Analysis — illustrative figures, calibrated to Engro Fertilizers Limited (EFERT)'s disclosed scale, not actual company records.</w:t>
      </w:r>
    </w:p>
    <w:sectPr w:rsidR="00FC693F" w:rsidRPr="0006063C" w:rsidSect="00034616">
      <w:pgSz w:w="12240" w:h="15840"/>
      <w:pgMar w:top="648"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3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