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253B80"/>
            <w:tcMar>
              <w:top w:w="150" w:type="dxa"/>
              <w:start w:w="170" w:type="dxa"/>
              <w:bottom w:w="145" w:type="dxa"/>
              <w:end w:w="170" w:type="dxa"/>
            </w:tcMar>
          </w:tcPr>
          <w:p>
            <w:r>
              <w:rPr>
                <w:b/>
                <w:color w:val="FFFFFF"/>
                <w:sz w:val="34"/>
              </w:rPr>
              <w:t>FORECAST VALIDATION NOTE</w:t>
            </w:r>
          </w:p>
          <w:p>
            <w:pPr>
              <w:spacing w:before="40" w:after="0"/>
            </w:pPr>
            <w:r>
              <w:rPr>
                <w:color w:val="FFFFFF"/>
                <w:sz w:val="18"/>
              </w:rPr>
              <w:t>EFERT | Engro Urea - 50 kg Bag | Holdout Integrity, Error Diagnosis &amp; Forward Refit</w:t>
            </w:r>
          </w:p>
        </w:tc>
      </w:tr>
    </w:tbl>
    <w:p>
      <w:pPr>
        <w:spacing w:before="80" w:after="60"/>
        <w:jc w:val="right"/>
      </w:pPr>
      <w:r>
        <w:rPr>
          <w:color w:val="6D7187"/>
          <w:sz w:val="15"/>
        </w:rPr>
        <w:t>Mustafa Mirza   |   MGT-353 Supply Chain Analytics   |   Portfolio Milestone 1</w:t>
      </w:r>
    </w:p>
    <w:tbl>
      <w:tblPr>
        <w:tblW w:type="auto" w:w="0"/>
        <w:jc w:val="center"/>
        <w:tblLook w:firstColumn="1" w:firstRow="1" w:lastColumn="0" w:lastRow="0" w:noHBand="0" w:noVBand="1" w:val="04A0"/>
      </w:tblPr>
      <w:tblGrid>
        <w:gridCol w:w="2664"/>
        <w:gridCol w:w="2664"/>
        <w:gridCol w:w="2664"/>
        <w:gridCol w:w="2664"/>
      </w:tblGrid>
      <w:tr>
        <w:tc>
          <w:tcPr>
            <w:tcW w:type="dxa" w:w="2664"/>
            <w:shd w:fill="FFFFFF"/>
            <w:tcMar>
              <w:top w:w="75" w:type="dxa"/>
              <w:start w:w="85" w:type="dxa"/>
              <w:bottom w:w="75" w:type="dxa"/>
              <w:end w:w="85" w:type="dxa"/>
            </w:tcMar>
            <w:tcBorders>
              <w:top w:val="single" w:sz="12" w:color="253B80"/>
              <w:left w:val="single" w:sz="4" w:color="E2DFE5"/>
              <w:right w:val="single" w:sz="4" w:color="E2DFE5"/>
              <w:bottom w:val="single" w:sz="4" w:color="E2DFE5"/>
            </w:tcBorders>
          </w:tcPr>
          <w:p>
            <w:r>
              <w:rPr>
                <w:b/>
                <w:color w:val="6D7187"/>
                <w:sz w:val="13"/>
              </w:rPr>
              <w:t>TRAINING</w:t>
            </w:r>
          </w:p>
          <w:p>
            <w:pPr>
              <w:spacing w:before="20" w:after="0"/>
            </w:pPr>
            <w:r>
              <w:rPr>
                <w:b/>
                <w:color w:val="253B80"/>
                <w:sz w:val="25"/>
              </w:rPr>
              <w:t>144 weeks</w:t>
            </w:r>
          </w:p>
          <w:p>
            <w:pPr>
              <w:spacing w:after="0"/>
            </w:pPr>
            <w:r>
              <w:rPr>
                <w:color w:val="6D7187"/>
                <w:sz w:val="13"/>
              </w:rPr>
              <w:t>Model fitting only</w:t>
            </w:r>
          </w:p>
        </w:tc>
        <w:tc>
          <w:tcPr>
            <w:tcW w:type="dxa" w:w="2664"/>
            <w:shd w:fill="FFFFFF"/>
            <w:tcMar>
              <w:top w:w="75" w:type="dxa"/>
              <w:start w:w="85" w:type="dxa"/>
              <w:bottom w:w="75" w:type="dxa"/>
              <w:end w:w="85" w:type="dxa"/>
            </w:tcMar>
            <w:tcBorders>
              <w:top w:val="single" w:sz="12" w:color="5B4BC4"/>
              <w:left w:val="single" w:sz="4" w:color="E2DFE5"/>
              <w:right w:val="single" w:sz="4" w:color="E2DFE5"/>
              <w:bottom w:val="single" w:sz="4" w:color="E2DFE5"/>
            </w:tcBorders>
          </w:tcPr>
          <w:p>
            <w:r>
              <w:rPr>
                <w:b/>
                <w:color w:val="6D7187"/>
                <w:sz w:val="13"/>
              </w:rPr>
              <w:t>HOLDOUT</w:t>
            </w:r>
          </w:p>
          <w:p>
            <w:pPr>
              <w:spacing w:before="20" w:after="0"/>
            </w:pPr>
            <w:r>
              <w:rPr>
                <w:b/>
                <w:color w:val="5B4BC4"/>
                <w:sz w:val="25"/>
              </w:rPr>
              <w:t>12 weeks</w:t>
            </w:r>
          </w:p>
          <w:p>
            <w:pPr>
              <w:spacing w:after="0"/>
            </w:pPr>
            <w:r>
              <w:rPr>
                <w:color w:val="6D7187"/>
                <w:sz w:val="13"/>
              </w:rPr>
              <w:t>Untouched for model fit</w:t>
            </w:r>
          </w:p>
        </w:tc>
        <w:tc>
          <w:tcPr>
            <w:tcW w:type="dxa" w:w="2664"/>
            <w:shd w:fill="FFFFFF"/>
            <w:tcMar>
              <w:top w:w="75" w:type="dxa"/>
              <w:start w:w="85" w:type="dxa"/>
              <w:bottom w:w="75" w:type="dxa"/>
              <w:end w:w="85" w:type="dxa"/>
            </w:tcMar>
            <w:tcBorders>
              <w:top w:val="single" w:sz="12" w:color="2878F0"/>
              <w:left w:val="single" w:sz="4" w:color="E2DFE5"/>
              <w:right w:val="single" w:sz="4" w:color="E2DFE5"/>
              <w:bottom w:val="single" w:sz="4" w:color="E2DFE5"/>
            </w:tcBorders>
          </w:tcPr>
          <w:p>
            <w:r>
              <w:rPr>
                <w:b/>
                <w:color w:val="6D7187"/>
                <w:sz w:val="13"/>
              </w:rPr>
              <w:t>BEST MODEL</w:t>
            </w:r>
          </w:p>
          <w:p>
            <w:pPr>
              <w:spacing w:before="20" w:after="0"/>
            </w:pPr>
            <w:r>
              <w:rPr>
                <w:b/>
                <w:color w:val="2878F0"/>
                <w:sz w:val="21"/>
              </w:rPr>
              <w:t>Holt-Winters</w:t>
            </w:r>
          </w:p>
          <w:p>
            <w:pPr>
              <w:spacing w:after="0"/>
            </w:pPr>
            <w:r>
              <w:rPr>
                <w:color w:val="6D7187"/>
                <w:sz w:val="13"/>
              </w:rPr>
              <w:t>WAPE 6.64%</w:t>
            </w:r>
          </w:p>
        </w:tc>
        <w:tc>
          <w:tcPr>
            <w:tcW w:type="dxa" w:w="2664"/>
            <w:shd w:fill="FFFFFF"/>
            <w:tcMar>
              <w:top w:w="75" w:type="dxa"/>
              <w:start w:w="85" w:type="dxa"/>
              <w:bottom w:w="75" w:type="dxa"/>
              <w:end w:w="85" w:type="dxa"/>
            </w:tcMar>
            <w:tcBorders>
              <w:top w:val="single" w:sz="12" w:color="F08A5D"/>
              <w:left w:val="single" w:sz="4" w:color="E2DFE5"/>
              <w:right w:val="single" w:sz="4" w:color="E2DFE5"/>
              <w:bottom w:val="single" w:sz="4" w:color="E2DFE5"/>
            </w:tcBorders>
          </w:tcPr>
          <w:p>
            <w:r>
              <w:rPr>
                <w:b/>
                <w:color w:val="6D7187"/>
                <w:sz w:val="13"/>
              </w:rPr>
              <w:t>TRACKING SIGNAL</w:t>
            </w:r>
          </w:p>
          <w:p>
            <w:pPr>
              <w:spacing w:before="20" w:after="0"/>
            </w:pPr>
            <w:r>
              <w:rPr>
                <w:b/>
                <w:color w:val="F08A5D"/>
                <w:sz w:val="25"/>
              </w:rPr>
              <w:t>-5.33</w:t>
            </w:r>
          </w:p>
          <w:p>
            <w:pPr>
              <w:spacing w:after="0"/>
            </w:pPr>
            <w:r>
              <w:rPr>
                <w:color w:val="6D7187"/>
                <w:sz w:val="13"/>
              </w:rPr>
              <w:t>Over-forecast bias watch</w:t>
            </w:r>
          </w:p>
        </w:tc>
      </w:tr>
    </w:tbl>
    <w:p>
      <w:pPr>
        <w:spacing w:before="120" w:after="40"/>
      </w:pPr>
      <w:r>
        <w:rPr>
          <w:b/>
          <w:color w:val="253B80"/>
          <w:sz w:val="19"/>
        </w:rPr>
        <w:t>1. Validation Design &amp; Leakage Audit</w:t>
      </w:r>
    </w:p>
    <w:p>
      <w:pPr>
        <w:spacing w:before="0" w:after="50" w:line="240" w:lineRule="auto"/>
      </w:pPr>
      <w:r>
        <w:rPr>
          <w:color w:val="20233A"/>
          <w:sz w:val="16"/>
        </w:rPr>
        <w:t>The weekly series contains 156 observations. The first 144 weeks were used for model fitting and the final 12 weeks were held out as unseen validation data. All competing models were fitted only on the training period. Holdout actual demand was revealed only after forecasts were generated. The 4-week Moving Average was implemented recursively, appending each forecast rather than future actual demand, preventing test-period leakage. Model selection therefore reflects genuine out-of-sample performance.</w:t>
      </w:r>
    </w:p>
    <w:p>
      <w:pPr>
        <w:spacing w:before="120" w:after="40"/>
      </w:pPr>
      <w:r>
        <w:rPr>
          <w:b/>
          <w:color w:val="253B80"/>
          <w:sz w:val="19"/>
        </w:rPr>
        <w:t>2. Holdout Performance</w:t>
      </w:r>
    </w:p>
    <w:p>
      <w:pPr>
        <w:spacing w:before="0" w:after="50" w:line="240" w:lineRule="auto"/>
      </w:pPr>
      <w:r>
        <w:rPr>
          <w:color w:val="20233A"/>
          <w:sz w:val="16"/>
        </w:rPr>
        <w:t>Holt-Winters was selected because it achieved the lowest holdout error across the principal accuracy measures: MAD 63,431 bags, MAPE 7.09%, RMSE 94,008 bags and WAPE 6.64%. Seasonal Naive was the strongest simple benchmark at 9.41% WAPE. The winning model was not treated as perfect: Bias was -28,192 bags per week and Tracking Signal was -5.33 under the required Error = Actual - Forecast convention, indicating an accumulated over-forecast tendency.</w:t>
      </w:r>
    </w:p>
    <w:p>
      <w:pPr>
        <w:spacing w:before="120" w:after="40"/>
      </w:pPr>
      <w:r>
        <w:rPr>
          <w:b/>
          <w:color w:val="253B80"/>
          <w:sz w:val="19"/>
        </w:rPr>
        <w:t>3. Five Largest Holdout Misses</w:t>
      </w:r>
    </w:p>
    <w:tbl>
      <w:tblPr>
        <w:tblW w:type="auto" w:w="0"/>
        <w:jc w:val="center"/>
        <w:tblLayout w:type="fixed"/>
        <w:tblLook w:firstColumn="1" w:firstRow="1" w:lastColumn="0" w:lastRow="0" w:noHBand="0" w:noVBand="1" w:val="04A0"/>
      </w:tblPr>
      <w:tblGrid>
        <w:gridCol w:w="2131"/>
        <w:gridCol w:w="2131"/>
        <w:gridCol w:w="2131"/>
        <w:gridCol w:w="2131"/>
        <w:gridCol w:w="2131"/>
      </w:tblGrid>
      <w:tr>
        <w:tc>
          <w:tcPr>
            <w:tcW w:type="dxa" w:w="2131"/>
            <w:shd w:fill="253B80"/>
            <w:tcMar>
              <w:top w:w="55" w:type="dxa"/>
              <w:start w:w="65" w:type="dxa"/>
              <w:bottom w:w="55" w:type="dxa"/>
              <w:end w:w="65" w:type="dxa"/>
            </w:tcMar>
          </w:tcPr>
          <w:p>
            <w:r>
              <w:rPr>
                <w:b/>
                <w:color w:val="FFFFFF"/>
                <w:sz w:val="13"/>
              </w:rPr>
              <w:t>Week</w:t>
            </w:r>
          </w:p>
        </w:tc>
        <w:tc>
          <w:tcPr>
            <w:tcW w:type="dxa" w:w="2131"/>
            <w:shd w:fill="253B80"/>
            <w:tcMar>
              <w:top w:w="55" w:type="dxa"/>
              <w:start w:w="65" w:type="dxa"/>
              <w:bottom w:w="55" w:type="dxa"/>
              <w:end w:w="65" w:type="dxa"/>
            </w:tcMar>
          </w:tcPr>
          <w:p>
            <w:r>
              <w:rPr>
                <w:b/>
                <w:color w:val="FFFFFF"/>
                <w:sz w:val="13"/>
              </w:rPr>
              <w:t>Actual</w:t>
            </w:r>
          </w:p>
        </w:tc>
        <w:tc>
          <w:tcPr>
            <w:tcW w:type="dxa" w:w="2131"/>
            <w:shd w:fill="253B80"/>
            <w:tcMar>
              <w:top w:w="55" w:type="dxa"/>
              <w:start w:w="65" w:type="dxa"/>
              <w:bottom w:w="55" w:type="dxa"/>
              <w:end w:w="65" w:type="dxa"/>
            </w:tcMar>
          </w:tcPr>
          <w:p>
            <w:r>
              <w:rPr>
                <w:b/>
                <w:color w:val="FFFFFF"/>
                <w:sz w:val="13"/>
              </w:rPr>
              <w:t>Forecast</w:t>
            </w:r>
          </w:p>
        </w:tc>
        <w:tc>
          <w:tcPr>
            <w:tcW w:type="dxa" w:w="2131"/>
            <w:shd w:fill="253B80"/>
            <w:tcMar>
              <w:top w:w="55" w:type="dxa"/>
              <w:start w:w="65" w:type="dxa"/>
              <w:bottom w:w="55" w:type="dxa"/>
              <w:end w:w="65" w:type="dxa"/>
            </w:tcMar>
          </w:tcPr>
          <w:p>
            <w:r>
              <w:rPr>
                <w:b/>
                <w:color w:val="FFFFFF"/>
                <w:sz w:val="13"/>
              </w:rPr>
              <w:t>Error</w:t>
            </w:r>
          </w:p>
        </w:tc>
        <w:tc>
          <w:tcPr>
            <w:tcW w:type="dxa" w:w="2131"/>
            <w:shd w:fill="253B80"/>
            <w:tcMar>
              <w:top w:w="55" w:type="dxa"/>
              <w:start w:w="65" w:type="dxa"/>
              <w:bottom w:w="55" w:type="dxa"/>
              <w:end w:w="65" w:type="dxa"/>
            </w:tcMar>
          </w:tcPr>
          <w:p>
            <w:r>
              <w:rPr>
                <w:b/>
                <w:color w:val="FFFFFF"/>
                <w:sz w:val="13"/>
              </w:rPr>
              <w:t>Likely diagnosis</w:t>
            </w:r>
          </w:p>
        </w:tc>
      </w:tr>
      <w:tr>
        <w:tc>
          <w:tcPr>
            <w:tcW w:type="dxa" w:w="2131"/>
            <w:shd w:fill="FFFFFF"/>
            <w:tcMar>
              <w:top w:w="45" w:type="dxa"/>
              <w:start w:w="60" w:type="dxa"/>
              <w:bottom w:w="45" w:type="dxa"/>
              <w:end w:w="60" w:type="dxa"/>
            </w:tcMar>
            <w:tcBorders>
              <w:bottom w:val="single" w:sz="3" w:color="E2DFE5"/>
            </w:tcBorders>
          </w:tcPr>
          <w:p>
            <w:r>
              <w:rPr>
                <w:b/>
                <w:color w:val="20233A"/>
                <w:sz w:val="13"/>
              </w:rPr>
              <w:t>10 Nov 2025</w:t>
            </w:r>
          </w:p>
        </w:tc>
        <w:tc>
          <w:tcPr>
            <w:tcW w:type="dxa" w:w="2131"/>
            <w:shd w:fill="FFFFFF"/>
            <w:tcMar>
              <w:top w:w="45" w:type="dxa"/>
              <w:start w:w="60" w:type="dxa"/>
              <w:bottom w:w="45" w:type="dxa"/>
              <w:end w:w="60" w:type="dxa"/>
            </w:tcMar>
            <w:tcBorders>
              <w:bottom w:val="single" w:sz="3" w:color="E2DFE5"/>
            </w:tcBorders>
          </w:tcPr>
          <w:p>
            <w:r>
              <w:rPr>
                <w:color w:val="20233A"/>
                <w:sz w:val="13"/>
              </w:rPr>
              <w:t>791K</w:t>
            </w:r>
          </w:p>
        </w:tc>
        <w:tc>
          <w:tcPr>
            <w:tcW w:type="dxa" w:w="2131"/>
            <w:shd w:fill="FFFFFF"/>
            <w:tcMar>
              <w:top w:w="45" w:type="dxa"/>
              <w:start w:w="60" w:type="dxa"/>
              <w:bottom w:w="45" w:type="dxa"/>
              <w:end w:w="60" w:type="dxa"/>
            </w:tcMar>
            <w:tcBorders>
              <w:bottom w:val="single" w:sz="3" w:color="E2DFE5"/>
            </w:tcBorders>
          </w:tcPr>
          <w:p>
            <w:r>
              <w:rPr>
                <w:color w:val="20233A"/>
                <w:sz w:val="13"/>
              </w:rPr>
              <w:t>1,072K</w:t>
            </w:r>
          </w:p>
        </w:tc>
        <w:tc>
          <w:tcPr>
            <w:tcW w:type="dxa" w:w="2131"/>
            <w:shd w:fill="FFFFFF"/>
            <w:tcMar>
              <w:top w:w="45" w:type="dxa"/>
              <w:start w:w="60" w:type="dxa"/>
              <w:bottom w:w="45" w:type="dxa"/>
              <w:end w:w="60" w:type="dxa"/>
            </w:tcMar>
            <w:tcBorders>
              <w:bottom w:val="single" w:sz="3" w:color="E2DFE5"/>
            </w:tcBorders>
          </w:tcPr>
          <w:p>
            <w:r>
              <w:rPr>
                <w:b/>
                <w:color w:val="20233A"/>
                <w:sz w:val="13"/>
              </w:rPr>
              <w:t>-281K</w:t>
            </w:r>
          </w:p>
        </w:tc>
        <w:tc>
          <w:tcPr>
            <w:tcW w:type="dxa" w:w="2131"/>
            <w:shd w:fill="FFFFFF"/>
            <w:tcMar>
              <w:top w:w="45" w:type="dxa"/>
              <w:start w:w="60" w:type="dxa"/>
              <w:bottom w:w="45" w:type="dxa"/>
              <w:end w:w="60" w:type="dxa"/>
            </w:tcMar>
            <w:tcBorders>
              <w:bottom w:val="single" w:sz="3" w:color="E2DFE5"/>
            </w:tcBorders>
          </w:tcPr>
          <w:p>
            <w:r>
              <w:rPr>
                <w:color w:val="20233A"/>
                <w:sz w:val="13"/>
              </w:rPr>
              <w:t>Stockout during Rabi window constrained observed demand.</w:t>
            </w:r>
          </w:p>
        </w:tc>
      </w:tr>
      <w:tr>
        <w:tc>
          <w:tcPr>
            <w:tcW w:type="dxa" w:w="2131"/>
            <w:shd w:fill="F6F7FB"/>
            <w:tcMar>
              <w:top w:w="45" w:type="dxa"/>
              <w:start w:w="60" w:type="dxa"/>
              <w:bottom w:w="45" w:type="dxa"/>
              <w:end w:w="60" w:type="dxa"/>
            </w:tcMar>
            <w:tcBorders>
              <w:bottom w:val="single" w:sz="3" w:color="E2DFE5"/>
            </w:tcBorders>
          </w:tcPr>
          <w:p>
            <w:r>
              <w:rPr>
                <w:b/>
                <w:color w:val="20233A"/>
                <w:sz w:val="13"/>
              </w:rPr>
              <w:t>22 Dec 2025</w:t>
            </w:r>
          </w:p>
        </w:tc>
        <w:tc>
          <w:tcPr>
            <w:tcW w:type="dxa" w:w="2131"/>
            <w:shd w:fill="F6F7FB"/>
            <w:tcMar>
              <w:top w:w="45" w:type="dxa"/>
              <w:start w:w="60" w:type="dxa"/>
              <w:bottom w:w="45" w:type="dxa"/>
              <w:end w:w="60" w:type="dxa"/>
            </w:tcMar>
            <w:tcBorders>
              <w:bottom w:val="single" w:sz="3" w:color="E2DFE5"/>
            </w:tcBorders>
          </w:tcPr>
          <w:p>
            <w:r>
              <w:rPr>
                <w:color w:val="20233A"/>
                <w:sz w:val="13"/>
              </w:rPr>
              <w:t>1,049K</w:t>
            </w:r>
          </w:p>
        </w:tc>
        <w:tc>
          <w:tcPr>
            <w:tcW w:type="dxa" w:w="2131"/>
            <w:shd w:fill="F6F7FB"/>
            <w:tcMar>
              <w:top w:w="45" w:type="dxa"/>
              <w:start w:w="60" w:type="dxa"/>
              <w:bottom w:w="45" w:type="dxa"/>
              <w:end w:w="60" w:type="dxa"/>
            </w:tcMar>
            <w:tcBorders>
              <w:bottom w:val="single" w:sz="3" w:color="E2DFE5"/>
            </w:tcBorders>
          </w:tcPr>
          <w:p>
            <w:r>
              <w:rPr>
                <w:color w:val="20233A"/>
                <w:sz w:val="13"/>
              </w:rPr>
              <w:t>1,138K</w:t>
            </w:r>
          </w:p>
        </w:tc>
        <w:tc>
          <w:tcPr>
            <w:tcW w:type="dxa" w:w="2131"/>
            <w:shd w:fill="F6F7FB"/>
            <w:tcMar>
              <w:top w:w="45" w:type="dxa"/>
              <w:start w:w="60" w:type="dxa"/>
              <w:bottom w:w="45" w:type="dxa"/>
              <w:end w:w="60" w:type="dxa"/>
            </w:tcMar>
            <w:tcBorders>
              <w:bottom w:val="single" w:sz="3" w:color="E2DFE5"/>
            </w:tcBorders>
          </w:tcPr>
          <w:p>
            <w:r>
              <w:rPr>
                <w:b/>
                <w:color w:val="20233A"/>
                <w:sz w:val="13"/>
              </w:rPr>
              <w:t>-89K</w:t>
            </w:r>
          </w:p>
        </w:tc>
        <w:tc>
          <w:tcPr>
            <w:tcW w:type="dxa" w:w="2131"/>
            <w:shd w:fill="F6F7FB"/>
            <w:tcMar>
              <w:top w:w="45" w:type="dxa"/>
              <w:start w:w="60" w:type="dxa"/>
              <w:bottom w:w="45" w:type="dxa"/>
              <w:end w:w="60" w:type="dxa"/>
            </w:tcMar>
            <w:tcBorders>
              <w:bottom w:val="single" w:sz="3" w:color="E2DFE5"/>
            </w:tcBorders>
          </w:tcPr>
          <w:p>
            <w:r>
              <w:rPr>
                <w:color w:val="20233A"/>
                <w:sz w:val="13"/>
              </w:rPr>
              <w:t>Seasonal peak overestimated; no promo/stockout flag.</w:t>
            </w:r>
          </w:p>
        </w:tc>
      </w:tr>
      <w:tr>
        <w:tc>
          <w:tcPr>
            <w:tcW w:type="dxa" w:w="2131"/>
            <w:shd w:fill="FFFFFF"/>
            <w:tcMar>
              <w:top w:w="45" w:type="dxa"/>
              <w:start w:w="60" w:type="dxa"/>
              <w:bottom w:w="45" w:type="dxa"/>
              <w:end w:w="60" w:type="dxa"/>
            </w:tcMar>
            <w:tcBorders>
              <w:bottom w:val="single" w:sz="3" w:color="E2DFE5"/>
            </w:tcBorders>
          </w:tcPr>
          <w:p>
            <w:r>
              <w:rPr>
                <w:b/>
                <w:color w:val="20233A"/>
                <w:sz w:val="13"/>
              </w:rPr>
              <w:t>24 Nov 2025</w:t>
            </w:r>
          </w:p>
        </w:tc>
        <w:tc>
          <w:tcPr>
            <w:tcW w:type="dxa" w:w="2131"/>
            <w:shd w:fill="FFFFFF"/>
            <w:tcMar>
              <w:top w:w="45" w:type="dxa"/>
              <w:start w:w="60" w:type="dxa"/>
              <w:bottom w:w="45" w:type="dxa"/>
              <w:end w:w="60" w:type="dxa"/>
            </w:tcMar>
            <w:tcBorders>
              <w:bottom w:val="single" w:sz="3" w:color="E2DFE5"/>
            </w:tcBorders>
          </w:tcPr>
          <w:p>
            <w:r>
              <w:rPr>
                <w:color w:val="20233A"/>
                <w:sz w:val="13"/>
              </w:rPr>
              <w:t>1,032K</w:t>
            </w:r>
          </w:p>
        </w:tc>
        <w:tc>
          <w:tcPr>
            <w:tcW w:type="dxa" w:w="2131"/>
            <w:shd w:fill="FFFFFF"/>
            <w:tcMar>
              <w:top w:w="45" w:type="dxa"/>
              <w:start w:w="60" w:type="dxa"/>
              <w:bottom w:w="45" w:type="dxa"/>
              <w:end w:w="60" w:type="dxa"/>
            </w:tcMar>
            <w:tcBorders>
              <w:bottom w:val="single" w:sz="3" w:color="E2DFE5"/>
            </w:tcBorders>
          </w:tcPr>
          <w:p>
            <w:r>
              <w:rPr>
                <w:color w:val="20233A"/>
                <w:sz w:val="13"/>
              </w:rPr>
              <w:t>961K</w:t>
            </w:r>
          </w:p>
        </w:tc>
        <w:tc>
          <w:tcPr>
            <w:tcW w:type="dxa" w:w="2131"/>
            <w:shd w:fill="FFFFFF"/>
            <w:tcMar>
              <w:top w:w="45" w:type="dxa"/>
              <w:start w:w="60" w:type="dxa"/>
              <w:bottom w:w="45" w:type="dxa"/>
              <w:end w:w="60" w:type="dxa"/>
            </w:tcMar>
            <w:tcBorders>
              <w:bottom w:val="single" w:sz="3" w:color="E2DFE5"/>
            </w:tcBorders>
          </w:tcPr>
          <w:p>
            <w:r>
              <w:rPr>
                <w:b/>
                <w:color w:val="20233A"/>
                <w:sz w:val="13"/>
              </w:rPr>
              <w:t>+71K</w:t>
            </w:r>
          </w:p>
        </w:tc>
        <w:tc>
          <w:tcPr>
            <w:tcW w:type="dxa" w:w="2131"/>
            <w:shd w:fill="FFFFFF"/>
            <w:tcMar>
              <w:top w:w="45" w:type="dxa"/>
              <w:start w:w="60" w:type="dxa"/>
              <w:bottom w:w="45" w:type="dxa"/>
              <w:end w:w="60" w:type="dxa"/>
            </w:tcMar>
            <w:tcBorders>
              <w:bottom w:val="single" w:sz="3" w:color="E2DFE5"/>
            </w:tcBorders>
          </w:tcPr>
          <w:p>
            <w:r>
              <w:rPr>
                <w:color w:val="20233A"/>
                <w:sz w:val="13"/>
              </w:rPr>
              <w:t>Rabi strength exceeded the univariate seasonal forecast.</w:t>
            </w:r>
          </w:p>
        </w:tc>
      </w:tr>
      <w:tr>
        <w:tc>
          <w:tcPr>
            <w:tcW w:type="dxa" w:w="2131"/>
            <w:shd w:fill="F6F7FB"/>
            <w:tcMar>
              <w:top w:w="45" w:type="dxa"/>
              <w:start w:w="60" w:type="dxa"/>
              <w:bottom w:w="45" w:type="dxa"/>
              <w:end w:w="60" w:type="dxa"/>
            </w:tcMar>
            <w:tcBorders>
              <w:bottom w:val="single" w:sz="3" w:color="E2DFE5"/>
            </w:tcBorders>
          </w:tcPr>
          <w:p>
            <w:r>
              <w:rPr>
                <w:b/>
                <w:color w:val="20233A"/>
                <w:sz w:val="13"/>
              </w:rPr>
              <w:t>15 Dec 2025</w:t>
            </w:r>
          </w:p>
        </w:tc>
        <w:tc>
          <w:tcPr>
            <w:tcW w:type="dxa" w:w="2131"/>
            <w:shd w:fill="F6F7FB"/>
            <w:tcMar>
              <w:top w:w="45" w:type="dxa"/>
              <w:start w:w="60" w:type="dxa"/>
              <w:bottom w:w="45" w:type="dxa"/>
              <w:end w:w="60" w:type="dxa"/>
            </w:tcMar>
            <w:tcBorders>
              <w:bottom w:val="single" w:sz="3" w:color="E2DFE5"/>
            </w:tcBorders>
          </w:tcPr>
          <w:p>
            <w:r>
              <w:rPr>
                <w:color w:val="20233A"/>
                <w:sz w:val="13"/>
              </w:rPr>
              <w:t>1,072K</w:t>
            </w:r>
          </w:p>
        </w:tc>
        <w:tc>
          <w:tcPr>
            <w:tcW w:type="dxa" w:w="2131"/>
            <w:shd w:fill="F6F7FB"/>
            <w:tcMar>
              <w:top w:w="45" w:type="dxa"/>
              <w:start w:w="60" w:type="dxa"/>
              <w:bottom w:w="45" w:type="dxa"/>
              <w:end w:w="60" w:type="dxa"/>
            </w:tcMar>
            <w:tcBorders>
              <w:bottom w:val="single" w:sz="3" w:color="E2DFE5"/>
            </w:tcBorders>
          </w:tcPr>
          <w:p>
            <w:r>
              <w:rPr>
                <w:color w:val="20233A"/>
                <w:sz w:val="13"/>
              </w:rPr>
              <w:t>1,007K</w:t>
            </w:r>
          </w:p>
        </w:tc>
        <w:tc>
          <w:tcPr>
            <w:tcW w:type="dxa" w:w="2131"/>
            <w:shd w:fill="F6F7FB"/>
            <w:tcMar>
              <w:top w:w="45" w:type="dxa"/>
              <w:start w:w="60" w:type="dxa"/>
              <w:bottom w:w="45" w:type="dxa"/>
              <w:end w:w="60" w:type="dxa"/>
            </w:tcMar>
            <w:tcBorders>
              <w:bottom w:val="single" w:sz="3" w:color="E2DFE5"/>
            </w:tcBorders>
          </w:tcPr>
          <w:p>
            <w:r>
              <w:rPr>
                <w:b/>
                <w:color w:val="20233A"/>
                <w:sz w:val="13"/>
              </w:rPr>
              <w:t>+65K</w:t>
            </w:r>
          </w:p>
        </w:tc>
        <w:tc>
          <w:tcPr>
            <w:tcW w:type="dxa" w:w="2131"/>
            <w:shd w:fill="F6F7FB"/>
            <w:tcMar>
              <w:top w:w="45" w:type="dxa"/>
              <w:start w:w="60" w:type="dxa"/>
              <w:bottom w:w="45" w:type="dxa"/>
              <w:end w:w="60" w:type="dxa"/>
            </w:tcMar>
            <w:tcBorders>
              <w:bottom w:val="single" w:sz="3" w:color="E2DFE5"/>
            </w:tcBorders>
          </w:tcPr>
          <w:p>
            <w:r>
              <w:rPr>
                <w:color w:val="20233A"/>
                <w:sz w:val="13"/>
              </w:rPr>
              <w:t>Promotion plus Rabi demand likely lifted demand beyond baseline.</w:t>
            </w:r>
          </w:p>
        </w:tc>
      </w:tr>
      <w:tr>
        <w:tc>
          <w:tcPr>
            <w:tcW w:type="dxa" w:w="2131"/>
            <w:shd w:fill="FFFFFF"/>
            <w:tcMar>
              <w:top w:w="45" w:type="dxa"/>
              <w:start w:w="60" w:type="dxa"/>
              <w:bottom w:w="45" w:type="dxa"/>
              <w:end w:w="60" w:type="dxa"/>
            </w:tcMar>
            <w:tcBorders>
              <w:bottom w:val="single" w:sz="3" w:color="E2DFE5"/>
            </w:tcBorders>
          </w:tcPr>
          <w:p>
            <w:r>
              <w:rPr>
                <w:b/>
                <w:color w:val="20233A"/>
                <w:sz w:val="13"/>
              </w:rPr>
              <w:t>13 Oct 2025</w:t>
            </w:r>
          </w:p>
        </w:tc>
        <w:tc>
          <w:tcPr>
            <w:tcW w:type="dxa" w:w="2131"/>
            <w:shd w:fill="FFFFFF"/>
            <w:tcMar>
              <w:top w:w="45" w:type="dxa"/>
              <w:start w:w="60" w:type="dxa"/>
              <w:bottom w:w="45" w:type="dxa"/>
              <w:end w:w="60" w:type="dxa"/>
            </w:tcMar>
            <w:tcBorders>
              <w:bottom w:val="single" w:sz="3" w:color="E2DFE5"/>
            </w:tcBorders>
          </w:tcPr>
          <w:p>
            <w:r>
              <w:rPr>
                <w:color w:val="20233A"/>
                <w:sz w:val="13"/>
              </w:rPr>
              <w:t>770K</w:t>
            </w:r>
          </w:p>
        </w:tc>
        <w:tc>
          <w:tcPr>
            <w:tcW w:type="dxa" w:w="2131"/>
            <w:shd w:fill="FFFFFF"/>
            <w:tcMar>
              <w:top w:w="45" w:type="dxa"/>
              <w:start w:w="60" w:type="dxa"/>
              <w:bottom w:w="45" w:type="dxa"/>
              <w:end w:w="60" w:type="dxa"/>
            </w:tcMar>
            <w:tcBorders>
              <w:bottom w:val="single" w:sz="3" w:color="E2DFE5"/>
            </w:tcBorders>
          </w:tcPr>
          <w:p>
            <w:r>
              <w:rPr>
                <w:color w:val="20233A"/>
                <w:sz w:val="13"/>
              </w:rPr>
              <w:t>830K</w:t>
            </w:r>
          </w:p>
        </w:tc>
        <w:tc>
          <w:tcPr>
            <w:tcW w:type="dxa" w:w="2131"/>
            <w:shd w:fill="FFFFFF"/>
            <w:tcMar>
              <w:top w:w="45" w:type="dxa"/>
              <w:start w:w="60" w:type="dxa"/>
              <w:bottom w:w="45" w:type="dxa"/>
              <w:end w:w="60" w:type="dxa"/>
            </w:tcMar>
            <w:tcBorders>
              <w:bottom w:val="single" w:sz="3" w:color="E2DFE5"/>
            </w:tcBorders>
          </w:tcPr>
          <w:p>
            <w:r>
              <w:rPr>
                <w:b/>
                <w:color w:val="20233A"/>
                <w:sz w:val="13"/>
              </w:rPr>
              <w:t>-60K</w:t>
            </w:r>
          </w:p>
        </w:tc>
        <w:tc>
          <w:tcPr>
            <w:tcW w:type="dxa" w:w="2131"/>
            <w:shd w:fill="FFFFFF"/>
            <w:tcMar>
              <w:top w:w="45" w:type="dxa"/>
              <w:start w:w="60" w:type="dxa"/>
              <w:bottom w:w="45" w:type="dxa"/>
              <w:end w:w="60" w:type="dxa"/>
            </w:tcMar>
            <w:tcBorders>
              <w:bottom w:val="single" w:sz="3" w:color="E2DFE5"/>
            </w:tcBorders>
          </w:tcPr>
          <w:p>
            <w:r>
              <w:rPr>
                <w:color w:val="20233A"/>
                <w:sz w:val="13"/>
              </w:rPr>
              <w:t>Shoulder-period residual variation; no flagged event or stockout.</w:t>
            </w:r>
          </w:p>
        </w:tc>
      </w:tr>
    </w:tbl>
    <w:p>
      <w:pPr>
        <w:spacing w:before="120" w:after="40"/>
      </w:pPr>
      <w:r>
        <w:rPr>
          <w:b/>
          <w:color w:val="253B80"/>
          <w:sz w:val="19"/>
        </w:rPr>
        <w:t>4. Suspicious-Accuracy &amp; Forward-Refit Check</w:t>
      </w:r>
    </w:p>
    <w:p>
      <w:pPr>
        <w:spacing w:before="0" w:after="50" w:line="240" w:lineRule="auto"/>
      </w:pPr>
      <w:r>
        <w:rPr>
          <w:color w:val="20233A"/>
          <w:sz w:val="16"/>
        </w:rPr>
        <w:t>The selected model's 7.09% MAPE, 94,008-bag RMSE and material Tracking Signal are accurate enough to be useful but not unrealistically perfect. After Holt-Winters won the holdout comparison, it was refitted on all 156 observed weeks solely for operational forecasting. This post-validation refit does not constitute leakage because model selection had already been completed. The resulting next-12-week forecast is 11.07M bags; validation metrics remain those from the untouched holdout.</w:t>
      </w:r>
    </w:p>
    <w:tbl>
      <w:tblPr>
        <w:tblW w:type="auto" w:w="0"/>
        <w:jc w:val="center"/>
        <w:tblLook w:firstColumn="1" w:firstRow="1" w:lastColumn="0" w:lastRow="0" w:noHBand="0" w:noVBand="1" w:val="04A0"/>
      </w:tblPr>
      <w:tblGrid>
        <w:gridCol w:w="10656"/>
      </w:tblGrid>
      <w:tr>
        <w:tc>
          <w:tcPr>
            <w:tcW w:type="dxa" w:w="10656"/>
            <w:shd w:fill="EEF0FF"/>
            <w:tcMar>
              <w:top w:w="85" w:type="dxa"/>
              <w:start w:w="110" w:type="dxa"/>
              <w:bottom w:w="85" w:type="dxa"/>
              <w:end w:w="110" w:type="dxa"/>
            </w:tcMar>
            <w:tcBorders>
              <w:left w:val="single" w:sz="16" w:color="2878F0"/>
            </w:tcBorders>
          </w:tcPr>
          <w:p>
            <w:r>
              <w:rPr>
                <w:b/>
                <w:color w:val="2878F0"/>
                <w:sz w:val="14"/>
              </w:rPr>
              <w:t xml:space="preserve">VALIDATION CONCLUSION  </w:t>
            </w:r>
            <w:r>
              <w:rPr>
                <w:color w:val="20233A"/>
                <w:sz w:val="15"/>
              </w:rPr>
              <w:t>The forecasting workflow is leakage-controlled and decision-usable. Holt-Winters is retained as the planning model, but its negative bias and the diagnosed misses justify the 90% committed / 10% responsive operating policy and early reforecast trigger.</w:t>
            </w:r>
          </w:p>
        </w:tc>
      </w:tr>
    </w:tbl>
    <w:p>
      <w:pPr>
        <w:spacing w:before="80" w:after="0"/>
        <w:jc w:val="center"/>
      </w:pPr>
      <w:r>
        <w:rPr>
          <w:i/>
          <w:color w:val="6D7187"/>
          <w:sz w:val="12"/>
        </w:rPr>
        <w:t>Company-Calibrated Synthetic Dataset for Academic Analysis — illustrative figures, calibrated to Engro Fertilizers Limited (EFERT)'s disclosed scale, not actual company records.</w:t>
      </w:r>
    </w:p>
    <w:sectPr w:rsidR="00FC693F" w:rsidRPr="0006063C" w:rsidSect="00034616">
      <w:pgSz w:w="12240" w:h="15840"/>
      <w:pgMar w:top="648"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33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