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Statement</w:t>
      </w:r>
    </w:p>
    <w:p>
      <w:pPr/>
      <w:r>
        <w:rPr>
          <w:b/>
        </w:rPr>
        <w:t>Md Mizanur Rahman, PhD</w:t>
      </w:r>
    </w:p>
    <w:p>
      <w:pPr/>
      <w:r>
        <w:t>Application: Faculty Position in Biodiversity, Ecosystem Services, and Nature-based Solutions</w:t>
      </w:r>
    </w:p>
    <w:p>
      <w:pPr/>
      <w:r>
        <w:t>Division of Environment and Sustainability, HKUST (Job ID: 188102)</w:t>
      </w:r>
    </w:p>
    <w:p>
      <w:pPr>
        <w:pStyle w:val="Heading1"/>
      </w:pPr>
      <w:r>
        <w:t>1. Research vision</w:t>
      </w:r>
    </w:p>
    <w:p>
      <w:pPr/>
      <w:r>
        <w:t xml:space="preserve">Healthy ecosystems underpin climate resilience, human wellbeing, and sustainable development. Yet biodiversity loss and climate extremes are eroding the </w:t>
      </w:r>
      <w:r>
        <w:rPr>
          <w:b/>
        </w:rPr>
        <w:t>ecosystem services</w:t>
      </w:r>
      <w:r>
        <w:t xml:space="preserve"> on which cities and societies depend. My research asks a central question: </w:t>
      </w:r>
      <w:r>
        <w:rPr>
          <w:b/>
        </w:rPr>
        <w:t>How does biodiversity sustain ecosystem functioning and services under environmental change—and how can that knowledge inform effective nature-based solutions?</w:t>
      </w:r>
    </w:p>
    <w:p>
      <w:pPr/>
      <w:r>
        <w:t xml:space="preserve">I address this question by integrating </w:t>
      </w:r>
      <w:r>
        <w:rPr>
          <w:b/>
        </w:rPr>
        <w:t>field ecology</w:t>
      </w:r>
      <w:r>
        <w:t xml:space="preserve">, </w:t>
      </w:r>
      <w:r>
        <w:rPr>
          <w:b/>
        </w:rPr>
        <w:t>structural equation modelling (SEM)</w:t>
      </w:r>
      <w:r>
        <w:t xml:space="preserve">, </w:t>
      </w:r>
      <w:r>
        <w:rPr>
          <w:b/>
        </w:rPr>
        <w:t>multi-sensor remote sensing</w:t>
      </w:r>
      <w:r>
        <w:t xml:space="preserve"> (UAV, TLS/LiDAR, Sentinel, GEDI, Planet), and </w:t>
      </w:r>
      <w:r>
        <w:rPr>
          <w:b/>
        </w:rPr>
        <w:t>GeoAI</w:t>
      </w:r>
      <w:r>
        <w:t xml:space="preserve"> to quantify links among biodiversity, carbon, resilience, and tipping-point risk from plot to landscape scale. I treat artificial intelligence and Earth observation as tools to test and scale ecological theory—not as substitutes for mechanistic understanding.</w:t>
      </w:r>
    </w:p>
    <w:p>
      <w:pPr/>
      <w:r>
        <w:t xml:space="preserve">This vision aligns directly with ENVR’s </w:t>
      </w:r>
      <w:r>
        <w:rPr>
          <w:b/>
        </w:rPr>
        <w:t>Biodiversity and Nature-Based Solutions Hub</w:t>
      </w:r>
      <w:r>
        <w:t xml:space="preserve">, BSAP2035, the </w:t>
      </w:r>
      <w:r>
        <w:rPr>
          <w:b/>
        </w:rPr>
        <w:t>2027 biodiversity core curriculum</w:t>
      </w:r>
      <w:r>
        <w:t xml:space="preserve">, and HKUST’s commitment to use its campus as a </w:t>
      </w:r>
      <w:r>
        <w:rPr>
          <w:b/>
        </w:rPr>
        <w:t>living laboratory</w:t>
      </w:r>
      <w:r>
        <w:t xml:space="preserve"> for NbS research and education.</w:t>
      </w:r>
    </w:p>
    <w:p>
      <w:pPr>
        <w:pStyle w:val="Heading1"/>
      </w:pPr>
      <w:r>
        <w:t>2. Past research and key findings</w:t>
      </w:r>
    </w:p>
    <w:p>
      <w:pPr>
        <w:pStyle w:val="Heading2"/>
      </w:pPr>
      <w:r>
        <w:t>Biodiversity and ecosystem functioning</w:t>
      </w:r>
    </w:p>
    <w:p>
      <w:pPr/>
      <w:r>
        <w:t xml:space="preserve">My work demonstrates that </w:t>
      </w:r>
      <w:r>
        <w:rPr>
          <w:b/>
        </w:rPr>
        <w:t>functional composition</w:t>
      </w:r>
      <w:r>
        <w:t>—the identity and traits of dominant species—often matters more than taxonomic or functional diversity alone in maintaining ecosystem properties and processes in mangrove forests (</w:t>
      </w:r>
      <w:r>
        <w:rPr>
          <w:i/>
        </w:rPr>
        <w:t>Global Change Biology</w:t>
      </w:r>
      <w:r>
        <w:t xml:space="preserve">, 2024). In the Sundarbans, </w:t>
      </w:r>
      <w:r>
        <w:rPr>
          <w:b/>
        </w:rPr>
        <w:t>functional composition and structural diversity</w:t>
      </w:r>
      <w:r>
        <w:t xml:space="preserve"> jointly enhance forest resilience to environmental stress (</w:t>
      </w:r>
      <w:r>
        <w:rPr>
          <w:i/>
        </w:rPr>
        <w:t>Communications Earth &amp; Environment</w:t>
      </w:r>
      <w:r>
        <w:t>, 2026). These findings advance IPBES and GBF framings of biodiversity as a regulator of nature’s contributions to people, not merely a conservation endpoint.</w:t>
      </w:r>
    </w:p>
    <w:p>
      <w:pPr>
        <w:pStyle w:val="Heading2"/>
      </w:pPr>
      <w:r>
        <w:t>Ecosystem services: carbon, coastal protection, and multifunctionality</w:t>
      </w:r>
    </w:p>
    <w:p>
      <w:pPr/>
      <w:r>
        <w:t xml:space="preserve">I have quantified spatial variation in </w:t>
      </w:r>
      <w:r>
        <w:rPr>
          <w:b/>
        </w:rPr>
        <w:t>blue-carbon stocks</w:t>
      </w:r>
      <w:r>
        <w:t xml:space="preserve"> across salinity zones and vegetation types, and shown </w:t>
      </w:r>
      <w:r>
        <w:rPr>
          <w:b/>
        </w:rPr>
        <w:t>co-benefits of mangrove protection for biodiversity conservation and carbon storage</w:t>
      </w:r>
      <w:r>
        <w:t xml:space="preserve"> (</w:t>
      </w:r>
      <w:r>
        <w:rPr>
          <w:i/>
        </w:rPr>
        <w:t>Nature Communications</w:t>
      </w:r>
      <w:r>
        <w:t xml:space="preserve">, 2021; </w:t>
      </w:r>
      <w:r>
        <w:rPr>
          <w:i/>
        </w:rPr>
        <w:t>Wetlands Ecology and Management</w:t>
      </w:r>
      <w:r>
        <w:t>, 2014). As co-author on Sanderman et al. (2018), I contributed to the first global 30 m mangrove soil-carbon map—work that supports JREDD+, voluntary carbon markets, and national greenhouse-gas reporting. My research links biodiversity dimensions to carbon services through SEM and machine learning, providing transparent, spatially explicit evidence for policy and NbS design.</w:t>
      </w:r>
    </w:p>
    <w:p>
      <w:pPr>
        <w:pStyle w:val="Heading2"/>
      </w:pPr>
      <w:r>
        <w:t>Climate extremes, resilience, and early warning</w:t>
      </w:r>
    </w:p>
    <w:p>
      <w:pPr/>
      <w:r>
        <w:t xml:space="preserve">A growing strand of my programme examines how </w:t>
      </w:r>
      <w:r>
        <w:rPr>
          <w:b/>
        </w:rPr>
        <w:t>cyclones, heat, drought, salinity, and compound extremes</w:t>
      </w:r>
      <w:r>
        <w:t xml:space="preserve"> affect recovery trajectories and ecosystem stability. I am developing approaches using long-term vegetation indices (e.g. kNDVI), critical slowing down (CSD), and digital-twin concepts to assess </w:t>
      </w:r>
      <w:r>
        <w:rPr>
          <w:b/>
        </w:rPr>
        <w:t>resilience and early warning of ecological tipping points</w:t>
      </w:r>
      <w:r>
        <w:t>—priorities under GBF Target 8 and ENVR’s climate–biodiversity integration agenda.</w:t>
      </w:r>
    </w:p>
    <w:p>
      <w:pPr>
        <w:pStyle w:val="Heading2"/>
      </w:pPr>
      <w:r>
        <w:t>GeoAI and multi-scale Earth observation</w:t>
      </w:r>
    </w:p>
    <w:p>
      <w:pPr/>
      <w:r>
        <w:t xml:space="preserve">From NASA Goddard (canopy height mapping) to HKU (Sentinel–GEDI–TanDEM-X fusion) and PolyU (UAV/TLS for mangrove structure), I have built a consistent record of fusing field inventory with remote sensing and ML for </w:t>
      </w:r>
      <w:r>
        <w:rPr>
          <w:b/>
        </w:rPr>
        <w:t>carbon MRV</w:t>
      </w:r>
      <w:r>
        <w:t>, functional trait mapping, and vegetation dynamics. This technical capacity supports ENVR’s emphasis on data science and the hub’s goal of making biodiversity “visible, understandable, and actionable.”</w:t>
      </w:r>
    </w:p>
    <w:p>
      <w:pPr>
        <w:pStyle w:val="Heading1"/>
      </w:pPr>
      <w:r>
        <w:t>3. Research programme at HKUST (next five years)</w:t>
      </w:r>
    </w:p>
    <w:p>
      <w:pPr/>
      <w:r>
        <w:t>I propose an integrated programme organised around three pillars that map onto the Biodiversity &amp; NbS Hub.</w:t>
      </w:r>
    </w:p>
    <w:p>
      <w:pPr>
        <w:pStyle w:val="Heading2"/>
      </w:pPr>
      <w:r>
        <w:t>Pillar A — Biodiversity, ecosystem services, and NbS in coastal–terrestrial systems</w:t>
      </w:r>
    </w:p>
    <w:p>
      <w:pPr/>
      <w:r>
        <w:rPr>
          <w:b/>
        </w:rPr>
        <w:t>Objective:</w:t>
      </w:r>
      <w:r>
        <w:t xml:space="preserve"> Quantify how biodiversity supports regulating and supporting services in forests, mangroves, urban greenspace, and restored habitats.</w:t>
      </w:r>
    </w:p>
    <w:p>
      <w:pPr/>
      <w:r>
        <w:rPr>
          <w:b/>
        </w:rPr>
        <w:t>Approach:</w:t>
      </w:r>
      <w:r>
        <w:t xml:space="preserve"> Combine permanent plots, TLS/LiDAR, and satellite time series with SEM and explainable GeoAI to model biodiversity–function–service pathways.</w:t>
      </w:r>
    </w:p>
    <w:p>
      <w:pPr/>
      <w:r>
        <w:rPr>
          <w:b/>
        </w:rPr>
        <w:t>HK relevance:</w:t>
      </w:r>
      <w:r>
        <w:t xml:space="preserve"> Apply methods to HKUST’s managed coastline, slope vegetation, and urban green infrastructure; collaborate with AFCD-aligned curriculum and BSAP2035 priorities.</w:t>
      </w:r>
    </w:p>
    <w:p>
      <w:pPr/>
      <w:r>
        <w:rPr>
          <w:b/>
        </w:rPr>
        <w:t>Outputs:</w:t>
      </w:r>
      <w:r>
        <w:t xml:space="preserve"> High-impact publications; open datasets and code; biodiversity–carbon assessment protocols for NbS projects.</w:t>
      </w:r>
    </w:p>
    <w:p>
      <w:pPr>
        <w:pStyle w:val="Heading2"/>
      </w:pPr>
      <w:r>
        <w:t>Pillar B — Climate extremes, resilience, and tipping-point science for NbS</w:t>
      </w:r>
    </w:p>
    <w:p>
      <w:pPr/>
      <w:r>
        <w:rPr>
          <w:b/>
        </w:rPr>
        <w:t>Objective:</w:t>
      </w:r>
      <w:r>
        <w:t xml:space="preserve"> Assess how NbS perform under compound climate extremes and identify early warning signals of ecosystem degradation.</w:t>
      </w:r>
    </w:p>
    <w:p>
      <w:pPr/>
      <w:r>
        <w:rPr>
          <w:b/>
        </w:rPr>
        <w:t>Approach:</w:t>
      </w:r>
      <w:r>
        <w:t xml:space="preserve"> Long-term remote sensing, CSD analytics, and field monitoring of post-extreme recovery; link to digital-twin forest/coastal models.</w:t>
      </w:r>
    </w:p>
    <w:p>
      <w:pPr/>
      <w:r>
        <w:rPr>
          <w:b/>
        </w:rPr>
        <w:t>HK relevance:</w:t>
      </w:r>
      <w:r>
        <w:t xml:space="preserve"> Evaluate resilience of campus and regional NbS (mangrove restoration, eco-engineered shorelines, urban trees) under typhoons, marine heatwaves, and heat stress—complementing CARE2026 and My Climate Risk Hub activities.</w:t>
      </w:r>
    </w:p>
    <w:p>
      <w:pPr/>
      <w:r>
        <w:rPr>
          <w:b/>
        </w:rPr>
        <w:t>Outputs:</w:t>
      </w:r>
      <w:r>
        <w:t xml:space="preserve"> Resilience indicators for NbS standards; policy briefs on climate-adaptive restoration design.</w:t>
      </w:r>
    </w:p>
    <w:p>
      <w:pPr>
        <w:pStyle w:val="Heading2"/>
      </w:pPr>
      <w:r>
        <w:t>Pillar C — Transparent carbon MRV and decision support for Net Zero</w:t>
      </w:r>
    </w:p>
    <w:p>
      <w:pPr/>
      <w:r>
        <w:rPr>
          <w:b/>
        </w:rPr>
        <w:t>Objective:</w:t>
      </w:r>
      <w:r>
        <w:t xml:space="preserve"> Deliver scientifically rigorous, spatially explicit carbon and biodiversity MRV for campuses, jurisdictions, and NbS portfolios.</w:t>
      </w:r>
    </w:p>
    <w:p>
      <w:pPr/>
      <w:r>
        <w:rPr>
          <w:b/>
        </w:rPr>
        <w:t>Approach:</w:t>
      </w:r>
      <w:r>
        <w:t xml:space="preserve"> Integrate UAV/LiDAR, GEDI, and multispectral/radar fusion with ML and uncertainty quantification; support JREDD+ and voluntary carbon integrity.</w:t>
      </w:r>
    </w:p>
    <w:p>
      <w:pPr/>
      <w:r>
        <w:rPr>
          <w:b/>
        </w:rPr>
        <w:t>HK relevance:</w:t>
      </w:r>
      <w:r>
        <w:t xml:space="preserve"> Partner with HKUST’s Sustainability/Net Zero Office on campus carbon accounting and offset science; contribute to Hong Kong’s green-finance and NbS financing dialogue.</w:t>
      </w:r>
    </w:p>
    <w:p>
      <w:pPr/>
      <w:r>
        <w:rPr>
          <w:b/>
        </w:rPr>
        <w:t>Funding strategy:</w:t>
      </w:r>
      <w:r>
        <w:t xml:space="preserve"> RGC General Research Fund and Collaborative Research Fund; Environment and Conservation Fund; NSFC/Hong Kong joint schemes; EU/UK bilateral programmes; industry and NGO partnerships on MRV and restoration.</w:t>
      </w:r>
    </w:p>
    <w:p>
      <w:pPr>
        <w:pStyle w:val="Heading1"/>
      </w:pPr>
      <w:r>
        <w:t>4. Collaboration and fit within ENVR</w:t>
      </w:r>
    </w:p>
    <w:p>
      <w:pPr/>
      <w:r>
        <w:t xml:space="preserve">My programme is </w:t>
      </w:r>
      <w:r>
        <w:rPr>
          <w:b/>
        </w:rPr>
        <w:t>complementary, not duplicative</w:t>
      </w:r>
      <w:r>
        <w:t>, of existing hub strengths:</w:t>
      </w:r>
    </w:p>
    <w:tbl>
      <w:tblPr>
        <w:tblStyle w:val="TableGrid"/>
        <w:tblW w:type="auto" w:w="0"/>
        <w:tblLook w:firstColumn="1" w:firstRow="1" w:lastColumn="0" w:lastRow="0" w:noHBand="0" w:noVBand="1" w:val="04A0"/>
      </w:tblPr>
      <w:tblGrid>
        <w:gridCol w:w="4680"/>
        <w:gridCol w:w="4680"/>
      </w:tblGrid>
      <w:tr>
        <w:tc>
          <w:tcPr>
            <w:tcW w:type="dxa" w:w="4680"/>
          </w:tcPr>
          <w:p>
            <w:r>
              <w:t>ENVR / Hub strength</w:t>
            </w:r>
          </w:p>
        </w:tc>
        <w:tc>
          <w:tcPr>
            <w:tcW w:type="dxa" w:w="4680"/>
          </w:tcPr>
          <w:p>
            <w:r>
              <w:t>My contribution</w:t>
            </w:r>
          </w:p>
        </w:tc>
      </w:tr>
      <w:tr>
        <w:tc>
          <w:tcPr>
            <w:tcW w:type="dxa" w:w="4680"/>
          </w:tcPr>
          <w:p>
            <w:r>
              <w:t>Dr Jay Minuti — coastal/marine NbS, eco-engineering, HK harbours</w:t>
            </w:r>
          </w:p>
        </w:tc>
        <w:tc>
          <w:tcPr>
            <w:tcW w:type="dxa" w:w="4680"/>
          </w:tcPr>
          <w:p>
            <w:r>
              <w:t>Landscape-scale forest/blue-carbon ecology, biodiversity–function SEM, GeoAI MRV</w:t>
            </w:r>
          </w:p>
        </w:tc>
      </w:tr>
      <w:tr>
        <w:tc>
          <w:tcPr>
            <w:tcW w:type="dxa" w:w="4680"/>
          </w:tcPr>
          <w:p>
            <w:r>
              <w:t>Prof Kenneth Leung — Net Zero, campus sustainability</w:t>
            </w:r>
          </w:p>
        </w:tc>
        <w:tc>
          <w:tcPr>
            <w:tcW w:type="dxa" w:w="4680"/>
          </w:tcPr>
          <w:p>
            <w:r>
              <w:t>Carbon MRV, blue carbon, campus living-lab monitoring</w:t>
            </w:r>
          </w:p>
        </w:tc>
      </w:tr>
      <w:tr>
        <w:tc>
          <w:tcPr>
            <w:tcW w:type="dxa" w:w="4680"/>
          </w:tcPr>
          <w:p>
            <w:r>
              <w:t>Prof Alexis Lau / climate hub — climate science</w:t>
            </w:r>
          </w:p>
        </w:tc>
        <w:tc>
          <w:tcPr>
            <w:tcW w:type="dxa" w:w="4680"/>
          </w:tcPr>
          <w:p>
            <w:r>
              <w:t>Biodiversity–climate coupling, extremes, tipping points</w:t>
            </w:r>
          </w:p>
        </w:tc>
      </w:tr>
      <w:tr>
        <w:tc>
          <w:tcPr>
            <w:tcW w:type="dxa" w:w="4680"/>
          </w:tcPr>
          <w:p>
            <w:r>
              <w:t>Prof Quentin Moreau — sustainable finance</w:t>
            </w:r>
          </w:p>
        </w:tc>
        <w:tc>
          <w:tcPr>
            <w:tcW w:type="dxa" w:w="4680"/>
          </w:tcPr>
          <w:p>
            <w:r>
              <w:t>Carbon-market science, NbS integrity, ecosystem-service valuation inputs</w:t>
            </w:r>
          </w:p>
        </w:tc>
      </w:tr>
      <w:tr>
        <w:tc>
          <w:tcPr>
            <w:tcW w:type="dxa" w:w="4680"/>
          </w:tcPr>
          <w:p>
            <w:r>
              <w:t>AIS interdisciplinary mission</w:t>
            </w:r>
          </w:p>
        </w:tc>
        <w:tc>
          <w:tcPr>
            <w:tcW w:type="dxa" w:w="4680"/>
          </w:tcPr>
          <w:p>
            <w:r>
              <w:t>Field ecology + data science + policy-relevant outputs</w:t>
            </w:r>
          </w:p>
        </w:tc>
      </w:tr>
    </w:tbl>
    <w:p>
      <w:pPr/>
      <w:r>
        <w:t xml:space="preserve">I will actively pursue joint appointments or collaborations with </w:t>
      </w:r>
      <w:r>
        <w:rPr>
          <w:b/>
        </w:rPr>
        <w:t>Ocean Science</w:t>
      </w:r>
      <w:r>
        <w:t xml:space="preserve">, </w:t>
      </w:r>
      <w:r>
        <w:rPr>
          <w:b/>
        </w:rPr>
        <w:t>Life Science</w:t>
      </w:r>
      <w:r>
        <w:t xml:space="preserve">, </w:t>
      </w:r>
      <w:r>
        <w:rPr>
          <w:b/>
        </w:rPr>
        <w:t>Civil and Environmental Engineering</w:t>
      </w:r>
      <w:r>
        <w:t xml:space="preserve">, and the </w:t>
      </w:r>
      <w:r>
        <w:rPr>
          <w:b/>
        </w:rPr>
        <w:t>Institute for the Environment</w:t>
      </w:r>
      <w:r>
        <w:t xml:space="preserve"> where research overlaps (coastal systems, remote sensing, urban sustainability).</w:t>
      </w:r>
    </w:p>
    <w:p>
      <w:pPr>
        <w:pStyle w:val="Heading1"/>
      </w:pPr>
      <w:r>
        <w:t>5. Graduate training and broader impact</w:t>
      </w:r>
    </w:p>
    <w:p>
      <w:pPr/>
      <w:r>
        <w:t>I will supervise MPhil and PhD students in biodiversity science, ecosystem services, NbS, and environmental GeoAI. Students will gain combined skills in field ecology, quantitative modelling, remote sensing, and science communication—preparing them for academia, government, NGOs, and the growing NbS/carbon sectors.</w:t>
      </w:r>
    </w:p>
    <w:p>
      <w:pPr/>
      <w:r>
        <w:t>Broader impact activities will include: open GEE/Python tools; training workshops for practitioners; engagement with CARE2026; and science communication that makes biodiversity and NbS accessible to non-specialist students and the public—consistent with AIS’s design, media, and engagement goals.</w:t>
      </w:r>
    </w:p>
    <w:p>
      <w:pPr>
        <w:pStyle w:val="Heading1"/>
      </w:pPr>
      <w:r>
        <w:t>6. Summary</w:t>
      </w:r>
    </w:p>
    <w:p>
      <w:pPr/>
      <w:r>
        <w:t xml:space="preserve">I offer a coherent, fundable research programme at the intersection of </w:t>
      </w:r>
      <w:r>
        <w:rPr>
          <w:b/>
        </w:rPr>
        <w:t>biodiversity, ecosystem services, and nature-based solutions</w:t>
      </w:r>
      <w:r>
        <w:t>, backed by publications in leading journals, international collaborations, Hong Kong-based experience, and prior affiliation with HKUST Guangzhou. At HKUST, I will build a hub-aligned group that advances ecological theory, delivers decision-ready science for BSAP2035 and Net Zero, and trains the next generation of interdisciplinary environmental scholars.</w:t>
      </w:r>
    </w:p>
    <w:p>
      <w:pPr/>
      <w:r>
        <w:rPr>
          <w:b/>
        </w:rPr>
        <w:t>Selected references (own work)</w:t>
      </w:r>
    </w:p>
    <w:p>
      <w:pPr>
        <w:pStyle w:val="ListBullet"/>
      </w:pPr>
      <w:r>
        <w:t xml:space="preserve">Rahman, M.M., et al. (2021). Co-benefits of protecting mangroves for biodiversity conservation and carbon storage. </w:t>
      </w:r>
      <w:r>
        <w:rPr>
          <w:i/>
        </w:rPr>
        <w:t>Nature Communications</w:t>
      </w:r>
      <w:r>
        <w:t>, 12, 3874.</w:t>
      </w:r>
    </w:p>
    <w:p>
      <w:pPr>
        <w:pStyle w:val="ListBullet"/>
      </w:pPr>
      <w:r>
        <w:t xml:space="preserve">Rahman, M.M., et al. (2024). Functional composition outweighs taxonomic and functional diversity in maintaining ecosystem properties and processes of mangrove forests. </w:t>
      </w:r>
      <w:r>
        <w:rPr>
          <w:i/>
        </w:rPr>
        <w:t>Global Change Biology</w:t>
      </w:r>
      <w:r>
        <w:t>, 30, e17152.</w:t>
      </w:r>
    </w:p>
    <w:p>
      <w:pPr>
        <w:pStyle w:val="ListBullet"/>
      </w:pPr>
      <w:r>
        <w:t xml:space="preserve">Rahman, M.M., et al. (2026). Functional composition and structural diversity enhance mangrove forest resilience in the Sundarbans. </w:t>
      </w:r>
      <w:r>
        <w:rPr>
          <w:i/>
        </w:rPr>
        <w:t>Communications Earth &amp; Environment</w:t>
      </w:r>
      <w:r>
        <w:t>.</w:t>
      </w:r>
    </w:p>
    <w:p>
      <w:pPr>
        <w:pStyle w:val="ListBullet"/>
      </w:pPr>
      <w:r>
        <w:t xml:space="preserve">Sanderman, J., et al. (2018). A global map of mangrove forest soil carbon at 30 m spatial resolution. </w:t>
      </w:r>
      <w:r>
        <w:rPr>
          <w:i/>
        </w:rPr>
        <w:t>Environmental Research Letters</w:t>
      </w:r>
      <w:r>
        <w:t>, 13, 055002.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