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Teaching Statement</w:t>
      </w:r>
    </w:p>
    <w:p>
      <w:pPr/>
      <w:r>
        <w:rPr>
          <w:b/>
        </w:rPr>
        <w:t>Md Mizanur Rahman, PhD</w:t>
      </w:r>
    </w:p>
    <w:p>
      <w:pPr/>
      <w:r>
        <w:t>Application: Faculty Position in Biodiversity, Ecosystem Services, and Nature-based Solutions</w:t>
      </w:r>
    </w:p>
    <w:p>
      <w:pPr/>
      <w:r>
        <w:t>Division of Environment and Sustainability, HKUST (Job ID: 188102)</w:t>
      </w:r>
    </w:p>
    <w:p>
      <w:pPr>
        <w:pStyle w:val="Heading1"/>
      </w:pPr>
      <w:r>
        <w:t>1. Teaching philosophy</w:t>
      </w:r>
    </w:p>
    <w:p>
      <w:pPr/>
      <w:r>
        <w:t>Environmental challenges cannot be solved by science alone, nor by technology without ecological understanding. My teaching philosophy rests on three principles:</w:t>
      </w:r>
    </w:p>
    <w:p>
      <w:pPr/>
      <w:r>
        <w:t xml:space="preserve">1. </w:t>
      </w:r>
      <w:r>
        <w:rPr>
          <w:b/>
        </w:rPr>
        <w:t>Theory first, application always.</w:t>
      </w:r>
      <w:r>
        <w:t xml:space="preserve"> Students must grasp ecological mechanisms—how biodiversity supports ecosystem services, how ecosystems respond to extremes—before evaluating nature-based solutions or carbon projects. Rigor and relevance are not in tension.</w:t>
      </w:r>
    </w:p>
    <w:p>
      <w:pPr/>
      <w:r>
        <w:t xml:space="preserve">2. </w:t>
      </w:r>
      <w:r>
        <w:rPr>
          <w:b/>
        </w:rPr>
        <w:t>Experiential, evidence-based learning.</w:t>
      </w:r>
      <w:r>
        <w:t xml:space="preserve"> I believe in “hands-on” instruction: field measurements, remote-sensing labs, data analysis, and case studies drawn from real landscapes. Students should leave a course able to </w:t>
      </w:r>
      <w:r>
        <w:rPr>
          <w:i/>
        </w:rPr>
        <w:t>do</w:t>
      </w:r>
      <w:r>
        <w:t xml:space="preserve"> science, not only describe it.</w:t>
      </w:r>
    </w:p>
    <w:p>
      <w:pPr/>
      <w:r>
        <w:t xml:space="preserve">3. </w:t>
      </w:r>
      <w:r>
        <w:rPr>
          <w:b/>
        </w:rPr>
        <w:t>Interdisciplinary fluency.</w:t>
      </w:r>
      <w:r>
        <w:t xml:space="preserve"> ENVR students come from engineering, business, science, and the social sciences. I design courses so that a future engineer, financier, or policy analyst can understand how biodiversity and NbS connect to their professional choices—mirroring the hub’s mission and the 2027 biodiversity core curriculum.</w:t>
      </w:r>
    </w:p>
    <w:p>
      <w:pPr>
        <w:pStyle w:val="Heading1"/>
      </w:pPr>
      <w:r>
        <w:t>2. Teaching experience</w:t>
      </w:r>
    </w:p>
    <w:p>
      <w:pPr/>
      <w:r>
        <w:t>Although my recent roles have been research-focused, I have sustained involvement in university teaching and mentoring:</w:t>
      </w:r>
    </w:p>
    <w:p>
      <w:pPr>
        <w:pStyle w:val="ListBullet"/>
      </w:pPr>
      <w:r>
        <w:rPr>
          <w:b/>
        </w:rPr>
        <w:t>Teaching Assistant</w:t>
      </w:r>
      <w:r>
        <w:t>, Kyoto University (2017–2018): supported undergraduate courses in forest and environmental sciences; guided laboratory and field sessions.</w:t>
      </w:r>
    </w:p>
    <w:p>
      <w:pPr>
        <w:pStyle w:val="ListBullet"/>
      </w:pPr>
      <w:r>
        <w:rPr>
          <w:b/>
        </w:rPr>
        <w:t>Guest lectures and seminars</w:t>
      </w:r>
      <w:r>
        <w:t>: presented on mangrove ecology, remote sensing, carbon assessment, and biodiversity–ecosystem functioning at Khulna University, Henan University, PolyU, and international conferences.</w:t>
      </w:r>
    </w:p>
    <w:p>
      <w:pPr>
        <w:pStyle w:val="ListBullet"/>
      </w:pPr>
      <w:r>
        <w:rPr>
          <w:b/>
        </w:rPr>
        <w:t>Graduate mentoring</w:t>
      </w:r>
      <w:r>
        <w:t>: supervised research assistants and junior colleagues in field campaigns, data analysis, and manuscript preparation across Bangladesh, China, Japan, and Hong Kong.</w:t>
      </w:r>
    </w:p>
    <w:p>
      <w:pPr>
        <w:pStyle w:val="ListBullet"/>
      </w:pPr>
      <w:r>
        <w:rPr>
          <w:b/>
        </w:rPr>
        <w:t>Editorial and capacity building</w:t>
      </w:r>
      <w:r>
        <w:t xml:space="preserve">: Topical Advisory Panel member, </w:t>
      </w:r>
      <w:r>
        <w:rPr>
          <w:i/>
        </w:rPr>
        <w:t>Remote Sensing</w:t>
      </w:r>
      <w:r>
        <w:t xml:space="preserve"> (MDPI); Topic Editor; peer-review and author guidance in spatial ecology, functional diversity, and carbon inventory—skills transferable to student writing and research ethics training.</w:t>
      </w:r>
    </w:p>
    <w:p>
      <w:pPr>
        <w:pStyle w:val="ListBullet"/>
      </w:pPr>
      <w:r>
        <w:rPr>
          <w:b/>
        </w:rPr>
        <w:t>Science communication</w:t>
      </w:r>
      <w:r>
        <w:t>: advocate for translating technical findings into accessible formats for policymakers and practitioners—aligned with ENVR’s applied, interdisciplinary ethos.</w:t>
      </w:r>
    </w:p>
    <w:p>
      <w:pPr/>
      <w:r>
        <w:t>At HKUST, I am committed to developing a full teaching portfolio and to documenting effectiveness through student feedback, peer observation, and continuous curriculum improvement.</w:t>
      </w:r>
    </w:p>
    <w:p>
      <w:pPr>
        <w:pStyle w:val="Heading1"/>
      </w:pPr>
      <w:r>
        <w:t>3. Proposed contributions to ENVR and the 2027 biodiversity core curriculum</w:t>
      </w:r>
    </w:p>
    <w:p>
      <w:pPr/>
      <w:r>
        <w:t xml:space="preserve">HKUST’s plan to launch a </w:t>
      </w:r>
      <w:r>
        <w:rPr>
          <w:b/>
        </w:rPr>
        <w:t>biodiversity core curriculum for all students in 2027</w:t>
      </w:r>
      <w:r>
        <w:t xml:space="preserve"> is a defining opportunity. I would contribute at three levels:</w:t>
      </w:r>
    </w:p>
    <w:p>
      <w:pPr>
        <w:pStyle w:val="Heading2"/>
      </w:pPr>
      <w:r>
        <w:t>Core / gateway courses (university-wide and ENVR)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Proposed course</w:t>
            </w:r>
          </w:p>
        </w:tc>
        <w:tc>
          <w:tcPr>
            <w:tcW w:type="dxa" w:w="3120"/>
          </w:tcPr>
          <w:p>
            <w:r>
              <w:t>Level</w:t>
            </w:r>
          </w:p>
        </w:tc>
        <w:tc>
          <w:tcPr>
            <w:tcW w:type="dxa" w:w="3120"/>
          </w:tcPr>
          <w:p>
            <w:r>
              <w:t>Focus</w:t>
            </w:r>
          </w:p>
        </w:tc>
      </w:tr>
      <w:tr>
        <w:tc>
          <w:tcPr>
            <w:tcW w:type="dxa" w:w="3120"/>
          </w:tcPr>
          <w:p>
            <w:r>
              <w:t>**Biodiversity and Ecosystem Services**</w:t>
            </w:r>
          </w:p>
        </w:tc>
        <w:tc>
          <w:tcPr>
            <w:tcW w:type="dxa" w:w="3120"/>
          </w:tcPr>
          <w:p>
            <w:r>
              <w:t>UG core / ENVR</w:t>
            </w:r>
          </w:p>
        </w:tc>
        <w:tc>
          <w:tcPr>
            <w:tcW w:type="dxa" w:w="3120"/>
          </w:tcPr>
          <w:p>
            <w:r>
              <w:t>Diversity of life; evolution and extinction; values of biodiversity; ecosystem services framework; HK and global case studies; links to BSAP2035</w:t>
            </w:r>
          </w:p>
        </w:tc>
      </w:tr>
      <w:tr>
        <w:tc>
          <w:tcPr>
            <w:tcW w:type="dxa" w:w="3120"/>
          </w:tcPr>
          <w:p>
            <w:r>
              <w:t>**Introduction to Sustainability** (existing SUST1010 ecosystem)</w:t>
            </w:r>
          </w:p>
        </w:tc>
        <w:tc>
          <w:tcPr>
            <w:tcW w:type="dxa" w:w="3120"/>
          </w:tcPr>
          <w:p>
            <w:r>
              <w:t>UG</w:t>
            </w:r>
          </w:p>
        </w:tc>
        <w:tc>
          <w:tcPr>
            <w:tcW w:type="dxa" w:w="3120"/>
          </w:tcPr>
          <w:p>
            <w:r>
              <w:t>Integration with ENVR’s sustainability offerings; biodiversity and NbS modules</w:t>
            </w:r>
          </w:p>
        </w:tc>
      </w:tr>
      <w:tr>
        <w:tc>
          <w:tcPr>
            <w:tcW w:type="dxa" w:w="3120"/>
          </w:tcPr>
          <w:p>
            <w:r>
              <w:t>**Nature-Based Solutions for Climate Resilience**</w:t>
            </w:r>
          </w:p>
        </w:tc>
        <w:tc>
          <w:tcPr>
            <w:tcW w:type="dxa" w:w="3120"/>
          </w:tcPr>
          <w:p>
            <w:r>
              <w:t>UG / PG</w:t>
            </w:r>
          </w:p>
        </w:tc>
        <w:tc>
          <w:tcPr>
            <w:tcW w:type="dxa" w:w="3120"/>
          </w:tcPr>
          <w:p>
            <w:r>
              <w:t>NbS principles, IUCN standards, urban and coastal applications, evaluation and trade-offs</w:t>
            </w:r>
          </w:p>
        </w:tc>
      </w:tr>
    </w:tbl>
    <w:p>
      <w:pPr>
        <w:pStyle w:val="Heading2"/>
      </w:pPr>
      <w:r>
        <w:t>Skills and methods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Proposed course</w:t>
            </w:r>
          </w:p>
        </w:tc>
        <w:tc>
          <w:tcPr>
            <w:tcW w:type="dxa" w:w="3120"/>
          </w:tcPr>
          <w:p>
            <w:r>
              <w:t>Level</w:t>
            </w:r>
          </w:p>
        </w:tc>
        <w:tc>
          <w:tcPr>
            <w:tcW w:type="dxa" w:w="3120"/>
          </w:tcPr>
          <w:p>
            <w:r>
              <w:t>Focus</w:t>
            </w:r>
          </w:p>
        </w:tc>
      </w:tr>
      <w:tr>
        <w:tc>
          <w:tcPr>
            <w:tcW w:type="dxa" w:w="3120"/>
          </w:tcPr>
          <w:p>
            <w:r>
              <w:t>**Environmental Data Science and GeoAI**</w:t>
            </w:r>
          </w:p>
        </w:tc>
        <w:tc>
          <w:tcPr>
            <w:tcW w:type="dxa" w:w="3120"/>
          </w:tcPr>
          <w:p>
            <w:r>
              <w:t>UG / PG</w:t>
            </w:r>
          </w:p>
        </w:tc>
        <w:tc>
          <w:tcPr>
            <w:tcW w:type="dxa" w:w="3120"/>
          </w:tcPr>
          <w:p>
            <w:r>
              <w:t>Remote sensing, Google Earth Engine, ML for environmental monitoring; ethics of AI in ecology</w:t>
            </w:r>
          </w:p>
        </w:tc>
      </w:tr>
      <w:tr>
        <w:tc>
          <w:tcPr>
            <w:tcW w:type="dxa" w:w="3120"/>
          </w:tcPr>
          <w:p>
            <w:r>
              <w:t>**Field Methods in Ecology and Carbon Assessment**</w:t>
            </w:r>
          </w:p>
        </w:tc>
        <w:tc>
          <w:tcPr>
            <w:tcW w:type="dxa" w:w="3120"/>
          </w:tcPr>
          <w:p>
            <w:r>
              <w:t>UG / PG</w:t>
            </w:r>
          </w:p>
        </w:tc>
        <w:tc>
          <w:tcPr>
            <w:tcW w:type="dxa" w:w="3120"/>
          </w:tcPr>
          <w:p>
            <w:r>
              <w:t>Plot design, biodiversity survey, UAV/LiDAR, carbon inventory, MRV basics</w:t>
            </w:r>
          </w:p>
        </w:tc>
      </w:tr>
      <w:tr>
        <w:tc>
          <w:tcPr>
            <w:tcW w:type="dxa" w:w="3120"/>
          </w:tcPr>
          <w:p>
            <w:r>
              <w:t>**Forest Carbon, Blue Carbon, and MRV**</w:t>
            </w:r>
          </w:p>
        </w:tc>
        <w:tc>
          <w:tcPr>
            <w:tcW w:type="dxa" w:w="3120"/>
          </w:tcPr>
          <w:p>
            <w:r>
              <w:t>PG</w:t>
            </w:r>
          </w:p>
        </w:tc>
        <w:tc>
          <w:tcPr>
            <w:tcW w:type="dxa" w:w="3120"/>
          </w:tcPr>
          <w:p>
            <w:r>
              <w:t>Science and policy of carbon accounting; JREDD+; voluntary markets; uncertainty and integrity</w:t>
            </w:r>
          </w:p>
        </w:tc>
      </w:tr>
    </w:tbl>
    <w:p>
      <w:pPr>
        <w:pStyle w:val="Heading2"/>
      </w:pPr>
      <w:r>
        <w:t>Capstone and experiential learning</w:t>
      </w:r>
    </w:p>
    <w:p>
      <w:pPr>
        <w:pStyle w:val="ListBullet"/>
      </w:pPr>
      <w:r>
        <w:rPr>
          <w:b/>
        </w:rPr>
        <w:t>Capstone projects</w:t>
      </w:r>
      <w:r>
        <w:t xml:space="preserve"> linking students to campus living-lab monitoring, AFCD partnerships, and NGO/industry NbS case studies.</w:t>
      </w:r>
    </w:p>
    <w:p>
      <w:pPr>
        <w:pStyle w:val="ListBullet"/>
      </w:pPr>
      <w:r>
        <w:rPr>
          <w:b/>
        </w:rPr>
        <w:t>Field trips</w:t>
      </w:r>
      <w:r>
        <w:t xml:space="preserve"> to HKUST’s coastline, country parks, and restored habitats—making biodiversity tangible for non-science majors.</w:t>
      </w:r>
    </w:p>
    <w:p>
      <w:pPr>
        <w:pStyle w:val="ListBullet"/>
      </w:pPr>
      <w:r>
        <w:rPr>
          <w:b/>
        </w:rPr>
        <w:t>Research opportunities (UROP / MPhil / PhD)</w:t>
      </w:r>
      <w:r>
        <w:t xml:space="preserve"> in biodiversity–function modelling, NbS evaluation, and digital-twin forests.</w:t>
      </w:r>
    </w:p>
    <w:p>
      <w:pPr>
        <w:pStyle w:val="Heading1"/>
      </w:pPr>
      <w:r>
        <w:t>4. Pedagogical methods</w:t>
      </w:r>
    </w:p>
    <w:p>
      <w:pPr/>
      <w:r>
        <w:rPr>
          <w:b/>
        </w:rPr>
        <w:t>Field-based learning.</w:t>
      </w:r>
      <w:r>
        <w:t xml:space="preserve"> Short exercises on tree identification, biodiversity metrics, soil/sediment sampling, and coastal observation—followed by lab analysis. HKUST’s unique managed coastline is an ideal teaching asset.</w:t>
      </w:r>
    </w:p>
    <w:p>
      <w:pPr/>
      <w:r>
        <w:rPr>
          <w:b/>
        </w:rPr>
        <w:t>Data-centric labs.</w:t>
      </w:r>
      <w:r>
        <w:t xml:space="preserve"> Students work with real satellite imagery, LiDAR point clouds, and ecological datasets using Python/R and GEE. Assignments emphasise reproducibility and open science.</w:t>
      </w:r>
    </w:p>
    <w:p>
      <w:pPr/>
      <w:r>
        <w:rPr>
          <w:b/>
        </w:rPr>
        <w:t>Case-study seminars.</w:t>
      </w:r>
      <w:r>
        <w:t xml:space="preserve"> Hong Kong examples (mangroves, artificial shorelines, urban trees, country parks) alongside tropical case studies from my research—highlighting transferable principles.</w:t>
      </w:r>
    </w:p>
    <w:p>
      <w:pPr/>
      <w:r>
        <w:rPr>
          <w:b/>
        </w:rPr>
        <w:t>Inclusive assessment.</w:t>
      </w:r>
      <w:r>
        <w:t xml:space="preserve"> Mix of quizzes, field reports, group projects, policy memos, and oral presentations so students with different strengths can succeed.</w:t>
      </w:r>
    </w:p>
    <w:p>
      <w:pPr/>
      <w:r>
        <w:rPr>
          <w:b/>
        </w:rPr>
        <w:t>Guest practitioners.</w:t>
      </w:r>
      <w:r>
        <w:t xml:space="preserve"> Invite AFCD, NGO, and industry partners to connect classroom concepts to implementation—consistent with ENVR’s applied mission.</w:t>
      </w:r>
    </w:p>
    <w:p>
      <w:pPr>
        <w:pStyle w:val="Heading1"/>
      </w:pPr>
      <w:r>
        <w:t>5. Graduate supervision</w:t>
      </w:r>
    </w:p>
    <w:p>
      <w:pPr/>
      <w:r>
        <w:t>I will supervise graduate students across:</w:t>
      </w:r>
    </w:p>
    <w:p>
      <w:pPr>
        <w:pStyle w:val="ListBullet"/>
      </w:pPr>
      <w:r>
        <w:t>Biodiversity and ecosystem functioning</w:t>
      </w:r>
    </w:p>
    <w:p>
      <w:pPr>
        <w:pStyle w:val="ListBullet"/>
      </w:pPr>
      <w:r>
        <w:t>Ecosystem services and multifunctionality</w:t>
      </w:r>
    </w:p>
    <w:p>
      <w:pPr>
        <w:pStyle w:val="ListBullet"/>
      </w:pPr>
      <w:r>
        <w:t>Nature-based solutions and restoration ecology</w:t>
      </w:r>
    </w:p>
    <w:p>
      <w:pPr>
        <w:pStyle w:val="ListBullet"/>
      </w:pPr>
      <w:r>
        <w:t>Climate extremes, resilience, and tipping points</w:t>
      </w:r>
    </w:p>
    <w:p>
      <w:pPr>
        <w:pStyle w:val="ListBullet"/>
      </w:pPr>
      <w:r>
        <w:t>Environmental remote sensing and GeoAI</w:t>
      </w:r>
    </w:p>
    <w:p>
      <w:pPr/>
      <w:r>
        <w:t>Supervision style: structured milestones, weekly or biweekly meetings, emphasis on writing and presentation skills, encouragement of interdisciplinary co-supervision where appropriate, and ethical conduct in field work and data use.</w:t>
      </w:r>
    </w:p>
    <w:p>
      <w:pPr>
        <w:pStyle w:val="Heading1"/>
      </w:pPr>
      <w:r>
        <w:t>6. Commitment to ENVR</w:t>
      </w:r>
    </w:p>
    <w:p>
      <w:pPr/>
      <w:r>
        <w:t xml:space="preserve">I understand that ENVR faculty are expected to teach at undergraduate and postgraduate levels, advise students, and contribute to curriculum development—not only conduct research. I embrace this balance. My goal is to help ENVR deliver a </w:t>
      </w:r>
      <w:r>
        <w:rPr>
          <w:b/>
        </w:rPr>
        <w:t>world-class, experiential biodiversity and NbS education</w:t>
      </w:r>
      <w:r>
        <w:t xml:space="preserve"> that equips every HKUST graduate to understand how human prosperity depends on nature—and how their careers can help restore the living systems around us.</w:t>
      </w:r>
    </w:p>
    <w:p>
      <w:pPr/>
      <w:r>
        <w:t>I welcome the opportunity to discuss course design with ENVR colleagues, including Dr Jay Minuti and faculty leading the 2027 core curriculum, and to iterate based on student and programme needs.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