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03 — Azure Network Security Group (NSG)</w:t>
      </w:r>
    </w:p>
    <w:p>
      <w:pPr>
        <w:jc w:val="center"/>
      </w:pPr>
      <w:r>
        <w:t>Enterprise Azure Infrastructure, Security &amp; Monitoring Lab</w:t>
      </w:r>
    </w:p>
    <w:p>
      <w:pPr>
        <w:pStyle w:val="Heading1"/>
      </w:pPr>
      <w:r>
        <w:t>Objective</w:t>
      </w:r>
    </w:p>
    <w:p>
      <w:r>
        <w:t>Create and configure an Azure Network Security Group for the web tier, add controlled HTTP/HTTPS inbound access, and associate the NSG with the web subnet.</w:t>
      </w:r>
    </w:p>
    <w:p>
      <w:pPr>
        <w:pStyle w:val="Heading1"/>
      </w:pPr>
      <w:r>
        <w:t>Environment</w:t>
      </w:r>
    </w:p>
    <w:p>
      <w:pPr>
        <w:pStyle w:val="ListBullet"/>
      </w:pPr>
      <w:r>
        <w:t>Subscription: My Test Azure subscription 1</w:t>
      </w:r>
    </w:p>
    <w:p>
      <w:pPr>
        <w:pStyle w:val="ListBullet"/>
      </w:pPr>
      <w:r>
        <w:t>Resource Group: rg-azure-enterprise_MM</w:t>
      </w:r>
    </w:p>
    <w:p>
      <w:pPr>
        <w:pStyle w:val="ListBullet"/>
      </w:pPr>
      <w:r>
        <w:t>Region: Central India</w:t>
      </w:r>
    </w:p>
    <w:p>
      <w:pPr>
        <w:pStyle w:val="ListBullet"/>
      </w:pPr>
      <w:r>
        <w:t>NSG: nsg-web-MM</w:t>
      </w:r>
    </w:p>
    <w:p>
      <w:pPr>
        <w:pStyle w:val="ListBullet"/>
      </w:pPr>
      <w:r>
        <w:t>VNet: vnet-azure-enterprise-MM</w:t>
      </w:r>
    </w:p>
    <w:p>
      <w:pPr>
        <w:pStyle w:val="ListBullet"/>
      </w:pPr>
      <w:r>
        <w:t>Web Subnet: WebSubnet_MM (10.0.1.0/24)</w:t>
      </w:r>
    </w:p>
    <w:p>
      <w:pPr>
        <w:pStyle w:val="Heading1"/>
      </w:pPr>
      <w:r>
        <w:t>Configuration Completed</w:t>
      </w:r>
    </w:p>
    <w:p>
      <w:pPr>
        <w:pStyle w:val="ListNumber"/>
      </w:pPr>
      <w:r>
        <w:t>Created nsg-web-MM.</w:t>
      </w:r>
    </w:p>
    <w:p>
      <w:pPr>
        <w:pStyle w:val="ListNumber"/>
      </w:pPr>
      <w:r>
        <w:t>Added inbound HTTP: priority 100, TCP 80, Allow.</w:t>
      </w:r>
    </w:p>
    <w:p>
      <w:pPr>
        <w:pStyle w:val="ListNumber"/>
      </w:pPr>
      <w:r>
        <w:t>Added inbound HTTPS: priority 110, TCP 443, Allow. The rule is functionally correct; its current name appears as Allow-HTTP1 and should be renamed to Allow-HTTPS during cleanup.</w:t>
      </w:r>
    </w:p>
    <w:p>
      <w:pPr>
        <w:pStyle w:val="ListNumber"/>
      </w:pPr>
      <w:r>
        <w:t>Associated nsg-web-MM with WebSubnet_MM.</w:t>
      </w:r>
    </w:p>
    <w:p>
      <w:pPr>
        <w:pStyle w:val="ListNumber"/>
      </w:pPr>
      <w:r>
        <w:t>Verified the subnet association.</w:t>
      </w:r>
    </w:p>
    <w:p>
      <w:pPr>
        <w:pStyle w:val="Heading1"/>
      </w:pPr>
      <w:r>
        <w:t>Security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Direction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Protocol</w:t>
            </w:r>
          </w:p>
        </w:tc>
        <w:tc>
          <w:tcPr>
            <w:tcW w:type="dxa" w:w="1440"/>
          </w:tcPr>
          <w:p>
            <w:r>
              <w:t>Port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</w:tr>
      <w:tr>
        <w:tc>
          <w:tcPr>
            <w:tcW w:type="dxa" w:w="1440"/>
          </w:tcPr>
          <w:p>
            <w:r>
              <w:t>Inbound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Allow-HTTP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Allow</w:t>
            </w:r>
          </w:p>
        </w:tc>
      </w:tr>
      <w:tr>
        <w:tc>
          <w:tcPr>
            <w:tcW w:type="dxa" w:w="1440"/>
          </w:tcPr>
          <w:p>
            <w:r>
              <w:t>Inbound</w:t>
            </w:r>
          </w:p>
        </w:tc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Allow-HTTP1 (rename to Allow-HTTPS)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443</w:t>
            </w:r>
          </w:p>
        </w:tc>
        <w:tc>
          <w:tcPr>
            <w:tcW w:type="dxa" w:w="1440"/>
          </w:tcPr>
          <w:p>
            <w:r>
              <w:t>Allow</w:t>
            </w:r>
          </w:p>
        </w:tc>
      </w:tr>
      <w:tr>
        <w:tc>
          <w:tcPr>
            <w:tcW w:type="dxa" w:w="1440"/>
          </w:tcPr>
          <w:p>
            <w:r>
              <w:t>Inbound</w:t>
            </w:r>
          </w:p>
        </w:tc>
        <w:tc>
          <w:tcPr>
            <w:tcW w:type="dxa" w:w="1440"/>
          </w:tcPr>
          <w:p>
            <w:r>
              <w:t>65000</w:t>
            </w:r>
          </w:p>
        </w:tc>
        <w:tc>
          <w:tcPr>
            <w:tcW w:type="dxa" w:w="1440"/>
          </w:tcPr>
          <w:p>
            <w:r>
              <w:t>AllowVNetInBound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Allow</w:t>
            </w:r>
          </w:p>
        </w:tc>
      </w:tr>
      <w:tr>
        <w:tc>
          <w:tcPr>
            <w:tcW w:type="dxa" w:w="1440"/>
          </w:tcPr>
          <w:p>
            <w:r>
              <w:t>Inbound</w:t>
            </w:r>
          </w:p>
        </w:tc>
        <w:tc>
          <w:tcPr>
            <w:tcW w:type="dxa" w:w="1440"/>
          </w:tcPr>
          <w:p>
            <w:r>
              <w:t>65001</w:t>
            </w:r>
          </w:p>
        </w:tc>
        <w:tc>
          <w:tcPr>
            <w:tcW w:type="dxa" w:w="1440"/>
          </w:tcPr>
          <w:p>
            <w:r>
              <w:t>AllowAzureLoadBalancerInBound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Allow</w:t>
            </w:r>
          </w:p>
        </w:tc>
      </w:tr>
      <w:tr>
        <w:tc>
          <w:tcPr>
            <w:tcW w:type="dxa" w:w="1440"/>
          </w:tcPr>
          <w:p>
            <w:r>
              <w:t>Inbound</w:t>
            </w:r>
          </w:p>
        </w:tc>
        <w:tc>
          <w:tcPr>
            <w:tcW w:type="dxa" w:w="1440"/>
          </w:tcPr>
          <w:p>
            <w:r>
              <w:t>65500</w:t>
            </w:r>
          </w:p>
        </w:tc>
        <w:tc>
          <w:tcPr>
            <w:tcW w:type="dxa" w:w="1440"/>
          </w:tcPr>
          <w:p>
            <w:r>
              <w:t>DenyAllInBound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Deny</w:t>
            </w:r>
          </w:p>
        </w:tc>
      </w:tr>
    </w:tbl>
    <w:p>
      <w:pPr>
        <w:pStyle w:val="Heading1"/>
      </w:pPr>
      <w:r>
        <w:t>Resource Lock Observation</w:t>
      </w:r>
    </w:p>
    <w:p>
      <w:r>
        <w:t>An accidental outbound HTTP rule was created during the exercise. Its deletion was blocked because the resource group has a CanNotDelete lock (PortfolioResourceLock). This demonstrates how Azure Resource Locks prevent protected resources from being deleted. The lock should be temporarily removed only when cleanup is required, then re-enabled.</w:t>
      </w:r>
    </w:p>
    <w:p>
      <w:pPr>
        <w:pStyle w:val="Heading1"/>
      </w:pPr>
      <w:r>
        <w:t>Interview Points</w:t>
      </w:r>
    </w:p>
    <w:p>
      <w:pPr>
        <w:pStyle w:val="ListBullet"/>
      </w:pPr>
      <w:r>
        <w:t>What is an NSG? A collection of rules that allow or deny network traffic to Azure subnets and/or network interfaces.</w:t>
      </w:r>
    </w:p>
    <w:p>
      <w:pPr>
        <w:pStyle w:val="ListBullet"/>
      </w:pPr>
      <w:r>
        <w:t>Why priority? Lower numeric priority is evaluated before higher numeric priority.</w:t>
      </w:r>
    </w:p>
    <w:p>
      <w:pPr>
        <w:pStyle w:val="ListBullet"/>
      </w:pPr>
      <w:r>
        <w:t>Why TCP 80? HTTP web traffic normally uses TCP port 80.</w:t>
      </w:r>
    </w:p>
    <w:p>
      <w:pPr>
        <w:pStyle w:val="ListBullet"/>
      </w:pPr>
      <w:r>
        <w:t>Why TCP 443? HTTPS web traffic normally uses TCP port 443.</w:t>
      </w:r>
    </w:p>
    <w:p>
      <w:pPr>
        <w:pStyle w:val="ListBullet"/>
      </w:pPr>
      <w:r>
        <w:t>Why associate the NSG with a subnet? Creating the NSG alone does not apply its rules to the subnet; association makes the NSG part of the subnet traffic-control configuration.</w:t>
      </w:r>
    </w:p>
    <w:p>
      <w:pPr>
        <w:pStyle w:val="ListBullet"/>
      </w:pPr>
      <w:r>
        <w:t>Should SSH/RDP be open to Any? Normally no; management access should be restricted to trusted sources or controlled management services.</w:t>
      </w:r>
    </w:p>
    <w:p>
      <w:pPr>
        <w:pStyle w:val="Heading1"/>
      </w:pPr>
      <w:r>
        <w:t>Evidence Screenshots</w:t>
      </w:r>
    </w:p>
    <w:p>
      <w:pPr>
        <w:pStyle w:val="Heading2"/>
      </w:pPr>
      <w:r>
        <w:t>01 — Create NSG: Basics</w:t>
      </w:r>
    </w:p>
    <w:p>
      <w:r>
        <w:drawing>
          <wp:inline xmlns:a="http://schemas.openxmlformats.org/drawingml/2006/main" xmlns:pic="http://schemas.openxmlformats.org/drawingml/2006/picture">
            <wp:extent cx="5852160" cy="3290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324c62-6829-432d-b080-8cf5b2ae47c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Evidence: 01 — Create NSG: Basics</w:t>
      </w:r>
    </w:p>
    <w:p>
      <w:pPr>
        <w:pStyle w:val="Heading2"/>
      </w:pPr>
      <w:r>
        <w:t>02 — NSG deployment succeeded</w:t>
      </w:r>
    </w:p>
    <w:p>
      <w:r>
        <w:drawing>
          <wp:inline xmlns:a="http://schemas.openxmlformats.org/drawingml/2006/main" xmlns:pic="http://schemas.openxmlformats.org/drawingml/2006/picture">
            <wp:extent cx="5852160" cy="32902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6bd26f-d0e7-4c8c-b760-5e7bbe38ac6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Evidence: 02 — NSG deployment succeeded</w:t>
      </w:r>
    </w:p>
    <w:p>
      <w:pPr>
        <w:pStyle w:val="Heading2"/>
      </w:pPr>
      <w:r>
        <w:t>03 — Add inbound security rule</w:t>
      </w:r>
    </w:p>
    <w:p>
      <w:r>
        <w:drawing>
          <wp:inline xmlns:a="http://schemas.openxmlformats.org/drawingml/2006/main" xmlns:pic="http://schemas.openxmlformats.org/drawingml/2006/picture">
            <wp:extent cx="5852160" cy="32902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0ee68a-5b9e-4abc-ba0e-c4223b6824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Evidence: 03 — Add inbound security rule</w:t>
      </w:r>
    </w:p>
    <w:p>
      <w:pPr>
        <w:pStyle w:val="Heading2"/>
      </w:pPr>
      <w:r>
        <w:t>04 — NSG rules after configuration</w:t>
      </w:r>
    </w:p>
    <w:p>
      <w:r>
        <w:drawing>
          <wp:inline xmlns:a="http://schemas.openxmlformats.org/drawingml/2006/main" xmlns:pic="http://schemas.openxmlformats.org/drawingml/2006/picture">
            <wp:extent cx="5852160" cy="32902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bc2fb2-622e-496f-98af-2f0f90fcc2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Evidence: 04 — NSG rules after configuration</w:t>
      </w:r>
    </w:p>
    <w:p>
      <w:pPr>
        <w:pStyle w:val="Heading2"/>
      </w:pPr>
      <w:r>
        <w:t>05 — Outbound rule deletion blocked by CanNotDelete lock</w:t>
      </w:r>
    </w:p>
    <w:p>
      <w:r>
        <w:drawing>
          <wp:inline xmlns:a="http://schemas.openxmlformats.org/drawingml/2006/main" xmlns:pic="http://schemas.openxmlformats.org/drawingml/2006/picture">
            <wp:extent cx="5852160" cy="32902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0c6569-fbfb-45d0-96fa-35eaff4d2db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Evidence: 05 — Outbound rule deletion blocked by CanNotDelete lock</w:t>
      </w:r>
    </w:p>
    <w:p>
      <w:pPr>
        <w:pStyle w:val="Heading2"/>
      </w:pPr>
      <w:r>
        <w:t>06 — Associate subnet dialog</w:t>
      </w:r>
    </w:p>
    <w:p>
      <w:r>
        <w:drawing>
          <wp:inline xmlns:a="http://schemas.openxmlformats.org/drawingml/2006/main" xmlns:pic="http://schemas.openxmlformats.org/drawingml/2006/picture">
            <wp:extent cx="5852160" cy="32902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395630-ae2c-4071-8fad-295332420d5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Evidence: 06 — Associate subnet dialog</w:t>
      </w:r>
    </w:p>
    <w:p>
      <w:pPr>
        <w:pStyle w:val="Heading2"/>
      </w:pPr>
      <w:r>
        <w:t>07 — Final NSG-to-WebSubnet association</w:t>
      </w:r>
    </w:p>
    <w:p>
      <w:r>
        <w:drawing>
          <wp:inline xmlns:a="http://schemas.openxmlformats.org/drawingml/2006/main" xmlns:pic="http://schemas.openxmlformats.org/drawingml/2006/picture">
            <wp:extent cx="5852160" cy="32902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32ee94-10c7-4152-af7e-251dbcf4fb4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Evidence: 07 — Final NSG-to-WebSubnet association</w:t>
      </w:r>
    </w:p>
    <w:p>
      <w:pPr>
        <w:pStyle w:val="Heading1"/>
      </w:pPr>
      <w:r>
        <w:t>Result</w:t>
      </w:r>
    </w:p>
    <w:p>
      <w:r>
        <w:t>Task 03 completed: NSG created, web traffic rules configured, and nsg-web-MM associated with WebSubnet_MM.</w:t>
      </w:r>
    </w:p>
    <w:p>
      <w:pPr>
        <w:pStyle w:val="Heading1"/>
      </w:pPr>
      <w:r>
        <w:t>Next Step</w:t>
      </w:r>
    </w:p>
    <w:p>
      <w:r>
        <w:t>Build the web compute layer using an Azure VM and connect it to WebSubnet_MM, while keeping costs controlled within the Azure free credit.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