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AZURE ENTERPRISE INFRASTRUCTURE LAB</w:t>
      </w:r>
    </w:p>
    <w:p>
      <w:pPr>
        <w:jc w:val="center"/>
      </w:pPr>
      <w:r>
        <w:rPr>
          <w:b/>
          <w:sz w:val="30"/>
        </w:rPr>
        <w:t>Task 05 — Windows VM Security Hardening &amp; Cost Control</w:t>
      </w:r>
    </w:p>
    <w:p>
      <w:pPr>
        <w:jc w:val="center"/>
      </w:pPr>
      <w:r>
        <w:rPr>
          <w:b w:val="0"/>
          <w:sz w:val="22"/>
        </w:rPr>
        <w:t>Current State + Hardening Plan</w:t>
      </w:r>
    </w:p>
    <w:p>
      <w:pPr>
        <w:pStyle w:val="Heading1"/>
      </w:pPr>
      <w:r>
        <w:t>1. Objective</w:t>
      </w:r>
    </w:p>
    <w:p>
      <w:r>
        <w:t>Review the deployed Windows VM from a security, networking, remote-access, and cost-control perspective and document the hardening actions to be completed.</w:t>
      </w:r>
    </w:p>
    <w:p>
      <w:r>
        <w:rPr>
          <w:b/>
        </w:rPr>
        <w:t xml:space="preserve">Status: </w:t>
      </w:r>
      <w:r>
        <w:t>This document records the current verified state and planned hardening work. Pending changes are not claimed as completed.</w:t>
      </w:r>
    </w:p>
    <w:p>
      <w:pPr>
        <w:pStyle w:val="Heading1"/>
      </w:pPr>
      <w:r>
        <w:t>2. Current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Current value</w:t>
            </w:r>
          </w:p>
        </w:tc>
      </w:tr>
      <w:tr>
        <w:tc>
          <w:tcPr>
            <w:tcW w:type="dxa" w:w="4320"/>
          </w:tcPr>
          <w:p>
            <w:r>
              <w:t>Subscription</w:t>
            </w:r>
          </w:p>
        </w:tc>
        <w:tc>
          <w:tcPr>
            <w:tcW w:type="dxa" w:w="4320"/>
          </w:tcPr>
          <w:p>
            <w:r>
              <w:t>My Test Azure subscription 1</w:t>
            </w:r>
          </w:p>
        </w:tc>
      </w:tr>
      <w:tr>
        <w:tc>
          <w:tcPr>
            <w:tcW w:type="dxa" w:w="4320"/>
          </w:tcPr>
          <w:p>
            <w:r>
              <w:t>Resource Group</w:t>
            </w:r>
          </w:p>
        </w:tc>
        <w:tc>
          <w:tcPr>
            <w:tcW w:type="dxa" w:w="4320"/>
          </w:tcPr>
          <w:p>
            <w:r>
              <w:t>rg-azure-enterprise_MM</w:t>
            </w:r>
          </w:p>
        </w:tc>
      </w:tr>
      <w:tr>
        <w:tc>
          <w:tcPr>
            <w:tcW w:type="dxa" w:w="4320"/>
          </w:tcPr>
          <w:p>
            <w:r>
              <w:t>VM</w:t>
            </w:r>
          </w:p>
        </w:tc>
        <w:tc>
          <w:tcPr>
            <w:tcW w:type="dxa" w:w="4320"/>
          </w:tcPr>
          <w:p>
            <w:r>
              <w:t>vm-web-MM</w:t>
            </w:r>
          </w:p>
        </w:tc>
      </w:tr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Central India (Zone 2)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Server 2025 Datacenter</w:t>
            </w:r>
          </w:p>
        </w:tc>
      </w:tr>
      <w:tr>
        <w:tc>
          <w:tcPr>
            <w:tcW w:type="dxa" w:w="4320"/>
          </w:tcPr>
          <w:p>
            <w:r>
              <w:t>VM Size</w:t>
            </w:r>
          </w:p>
        </w:tc>
        <w:tc>
          <w:tcPr>
            <w:tcW w:type="dxa" w:w="4320"/>
          </w:tcPr>
          <w:p>
            <w:r>
              <w:t>Standard B2ts_v2</w:t>
            </w:r>
          </w:p>
        </w:tc>
      </w:tr>
      <w:tr>
        <w:tc>
          <w:tcPr>
            <w:tcW w:type="dxa" w:w="4320"/>
          </w:tcPr>
          <w:p>
            <w:r>
              <w:t>VNet</w:t>
            </w:r>
          </w:p>
        </w:tc>
        <w:tc>
          <w:tcPr>
            <w:tcW w:type="dxa" w:w="4320"/>
          </w:tcPr>
          <w:p>
            <w:r>
              <w:t>vnet-azure-enterprise-MM</w:t>
            </w:r>
          </w:p>
        </w:tc>
      </w:tr>
      <w:tr>
        <w:tc>
          <w:tcPr>
            <w:tcW w:type="dxa" w:w="4320"/>
          </w:tcPr>
          <w:p>
            <w:r>
              <w:t>Subnet</w:t>
            </w:r>
          </w:p>
        </w:tc>
        <w:tc>
          <w:tcPr>
            <w:tcW w:type="dxa" w:w="4320"/>
          </w:tcPr>
          <w:p>
            <w:r>
              <w:t>WebSubnet_MM</w:t>
            </w:r>
          </w:p>
        </w:tc>
      </w:tr>
      <w:tr>
        <w:tc>
          <w:tcPr>
            <w:tcW w:type="dxa" w:w="4320"/>
          </w:tcPr>
          <w:p>
            <w:r>
              <w:t>Private IP</w:t>
            </w:r>
          </w:p>
        </w:tc>
        <w:tc>
          <w:tcPr>
            <w:tcW w:type="dxa" w:w="4320"/>
          </w:tcPr>
          <w:p>
            <w:r>
              <w:t>10.0.1.4</w:t>
            </w:r>
          </w:p>
        </w:tc>
      </w:tr>
      <w:tr>
        <w:tc>
          <w:tcPr>
            <w:tcW w:type="dxa" w:w="4320"/>
          </w:tcPr>
          <w:p>
            <w:r>
              <w:t>Public IP</w:t>
            </w:r>
          </w:p>
        </w:tc>
        <w:tc>
          <w:tcPr>
            <w:tcW w:type="dxa" w:w="4320"/>
          </w:tcPr>
          <w:p>
            <w:r>
              <w:t>20.244.97.131</w:t>
            </w:r>
          </w:p>
        </w:tc>
      </w:tr>
    </w:tbl>
    <w:p>
      <w:pPr>
        <w:pStyle w:val="Heading1"/>
      </w:pPr>
      <w:r>
        <w:t>3. Evidence Confirmed</w:t>
      </w:r>
    </w:p>
    <w:p>
      <w:pPr>
        <w:pStyle w:val="ListBullet"/>
      </w:pPr>
      <w:r>
        <w:t>VM Network Settings show NIC vm-web-mm993, VNet/subnet vnet-azure-enterprise-MM / WebSubnet_MM, public IP 20.244.97.131, private IP 10.0.1.4, accelerated networking enabled, subnet NSG nsg-web-MM, and VM/NIC-level NSG vm-web-MM-nsg.</w:t>
      </w:r>
    </w:p>
    <w:p>
      <w:pPr>
        <w:pStyle w:val="ListBullet"/>
      </w:pPr>
      <w:r>
        <w:t>VM Overview confirms vm-web-MM is Running.</w:t>
      </w:r>
    </w:p>
    <w:p>
      <w:pPr>
        <w:pStyle w:val="ListBullet"/>
      </w:pPr>
      <w:r>
        <w:t>A Native RDP session was successfully established.</w:t>
      </w:r>
    </w:p>
    <w:p>
      <w:pPr>
        <w:pStyle w:val="ListBullet"/>
      </w:pPr>
      <w:r>
        <w:t>Activity Log shows Create or Update Virtual Machine — Succeeded, Health Event Resolved, and Health Event Updated.</w:t>
      </w:r>
    </w:p>
    <w:p>
      <w:pPr>
        <w:pStyle w:val="Heading1"/>
      </w:pPr>
      <w:r>
        <w:t>4. Security Review</w:t>
      </w:r>
    </w:p>
    <w:p>
      <w:r>
        <w:t>Current configuration exposes TCP 3389 for RDP. For a production-style configuration, RDP should be restricted to a trusted administrator source rather than broadly exposed.</w:t>
      </w:r>
    </w:p>
    <w:p>
      <w:r>
        <w:t>The project currently shows both nsg-web-MM at the subnet level and vm-web-MM-nsg at the NIC/VM level. This should be intentionally documented or simplified to avoid unclear or redundant security policy.</w:t>
      </w:r>
    </w:p>
    <w:p>
      <w:pPr>
        <w:pStyle w:val="Heading1"/>
      </w:pPr>
      <w:r>
        <w:t>5. Planned Hardening Actions</w:t>
      </w:r>
    </w:p>
    <w:p>
      <w:pPr>
        <w:pStyle w:val="ListNumber"/>
      </w:pPr>
      <w:r>
        <w:t>Restrict RDP to the administrator public IP using a /32 source; recommended name: Allow-RDP-Admin-IP.</w:t>
      </w:r>
    </w:p>
    <w:p>
      <w:pPr>
        <w:pStyle w:val="ListNumber"/>
      </w:pPr>
      <w:r>
        <w:t>Rename the existing 443 rule from Allow-HTTP1 to Allow-HTTPS while retaining priority 110, TCP 443 and Allow.</w:t>
      </w:r>
    </w:p>
    <w:p>
      <w:pPr>
        <w:pStyle w:val="ListNumber"/>
      </w:pPr>
      <w:r>
        <w:t>Review whether both subnet-level and NIC-level NSGs are intentionally required.</w:t>
      </w:r>
    </w:p>
    <w:p>
      <w:pPr>
        <w:pStyle w:val="ListNumber"/>
      </w:pPr>
      <w:r>
        <w:t>Configure VM auto-shutdown or deliberate stop/deallocate procedures for cost control.</w:t>
      </w:r>
    </w:p>
    <w:p>
      <w:pPr>
        <w:pStyle w:val="Heading1"/>
      </w:pPr>
      <w:r>
        <w:t>6. Why These Changes Matter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Why it matters</w:t>
            </w:r>
          </w:p>
        </w:tc>
      </w:tr>
      <w:tr>
        <w:tc>
          <w:tcPr>
            <w:tcW w:type="dxa" w:w="4320"/>
          </w:tcPr>
          <w:p>
            <w:r>
              <w:t>RDP restriction</w:t>
            </w:r>
          </w:p>
        </w:tc>
        <w:tc>
          <w:tcPr>
            <w:tcW w:type="dxa" w:w="4320"/>
          </w:tcPr>
          <w:p>
            <w:r>
              <w:t>Reduces unnecessary exposure of Windows administration</w:t>
            </w:r>
          </w:p>
        </w:tc>
      </w:tr>
      <w:tr>
        <w:tc>
          <w:tcPr>
            <w:tcW w:type="dxa" w:w="4320"/>
          </w:tcPr>
          <w:p>
            <w:r>
              <w:t>HTTPS naming</w:t>
            </w:r>
          </w:p>
        </w:tc>
        <w:tc>
          <w:tcPr>
            <w:tcW w:type="dxa" w:w="4320"/>
          </w:tcPr>
          <w:p>
            <w:r>
              <w:t>Makes security policy readable and auditable</w:t>
            </w:r>
          </w:p>
        </w:tc>
      </w:tr>
      <w:tr>
        <w:tc>
          <w:tcPr>
            <w:tcW w:type="dxa" w:w="4320"/>
          </w:tcPr>
          <w:p>
            <w:r>
              <w:t>NSG review</w:t>
            </w:r>
          </w:p>
        </w:tc>
        <w:tc>
          <w:tcPr>
            <w:tcW w:type="dxa" w:w="4320"/>
          </w:tcPr>
          <w:p>
            <w:r>
              <w:t>Prevents unclear or redundant security controls</w:t>
            </w:r>
          </w:p>
        </w:tc>
      </w:tr>
      <w:tr>
        <w:tc>
          <w:tcPr>
            <w:tcW w:type="dxa" w:w="4320"/>
          </w:tcPr>
          <w:p>
            <w:r>
              <w:t>Auto-shutdown</w:t>
            </w:r>
          </w:p>
        </w:tc>
        <w:tc>
          <w:tcPr>
            <w:tcW w:type="dxa" w:w="4320"/>
          </w:tcPr>
          <w:p>
            <w:r>
              <w:t>Reduces unnecessary compute consumption</w:t>
            </w:r>
          </w:p>
        </w:tc>
      </w:tr>
      <w:tr>
        <w:tc>
          <w:tcPr>
            <w:tcW w:type="dxa" w:w="4320"/>
          </w:tcPr>
          <w:p>
            <w:r>
              <w:t>Activity Log</w:t>
            </w:r>
          </w:p>
        </w:tc>
        <w:tc>
          <w:tcPr>
            <w:tcW w:type="dxa" w:w="4320"/>
          </w:tcPr>
          <w:p>
            <w:r>
              <w:t>Provides an audit trail for resource operations</w:t>
            </w:r>
          </w:p>
        </w:tc>
      </w:tr>
    </w:tbl>
    <w:p>
      <w:pPr>
        <w:pStyle w:val="Heading1"/>
      </w:pPr>
      <w:r>
        <w:t>7. Interview Questions</w:t>
      </w:r>
    </w:p>
    <w:p>
      <w:r>
        <w:rPr>
          <w:b/>
        </w:rPr>
        <w:t>Q1. Why should RDP not normally be open to Any?</w:t>
        <w:br/>
      </w:r>
      <w:r>
        <w:t>RDP is an administrative service. Broad internet exposure increases the attack surface; access should be restricted to trusted sources or secure management services.</w:t>
      </w:r>
    </w:p>
    <w:p>
      <w:r>
        <w:rPr>
          <w:b/>
        </w:rPr>
        <w:t>Q2. Can a subnet and NIC both have NSGs?</w:t>
        <w:br/>
      </w:r>
      <w:r>
        <w:t>Yes. Azure supports NSGs at both levels. Effective traffic rules must be considered together.</w:t>
      </w:r>
    </w:p>
    <w:p>
      <w:r>
        <w:rPr>
          <w:b/>
        </w:rPr>
        <w:t>Q3. Why use a /32 source for RDP?</w:t>
        <w:br/>
      </w:r>
      <w:r>
        <w:t>A /32 represents one IPv4 address, allowing access to be limited to one known public source.</w:t>
      </w:r>
    </w:p>
    <w:p>
      <w:r>
        <w:rPr>
          <w:b/>
        </w:rPr>
        <w:t>Q4. What is the difference between Stop and Deallocate?</w:t>
        <w:br/>
      </w:r>
      <w:r>
        <w:t>Deallocation releases Azure compute resources. A guest-OS shutdown is not the same as Azure deallocation for billing purposes.</w:t>
      </w:r>
    </w:p>
    <w:p>
      <w:r>
        <w:rPr>
          <w:b/>
        </w:rPr>
        <w:t>Q5. How did you troubleshoot RDP?</w:t>
        <w:br/>
      </w:r>
      <w:r>
        <w:t>I verified VM state, Network settings, NSG rules, the public IP and port 3389 path, then validated access using Native RDP.</w:t>
      </w:r>
    </w:p>
    <w:p>
      <w:pPr>
        <w:pStyle w:val="Heading1"/>
      </w:pPr>
      <w:r>
        <w:t>8. Completion Checklist</w:t>
      </w:r>
    </w:p>
    <w:p>
      <w:r>
        <w:t>☑ VM Network Settings captured</w:t>
      </w:r>
    </w:p>
    <w:p>
      <w:r>
        <w:t>☑ VM Running state captured</w:t>
      </w:r>
    </w:p>
    <w:p>
      <w:r>
        <w:t>☑ Successful RDP session captured</w:t>
      </w:r>
    </w:p>
    <w:p>
      <w:r>
        <w:t>☑ Activity Log reviewed</w:t>
      </w:r>
    </w:p>
    <w:p>
      <w:r>
        <w:t>☐ Restrict RDP to trusted administrator IP</w:t>
      </w:r>
    </w:p>
    <w:p>
      <w:r>
        <w:t>☐ Rename 443 rule to Allow-HTTPS</w:t>
      </w:r>
    </w:p>
    <w:p>
      <w:r>
        <w:t>☐ Review subnet/NIC NSG layering</w:t>
      </w:r>
    </w:p>
    <w:p>
      <w:r>
        <w:t>☐ Configure VM auto-shutdown</w:t>
      </w:r>
    </w:p>
    <w:p>
      <w:r>
        <w:t>☐ Re-test RDP after hardening</w:t>
      </w:r>
    </w:p>
    <w:p>
      <w:r>
        <w:t>☐ Capture post-hardening screenshots</w:t>
      </w:r>
    </w:p>
    <w:p>
      <w:r>
        <w:t>☐ Update GitHub README</w:t>
      </w:r>
    </w:p>
    <w:p>
      <w:r>
        <w:t>☐ Commit and push changes</w:t>
      </w:r>
    </w:p>
    <w:p>
      <w:r>
        <w:t>☐ Sanitize public-IP/account details before public upload</w:t>
      </w:r>
    </w:p>
    <w:p>
      <w:pPr>
        <w:pStyle w:val="Heading1"/>
      </w:pPr>
      <w:r>
        <w:t>9. Evidence Screenshots</w:t>
      </w:r>
    </w:p>
    <w:p>
      <w:r>
        <w:rPr>
          <w:b/>
        </w:rPr>
        <w:t>Figure 1 — Current VM Network Settings evidence</w:t>
      </w:r>
    </w:p>
    <w:p>
      <w:r>
        <w:drawing>
          <wp:inline xmlns:a="http://schemas.openxmlformats.org/drawingml/2006/main" xmlns:pic="http://schemas.openxmlformats.org/drawingml/2006/picture">
            <wp:extent cx="5897880" cy="3315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m-network-settings-cur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Current VM Network Settings evidence</w:t>
      </w:r>
    </w:p>
    <w:p>
      <w:r>
        <w:br w:type="page"/>
      </w:r>
    </w:p>
    <w:p>
      <w:r>
        <w:rPr>
          <w:b/>
        </w:rPr>
        <w:t>Figure 2 — VM Overview showing Running status</w:t>
      </w:r>
    </w:p>
    <w:p>
      <w:r>
        <w:drawing>
          <wp:inline xmlns:a="http://schemas.openxmlformats.org/drawingml/2006/main" xmlns:pic="http://schemas.openxmlformats.org/drawingml/2006/picture">
            <wp:extent cx="5897880" cy="3315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vm-overview-run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VM Overview showing Running status</w:t>
      </w:r>
    </w:p>
    <w:p>
      <w:r>
        <w:br w:type="page"/>
      </w:r>
    </w:p>
    <w:p>
      <w:r>
        <w:rPr>
          <w:b/>
        </w:rPr>
        <w:t>Figure 3 — Successful Native RDP connection</w:t>
      </w:r>
    </w:p>
    <w:p>
      <w:r>
        <w:drawing>
          <wp:inline xmlns:a="http://schemas.openxmlformats.org/drawingml/2006/main" xmlns:pic="http://schemas.openxmlformats.org/drawingml/2006/picture">
            <wp:extent cx="5897880" cy="33159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dp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Successful Native RDP connection</w:t>
      </w:r>
    </w:p>
    <w:p>
      <w:r>
        <w:br w:type="page"/>
      </w:r>
    </w:p>
    <w:p>
      <w:r>
        <w:rPr>
          <w:b/>
        </w:rPr>
        <w:t>Figure 4 — VM Activity Log evidence</w:t>
      </w:r>
    </w:p>
    <w:p>
      <w:r>
        <w:drawing>
          <wp:inline xmlns:a="http://schemas.openxmlformats.org/drawingml/2006/main" xmlns:pic="http://schemas.openxmlformats.org/drawingml/2006/picture">
            <wp:extent cx="5897880" cy="33159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m-activity-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5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VM Activity Log evidence</w:t>
      </w:r>
    </w:p>
    <w:p>
      <w:pPr>
        <w:pStyle w:val="Heading1"/>
      </w:pPr>
      <w:r>
        <w:t>10. Result</w:t>
      </w:r>
    </w:p>
    <w:p>
      <w:r>
        <w:t>The VM's current operational state has been verified. The next phase is security hardening and cost control, followed by post-change validation.</w:t>
      </w:r>
    </w:p>
    <w:p>
      <w:pPr>
        <w:pStyle w:val="Heading1"/>
      </w:pPr>
      <w:r>
        <w:t>11. Next Step</w:t>
      </w:r>
    </w:p>
    <w:p>
      <w:r>
        <w:t>Complete the RDP source restriction first. Then review the VM-level NSG before making any deletion or structural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