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33A"/>
          <w:sz w:val="44"/>
        </w:rPr>
        <w:t>從生成，到可驗證</w:t>
      </w:r>
    </w:p>
    <w:p>
      <w:pPr>
        <w:spacing w:after="200"/>
      </w:pPr>
      <w:r>
        <w:rPr>
          <w:i/>
          <w:color w:val="5A6B7C"/>
          <w:sz w:val="23"/>
        </w:rPr>
        <w:t>以可量度的版面可用性，作為論文轉簡報的控制訊號</w:t>
      </w:r>
    </w:p>
    <w:p>
      <w:pPr>
        <w:spacing w:after="80"/>
      </w:pPr>
      <w:r>
        <w:rPr>
          <w:color w:val="5A6B7C"/>
          <w:sz w:val="18"/>
        </w:rPr>
        <w:t>CHAN Yee Tung  ·  DSAI4901 Capstone  ·  指導老師：Dr. Jibin Wu  ·  2026 年 10 月</w:t>
      </w:r>
    </w:p>
    <w:p>
      <w:pPr>
        <w:spacing w:after="120"/>
        <w:pBdr>
          <w:bottom w:val="single" w:sz="6" w:space="1" w:color="C08A2E"/>
        </w:pBdr>
      </w:pPr>
    </w:p>
    <w:p>
      <w:pPr>
        <w:pStyle w:val="Heading1"/>
        <w:spacing w:before="280" w:after="100"/>
      </w:pPr>
      <w:r>
        <w:rPr>
          <w:rFonts w:ascii="Helvetica Neue" w:hAnsi="Helvetica Neue"/>
          <w:color w:val="10233A"/>
          <w:sz w:val="28"/>
        </w:rPr>
        <w:t>1. 背景</w:t>
      </w:r>
    </w:p>
    <w:p>
      <w:r>
        <w:rPr>
          <w:i w:val="0"/>
          <w:sz w:val="21"/>
        </w:rPr>
        <w:t>一場會議演講只有十至十五分鐘，要講完一篇佔八頁的論文。所以 deck 不是論文的摘要，而是把論文壓縮成一條觀眾能即時跟上的論證。這個壓縮過程很慢：作者要決定留什麼、為每個論點找回那張圖，再把兩者放進一頁仍然能在房間後排看得清的版面。</w:t>
      </w:r>
    </w:p>
    <w:p>
      <w:r>
        <w:rPr>
          <w:i w:val="0"/>
          <w:sz w:val="21"/>
        </w:rPr>
        <w:t>語言模型現在一分鐘內就能從一篇論文產生一份看起來合理的 deck。本項目的起點不是它們能不能做，而是結果能不能用——以及系統自己知不知。</w:t>
      </w:r>
    </w:p>
    <w:p>
      <w:r>
        <w:rPr>
          <w:i w:val="0"/>
          <w:sz w:val="21"/>
        </w:rPr>
        <w:t>第二個問題之所以重要，是因為失敗並不細微。文字框跑出邊界、兩個元素重疊、caption 壓在深色背景上、一頁塞了二百五十字：這些都是機械性失敗，投影的一刻就看得見。而這些正是語言模型看不見的失敗，因為它從不渲染自己寫的東西。</w:t>
      </w:r>
    </w:p>
    <w:p>
      <w:pPr>
        <w:pStyle w:val="Heading1"/>
        <w:spacing w:before="280" w:after="100"/>
      </w:pPr>
      <w:r>
        <w:rPr>
          <w:rFonts w:ascii="Helvetica Neue" w:hAnsi="Helvetica Neue"/>
          <w:color w:val="10233A"/>
          <w:sz w:val="28"/>
        </w:rPr>
        <w:t>2. 現時的做法</w:t>
      </w:r>
    </w:p>
    <w:p>
      <w:r>
        <w:rPr>
          <w:i w:val="0"/>
          <w:sz w:val="21"/>
        </w:rPr>
        <w:t>這個領域的工作大致分成兩類，旁邊長出一套評測文獻。</w:t>
      </w:r>
    </w:p>
    <w:p>
      <w:r>
        <w:rPr>
          <w:i w:val="0"/>
          <w:sz w:val="21"/>
        </w:rPr>
        <w:t>生成。PPTAgent 把做 deck 視為編輯而非撰寫：分析參考簡報、抽出 slide 層級的 schema、輸出編輯動作。SlideGen、SlideLab、ArcDeck 加上敘事規劃與多模態接地。這些系統產出的 deck 有說服力，在盲測偏好上可與商業工具競爭。X+Slides 更把聽眾當作明確的條件輸入，而不是常數（Chen et al., 2026）。</w:t>
      </w:r>
    </w:p>
    <w:p>
      <w:r>
        <w:rPr>
          <w:i w:val="0"/>
          <w:sz w:val="21"/>
        </w:rPr>
        <w:t>修復。ReDeck 把修訂拆成原子編輯動作，每步之後取回 renderer 的觀測。PPTPilot（隨 PPTArena 提出）跑 plan–edit–check 迴圈，由視覺語言模型判斷結果。SLIDEFORGE 把 slide 保持為結構化物件，令編輯不破壞原生可編輯性。DeepPresenter 再以環境接地的反思延伸這條迴圈（Zheng et al., 2026a）。</w:t>
      </w:r>
    </w:p>
    <w:p>
      <w:r>
        <w:rPr>
          <w:i w:val="0"/>
          <w:sz w:val="21"/>
        </w:rPr>
        <w:t>評測。SlideAudit（UIST '25）提供 27 類版面缺陷的分類法，涵蓋 2,400 張已標註 slide。DECKBench（KDD '26）以參考 deck 作比對，用相似度指標加 LLM judge 評分。PresentBench 用細緻的 rubric 評生成品質。PPTBench 問的是另一個問題——模型到底懂不懂版面與設計（Huang et al., 2025）。</w:t>
      </w:r>
    </w:p>
    <w:p>
      <w:pPr>
        <w:keepNext/>
        <w:spacing w:before="40"/>
      </w:pPr>
      <w:r>
        <w:rPr>
          <w:i/>
          <w:color w:val="5A6B7C"/>
          <w:sz w:val="17"/>
        </w:rPr>
        <w:t>表 1. 各部分工作提供了什麼，又留下了什麼。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b/>
                <w:sz w:val="17"/>
              </w:rPr>
              <w:t>工作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b/>
                <w:sz w:val="17"/>
              </w:rPr>
              <w:t>提供什麼</w:t>
            </w:r>
          </w:p>
        </w:tc>
        <w:tc>
          <w:tcPr>
            <w:tcW w:type="dxa" w:w="3345"/>
          </w:tcPr>
          <w:p>
            <w:pPr>
              <w:keepNext/>
            </w:pPr>
            <w:r/>
            <w:r>
              <w:rPr>
                <w:b/>
                <w:sz w:val="17"/>
              </w:rPr>
              <w:t>仍未解決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PPTAgent, SlideGen, SlideLab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強生成器；敘事規劃</w:t>
            </w:r>
          </w:p>
        </w:tc>
        <w:tc>
          <w:tcPr>
            <w:tcW w:type="dxa" w:w="334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輸出是否可用；局部失敗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ReDeck, PPTPilot, SLIDEFORGE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帶渲染回饋的修復迴圈</w:t>
            </w:r>
          </w:p>
        </w:tc>
        <w:tc>
          <w:tcPr>
            <w:tcW w:type="dxa" w:w="334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哪些修復有用、有多少用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SlideAudit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缺陷分類法；2,400 張標註</w:t>
            </w:r>
          </w:p>
        </w:tc>
        <w:tc>
          <w:tcPr>
            <w:tcW w:type="dxa" w:w="334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無迴圈；基於圖像；無逐類修復分析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DECKBench</w:t>
            </w:r>
          </w:p>
        </w:tc>
        <w:tc>
          <w:tcPr>
            <w:tcW w:type="dxa" w:w="3061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對照參考 deck 的評分</w:t>
            </w:r>
          </w:p>
        </w:tc>
        <w:tc>
          <w:tcPr>
            <w:tcW w:type="dxa" w:w="3345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需要目標 deck；只排名，不驅動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Helvetica Neue" w:hAnsi="Helvetica Neue"/>
          <w:color w:val="10233A"/>
          <w:sz w:val="28"/>
        </w:rPr>
        <w:t>3. 好在哪裡，差在哪裡</w:t>
      </w:r>
    </w:p>
    <w:p>
      <w:r>
        <w:rPr>
          <w:i w:val="0"/>
          <w:sz w:val="21"/>
        </w:rPr>
        <w:t>三件事真的解決了。Deck 看起來像真：版面穩定、風格一致。輸出的可編輯性提升，因為工作已進入 .pptx 物件層；PosterMELD 在壁報上展示同一個轉向，輸出可印刷、可編輯的成品（Hu et al., 2026）。評測亦由整體打分成熟到任務式量度——只用成品答問題，或用明確準則判斷可用性。</w:t>
      </w:r>
    </w:p>
    <w:p>
      <w:r>
        <w:rPr>
          <w:i w:val="0"/>
          <w:sz w:val="21"/>
        </w:rPr>
        <w:t>四件事仍未解決。</w:t>
      </w:r>
    </w:p>
    <w:p>
      <w:pPr>
        <w:pStyle w:val="ListBullet"/>
        <w:spacing w:after="60"/>
      </w:pPr>
      <w:r>
        <w:rPr>
          <w:sz w:val="21"/>
        </w:rPr>
        <w:t>歸因缺失。ReDeck 與 PPTPilot 都跑修復迴圈，但都沒有報「哪一類缺陷對修復有反應、哪一類沒有」。deck 層面升十分，只告訴我們迴圈有用，沒告訴我們用在哪裡。</w:t>
      </w:r>
    </w:p>
    <w:p>
      <w:pPr>
        <w:pStyle w:val="ListBullet"/>
        <w:spacing w:after="60"/>
      </w:pPr>
      <w:r>
        <w:rPr>
          <w:sz w:val="21"/>
        </w:rPr>
        <w:t>量度是事後的。SlideAudit 與 DECKBench 評的是已完成的作品。生成之後才到的分數，無法指揮生成。</w:t>
      </w:r>
    </w:p>
    <w:p>
      <w:pPr>
        <w:pStyle w:val="ListBullet"/>
        <w:spacing w:after="60"/>
      </w:pPr>
      <w:r>
        <w:rPr>
          <w:sz w:val="21"/>
        </w:rPr>
        <w:t>工具需要參考或標註。DECKBench 要目標 deck；SlideAudit 要人手標註圖像。兩者都無法在執行時對任意 .pptx 計算。</w:t>
      </w:r>
    </w:p>
    <w:p>
      <w:pPr>
        <w:pStyle w:val="ListBullet"/>
        <w:spacing w:after="60"/>
      </w:pPr>
      <w:r>
        <w:rPr>
          <w:sz w:val="21"/>
        </w:rPr>
        <w:t>閾值是慣例。用來判斷一頁是否太密的數字——六個 bullet、三十字、24pt——被廣泛重複，卻少有證據，第 6 節會說明。</w:t>
      </w:r>
    </w:p>
    <w:p>
      <w:pPr>
        <w:pStyle w:val="Heading1"/>
        <w:spacing w:before="280" w:after="100"/>
      </w:pPr>
      <w:r>
        <w:rPr>
          <w:rFonts w:ascii="Helvetica Neue" w:hAnsi="Helvetica Neue"/>
          <w:color w:val="10233A"/>
          <w:sz w:val="28"/>
        </w:rPr>
        <w:t>4. 我們對文獻的判讀</w:t>
      </w:r>
    </w:p>
    <w:p>
      <w:r>
        <w:rPr>
          <w:i w:val="0"/>
          <w:sz w:val="21"/>
        </w:rPr>
        <w:t>合起來看，這個領域很會做 deck，也很會在事後打分，但沒有把兩者接上。工具來得太遲，真的用得著的時候又不可分解。</w:t>
      </w:r>
    </w:p>
    <w:p>
      <w:r>
        <w:rPr>
          <w:i w:val="0"/>
          <w:sz w:val="21"/>
        </w:rPr>
        <w:t>這就是本項目處理的缺口。它刻意窄：不是又一個生成器，不是新分類法，而是一層可以在生成期間計算的量度，以及研究這個量度值多少。</w:t>
      </w:r>
    </w:p>
    <w:p>
      <w:pPr>
        <w:pStyle w:val="Heading1"/>
        <w:spacing w:before="280" w:after="100"/>
      </w:pPr>
      <w:r>
        <w:rPr>
          <w:rFonts w:ascii="Helvetica Neue" w:hAnsi="Helvetica Neue"/>
          <w:color w:val="10233A"/>
          <w:sz w:val="28"/>
        </w:rPr>
        <w:t>5. 為何值得做</w:t>
      </w:r>
    </w:p>
    <w:p>
      <w:r>
        <w:rPr>
          <w:i w:val="0"/>
          <w:sz w:val="21"/>
        </w:rPr>
        <w:t>第一，這些失敗是機械性的，可以用確定性方法判定。形狀有沒有超出 slide、兩個文字框有沒有相交、一對顏色有沒有達到對比要求：這些是算術，不是判斷。規則可以審核；模型的意見不可以。</w:t>
      </w:r>
    </w:p>
    <w:p>
      <w:r>
        <w:rPr>
          <w:i w:val="0"/>
          <w:sz w:val="21"/>
        </w:rPr>
        <w:t>第二，可用性是前提。一頁讀不到的 deck，無論內容選得多好都是失敗。在讀不到的頁上改進內容，不會令演講更好。</w:t>
      </w:r>
    </w:p>
    <w:p>
      <w:r>
        <w:rPr>
          <w:i w:val="0"/>
          <w:sz w:val="21"/>
        </w:rPr>
        <w:t>第三，結果可以轉移。如果量度無需參考、又在物件模型上計算，就可以套用到任何系統產生的任何 deck——包括本項目用來比較的 baseline。這令比較公平，也令成果可重用。</w:t>
      </w:r>
    </w:p>
    <w:p>
      <w:pPr>
        <w:pStyle w:val="Heading1"/>
        <w:spacing w:before="280" w:after="100"/>
      </w:pPr>
      <w:r>
        <w:rPr>
          <w:rFonts w:ascii="Helvetica Neue" w:hAnsi="Helvetica Neue"/>
          <w:color w:val="10233A"/>
          <w:sz w:val="28"/>
        </w:rPr>
        <w:t>6. 慣例，不是證據</w:t>
      </w:r>
    </w:p>
    <w:p>
      <w:r>
        <w:rPr>
          <w:i w:val="0"/>
          <w:sz w:val="21"/>
        </w:rPr>
        <w:t>業界不缺規則。例如 IEEE NMDC 的作者指引寫明「不要使用小於 24 point 的字級」，文字頁「不多於 30 字、不多於 6 行」。建議清楚、廣為跟隨，而且完全沒有引用證據。文中沒有任何研究支持；其他會議給的數字又不一樣。</w:t>
      </w:r>
    </w:p>
    <w:p>
      <w:r>
        <w:rPr>
          <w:i w:val="0"/>
          <w:sz w:val="21"/>
        </w:rPr>
        <w:t>而這些規則之間彼此矛盾。六六法則允許每行六字、共六行，即一頁三十六字；上述指引卻把同一頁上限訂在三十字。兩者都寫得斬釘截鐵，兩者都沒有引用研究，而實務界已有文章主張六六法則應該淘汰。當兩條被廣泛使用的慣例相差百分之二十，而兩者都指不出證據，被傳遞下去的其實是習慣，不是知識。</w:t>
      </w:r>
    </w:p>
    <w:p>
      <w:r>
        <w:rPr>
          <w:i w:val="0"/>
          <w:sz w:val="21"/>
        </w:rPr>
        <w:t>這裡值得分開三種錨定，因為它們份量不同，設計上必須區別對待。</w:t>
      </w:r>
    </w:p>
    <w:p>
      <w:pPr>
        <w:keepNext/>
        <w:spacing w:before="40"/>
      </w:pPr>
      <w:r>
        <w:rPr>
          <w:i/>
          <w:color w:val="5A6B7C"/>
          <w:sz w:val="17"/>
        </w:rPr>
        <w:t>表 2. 三種錨定。只有第一種是通常意義下的證據；第三種只有在樣本支持時才算證據。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cantSplit/>
        </w:trPr>
        <w:tc>
          <w:tcPr>
            <w:tcW w:type="dxa" w:w="1871"/>
          </w:tcPr>
          <w:p>
            <w:pPr>
              <w:keepNext/>
            </w:pPr>
            <w:r/>
            <w:r>
              <w:rPr>
                <w:b/>
                <w:sz w:val="17"/>
              </w:rPr>
              <w:t>錨定類型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b/>
                <w:sz w:val="17"/>
              </w:rPr>
              <w:t>例子</w:t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b/>
                <w:sz w:val="17"/>
              </w:rPr>
              <w:t>從哪裡來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b/>
                <w:sz w:val="17"/>
              </w:rPr>
              <w:t>能否支撐量度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正式標準</w:t>
            </w:r>
          </w:p>
        </w:tc>
        <w:tc>
          <w:tcPr>
            <w:tcW w:type="dxa" w:w="249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WCAG 2.2 AA 對比 4.5:1</w:t>
            </w:r>
          </w:p>
        </w:tc>
        <w:tc>
          <w:tcPr>
            <w:tcW w:type="dxa" w:w="283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知覺研究，經規範固定</w:t>
            </w:r>
          </w:p>
        </w:tc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可以——可對使用者驗證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實務慣例</w:t>
            </w:r>
          </w:p>
        </w:tc>
        <w:tc>
          <w:tcPr>
            <w:tcW w:type="dxa" w:w="249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24 pt；30 字；6 行</w:t>
            </w:r>
          </w:p>
        </w:tc>
        <w:tc>
          <w:tcPr>
            <w:tcW w:type="dxa" w:w="283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在指南間重複，無引用鏈</w:t>
            </w:r>
          </w:p>
        </w:tc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不可以——是預設值，不是發現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經驗數值</w:t>
            </w:r>
          </w:p>
        </w:tc>
        <w:tc>
          <w:tcPr>
            <w:tcW w:type="dxa" w:w="2494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重疊大於 5%</w:t>
            </w:r>
          </w:p>
        </w:tc>
        <w:tc>
          <w:tcPr>
            <w:tcW w:type="dxa" w:w="2835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對特定語料擬合</w:t>
            </w:r>
          </w:p>
        </w:tc>
        <w:tc>
          <w:tcPr>
            <w:tcW w:type="dxa" w:w="2041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只有在樣本足夠時才可以</w:t>
            </w:r>
          </w:p>
        </w:tc>
      </w:tr>
    </w:tbl>
    <w:p>
      <w:pPr>
        <w:spacing w:after="40"/>
      </w:pPr>
    </w:p>
    <w:p>
      <w:r>
        <w:rPr>
          <w:i w:val="0"/>
          <w:sz w:val="21"/>
        </w:rPr>
        <w:t>慣例之所以流傳，原因與效度無關。它們容易寫、容易查，而且表面上合理。當一條慣例是錯的，沒有人需要負責，因為錯的閾值帶來的代價看不見：一頁稍為太密，簡報照樣進行，觀眾只是讀得少一點。一條指引可以單靠「聽起來合理」流傳幾十年。</w:t>
      </w:r>
    </w:p>
    <w:p>
      <w:r>
        <w:rPr>
          <w:i w:val="0"/>
          <w:sz w:val="21"/>
        </w:rPr>
        <w:t>真要驗證一條慣例，需要做什麼？改變數值、固定內容與觀眾，然後量度理解或偏好——這個設計有嚴重的混淆，因為內容質素的影響遠大於密度。這種研究在簡報領域並不存在，也不是本項目的貢獻。所以誠實的立場不是「慣例錯了」，而是「慣例承擔不起一件量度工具的重量」。</w:t>
      </w:r>
    </w:p>
    <w:p>
      <w:r>
        <w:rPr>
          <w:i w:val="0"/>
          <w:sz w:val="21"/>
        </w:rPr>
        <w:t>後果是方法論上的。沒有已驗證的值可以 fit，而四十張校準 slide 支撐不起六個 fit 出來的閾值——每個 gate 大約六張——這樣選出的值只會是樣本的產物。所以設計改為按來源分開 gate：</w:t>
      </w:r>
    </w:p>
    <w:p>
      <w:pPr>
        <w:keepNext/>
        <w:spacing w:before="40"/>
      </w:pPr>
      <w:r>
        <w:rPr>
          <w:i/>
          <w:color w:val="5A6B7C"/>
          <w:sz w:val="17"/>
        </w:rPr>
        <w:t>表 3. Gate 來源。兩個 gate 由規則或公開標準固定；其餘四個只掃描，全部不 fit。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cantSplit/>
        </w:trPr>
        <w:tc>
          <w:tcPr>
            <w:tcW w:type="dxa" w:w="1644"/>
          </w:tcPr>
          <w:p>
            <w:pPr>
              <w:keepNext/>
            </w:pPr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3685"/>
          </w:tcPr>
          <w:p>
            <w:pPr>
              <w:keepNext/>
            </w:pPr>
            <w:r/>
            <w:r>
              <w:rPr>
                <w:b/>
                <w:sz w:val="17"/>
              </w:rPr>
              <w:t>規則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b/>
                <w:sz w:val="17"/>
              </w:rPr>
              <w:t>閾值</w:t>
            </w:r>
          </w:p>
        </w:tc>
        <w:tc>
          <w:tcPr>
            <w:tcW w:type="dxa" w:w="2891"/>
          </w:tcPr>
          <w:p>
            <w:pPr>
              <w:keepNext/>
            </w:pPr>
            <w:r/>
            <w:r>
              <w:rPr>
                <w:b/>
                <w:sz w:val="17"/>
              </w:rPr>
              <w:t>來源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G1 出界</w:t>
            </w:r>
          </w:p>
        </w:tc>
        <w:tc>
          <w:tcPr>
            <w:tcW w:type="dxa" w:w="368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所有形狀在版面內</w:t>
            </w:r>
          </w:p>
        </w:tc>
        <w:tc>
          <w:tcPr>
            <w:tcW w:type="dxa" w:w="1587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0 pt</w:t>
            </w:r>
          </w:p>
        </w:tc>
        <w:tc>
          <w:tcPr>
            <w:tcW w:type="dxa" w:w="289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二元規則——無自由參數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G4 對比</w:t>
            </w:r>
          </w:p>
        </w:tc>
        <w:tc>
          <w:tcPr>
            <w:tcW w:type="dxa" w:w="368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WCAG 2.2 AA，填充對背景</w:t>
            </w:r>
          </w:p>
        </w:tc>
        <w:tc>
          <w:tcPr>
            <w:tcW w:type="dxa" w:w="1587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4.5:1（大字 3:1）</w:t>
            </w:r>
          </w:p>
        </w:tc>
        <w:tc>
          <w:tcPr>
            <w:tcW w:type="dxa" w:w="289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公開標準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G3 字級</w:t>
            </w:r>
          </w:p>
        </w:tc>
        <w:tc>
          <w:tcPr>
            <w:tcW w:type="dxa" w:w="368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依 slide 角色的內文字與標題</w:t>
            </w:r>
          </w:p>
        </w:tc>
        <w:tc>
          <w:tcPr>
            <w:tcW w:type="dxa" w:w="1587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按角色</w:t>
            </w:r>
          </w:p>
        </w:tc>
        <w:tc>
          <w:tcPr>
            <w:tcW w:type="dxa" w:w="289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慣例；掃描，不 fit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G6 密度</w:t>
            </w:r>
          </w:p>
        </w:tc>
        <w:tc>
          <w:tcPr>
            <w:tcW w:type="dxa" w:w="368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依角色的字數與 bullet 數</w:t>
            </w:r>
          </w:p>
        </w:tc>
        <w:tc>
          <w:tcPr>
            <w:tcW w:type="dxa" w:w="1587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按角色</w:t>
            </w:r>
          </w:p>
        </w:tc>
        <w:tc>
          <w:tcPr>
            <w:tcW w:type="dxa" w:w="289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慣例；掃描，不 fit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G2 重疊</w:t>
            </w:r>
          </w:p>
        </w:tc>
        <w:tc>
          <w:tcPr>
            <w:tcW w:type="dxa" w:w="368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文字交集 ÷ 較小框</w:t>
            </w:r>
          </w:p>
        </w:tc>
        <w:tc>
          <w:tcPr>
            <w:tcW w:type="dxa" w:w="1587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&gt; 5%</w:t>
            </w:r>
          </w:p>
        </w:tc>
        <w:tc>
          <w:tcPr>
            <w:tcW w:type="dxa" w:w="289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經驗值；掃描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G5 文字溢出</w:t>
            </w:r>
          </w:p>
        </w:tc>
        <w:tc>
          <w:tcPr>
            <w:tcW w:type="dxa" w:w="3685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渲染高度 ÷ 框高</w:t>
            </w:r>
          </w:p>
        </w:tc>
        <w:tc>
          <w:tcPr>
            <w:tcW w:type="dxa" w:w="1587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≤ 0.95</w:t>
            </w:r>
          </w:p>
        </w:tc>
        <w:tc>
          <w:tcPr>
            <w:tcW w:type="dxa" w:w="2891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渲染容差；掃描</w:t>
            </w:r>
          </w:p>
        </w:tc>
      </w:tr>
    </w:tbl>
    <w:p>
      <w:pPr>
        <w:spacing w:after="40"/>
      </w:pPr>
    </w:p>
    <w:p>
      <w:r>
        <w:rPr>
          <w:i w:val="0"/>
          <w:sz w:val="21"/>
        </w:rPr>
        <w:t>「掃描，不 fit」的意思是：數值在一段範圍內報告，結論只有在整段範圍都成立時才接受。兩個標準錨定的 gate 完全沒有自由參數。由於本項目自己生成 deck，每頁的角色——標題、議程、內容、圖表、結論——在生成時已知，所以密度與字級可以按角色不同，而不需要分類器。這就消除了「標題頁與方法頁不能共用同一密度上限」的反對：它們不再共用。</w:t>
      </w:r>
    </w:p>
    <w:p>
      <w:pPr>
        <w:pStyle w:val="Heading1"/>
        <w:spacing w:before="280" w:after="100"/>
      </w:pPr>
      <w:r>
        <w:rPr>
          <w:rFonts w:ascii="Helvetica Neue" w:hAnsi="Helvetica Neue"/>
          <w:color w:val="10233A"/>
          <w:sz w:val="28"/>
        </w:rPr>
        <w:t>7. 計劃與時間表</w:t>
      </w:r>
    </w:p>
    <w:p>
      <w:r>
        <w:rPr>
          <w:i w:val="0"/>
          <w:sz w:val="21"/>
        </w:rPr>
        <w:t>工作分四條流。每條都獨立可報告，所以一條滑掉，不會令整個項目沒有結果。</w:t>
      </w:r>
    </w:p>
    <w:p>
      <w:pPr>
        <w:pStyle w:val="ListBullet"/>
        <w:spacing w:after="60"/>
      </w:pPr>
      <w:r>
        <w:rPr>
          <w:sz w:val="21"/>
        </w:rPr>
        <w:t>W1 量度。在 .pptx 物件模型上實作六個 gate；對每份 deck 計算 SRR 與 deck-ready。</w:t>
      </w:r>
    </w:p>
    <w:p>
      <w:pPr>
        <w:pStyle w:val="ListBullet"/>
        <w:spacing w:after="60"/>
      </w:pPr>
      <w:r>
        <w:rPr>
          <w:sz w:val="21"/>
        </w:rPr>
        <w:t>W2 修復。每類違規一個決策程序，先做最便宜且可逆的動作，並有護欄禁止新增內容或改動數字。</w:t>
      </w:r>
    </w:p>
    <w:p>
      <w:pPr>
        <w:pStyle w:val="ListBullet"/>
        <w:spacing w:after="60"/>
      </w:pPr>
      <w:r>
        <w:rPr>
          <w:sz w:val="21"/>
        </w:rPr>
        <w:t>W3 控制。在 W1 的訊號下套用 W2 的迴圈：貪心、迭代，再到預算感知。</w:t>
      </w:r>
    </w:p>
    <w:p>
      <w:pPr>
        <w:pStyle w:val="ListBullet"/>
        <w:spacing w:after="60"/>
      </w:pPr>
      <w:r>
        <w:rPr>
          <w:sz w:val="21"/>
        </w:rPr>
        <w:t>W4 證據。以人手標註驗證 detector；跨系統的區辨效度；驗證器的受控消融；人評。</w:t>
      </w:r>
    </w:p>
    <w:p>
      <w:r>
        <w:rPr>
          <w:i w:val="0"/>
          <w:sz w:val="21"/>
        </w:rPr>
        <w:t>兩個檢查在主要研究之前執行，因為任何一個失敗都會令其餘失效。區辨效度問：SRR 有否按應有的次序排列系統——人手做的 deck 高於 PPTAgent，高於 naive pipeline。如果人手 deck 不是最高分，就是 gate 定義有誤，必須在任何迴圈開跑之前修訂。收斂效度問：SRR 是否跟隨人類偏好。該相關性會預先註冊，無論結果如何都會報告。</w:t>
      </w:r>
    </w:p>
    <w:p>
      <w:r>
        <w:rPr>
          <w:i w:val="0"/>
          <w:sz w:val="21"/>
        </w:rPr>
        <w:t>技術棧跟隨 brief：PyMuPDF 負責解析與裁圖、python-pptx 輸出原生可編輯檔、Streamlit 作示範前端、開發期間用 CodeBuddy 作 agent harness。</w:t>
      </w:r>
    </w:p>
    <w:p>
      <w:r>
        <w:rPr>
          <w:i w:val="0"/>
          <w:sz w:val="21"/>
        </w:rPr>
        <w:t>有兩處刻意偏離 brief 建議的時間表。第一，brief 把「檢查」放在第 5 階段（第 12–14 週）；本項目提前到第 5 週，因為指標必須先驗證，依賴它的迴圈才建得穩。第二，brief 第 6 階段列明比較六個維度：accuracy、coverage、readability、design、latency、cost。其中 coverage——論文的重點有幾多留在 deck 裡——會獨立量度，每篇標註五至八個 claim，令六個維度全部有數。</w:t>
      </w:r>
    </w:p>
    <w:p>
      <w:pPr>
        <w:keepNext/>
        <w:spacing w:before="40"/>
      </w:pPr>
      <w:r>
        <w:rPr>
          <w:i/>
          <w:color w:val="5A6B7C"/>
          <w:sz w:val="17"/>
        </w:rPr>
        <w:t>表 4. 對照大學時間表的排程。週次由 2026 年 10 月 26 日起算；到最後提交實際是 23 週，不是 brief 建議的 20 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cantSplit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b/>
                <w:sz w:val="17"/>
              </w:rPr>
              <w:t>週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b/>
                <w:sz w:val="17"/>
              </w:rPr>
              <w:t>工作流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b/>
                <w:sz w:val="17"/>
              </w:rPr>
              <w:t>交付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b/>
                <w:sz w:val="17"/>
              </w:rPr>
              <w:t>里程碑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W1–2　10/26–11/8</w:t>
            </w:r>
          </w:p>
        </w:tc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範圍與文獻</w:t>
            </w:r>
          </w:p>
        </w:tc>
        <w:tc>
          <w:tcPr>
            <w:tcW w:type="dxa" w:w="294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38 篇已讀；缺口確定</w:t>
            </w:r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Proposal：11 月 5 日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W3–4　11/9–11/22</w:t>
            </w:r>
          </w:p>
        </w:tc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環境與 spike</w:t>
            </w:r>
          </w:p>
        </w:tc>
        <w:tc>
          <w:tcPr>
            <w:tcW w:type="dxa" w:w="294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解析與渲染可用</w:t>
            </w:r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Workshop 1：TBC（≈11 月 9 日）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W5–7　11/23–12/13</w:t>
            </w:r>
          </w:p>
        </w:tc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Rulebook 與 detector</w:t>
            </w:r>
          </w:p>
        </w:tc>
        <w:tc>
          <w:tcPr>
            <w:tcW w:type="dxa" w:w="294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六個 gate；40 張校準</w:t>
            </w:r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區辨效度檢查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W8–11　12/14–1/17</w:t>
            </w:r>
          </w:p>
        </w:tc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版面與修復</w:t>
            </w:r>
          </w:p>
        </w:tc>
        <w:tc>
          <w:tcPr>
            <w:tcW w:type="dxa" w:w="294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修復動作；110 張測試集</w:t>
            </w:r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Interim：2027 年 1 月 7 日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W12–14　1/18–2/7</w:t>
            </w:r>
          </w:p>
        </w:tc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校準與迴圈</w:t>
            </w:r>
          </w:p>
        </w:tc>
        <w:tc>
          <w:tcPr>
            <w:tcW w:type="dxa" w:w="294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掃描凍結；迴圈收斂</w:t>
            </w:r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首次 SRR 比較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W15–18　2/8–3/7</w:t>
            </w:r>
          </w:p>
        </w:tc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實驗與人評</w:t>
            </w:r>
          </w:p>
        </w:tc>
        <w:tc>
          <w:tcPr>
            <w:tcW w:type="dxa" w:w="294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消融；20 人研究</w:t>
            </w:r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偏好相關性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W19–21　3/8–3/28</w:t>
            </w:r>
          </w:p>
        </w:tc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報告與示範</w:t>
            </w:r>
          </w:p>
        </w:tc>
        <w:tc>
          <w:tcPr>
            <w:tcW w:type="dxa" w:w="294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報告、demo、slides 初稿</w:t>
            </w:r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指導老師審閱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W22–23　3/29–4/8</w:t>
            </w:r>
          </w:p>
        </w:tc>
        <w:tc>
          <w:tcPr>
            <w:tcW w:type="dxa" w:w="2041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最後定稿</w:t>
            </w:r>
          </w:p>
        </w:tc>
        <w:tc>
          <w:tcPr>
            <w:tcW w:type="dxa" w:w="2948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最終報告、demo、slides</w:t>
            </w:r>
          </w:p>
        </w:tc>
        <w:tc>
          <w:tcPr>
            <w:tcW w:type="dxa" w:w="2268"/>
          </w:tcPr>
          <w:p>
            <w:pPr>
              <w:keepNext w:val="0"/>
              <w:spacing w:after="20"/>
            </w:pPr>
            <w:r/>
            <w:r>
              <w:rPr>
                <w:sz w:val="17"/>
              </w:rPr>
              <w:t>Final：4 月 8 日；簡報 4 月 9–21 日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Helvetica Neue" w:hAnsi="Helvetica Neue"/>
          <w:color w:val="10233A"/>
          <w:sz w:val="28"/>
        </w:rPr>
        <w:t>8. 聲明</w:t>
      </w:r>
    </w:p>
    <w:p>
      <w:r>
        <w:rPr>
          <w:i w:val="0"/>
          <w:sz w:val="21"/>
        </w:rPr>
        <w:t>本文件在撰寫與程式碼生成上使用了生成式 AI 工具。所有設計決定、指標定義、評測協議、標註與分析，均為作者本人所做。所用工具及其使用程度記錄於日誌，連同報告一併提交，符合大學的生成式 AI 使用指引。本文件亦作為最終提交的 AI 報告的基礎。</w:t>
      </w:r>
    </w:p>
    <w:p>
      <w:pPr>
        <w:pStyle w:val="Heading1"/>
        <w:spacing w:before="280" w:after="100"/>
      </w:pPr>
      <w:r>
        <w:rPr>
          <w:rFonts w:ascii="Helvetica Neue" w:hAnsi="Helvetica Neue"/>
          <w:color w:val="10233A"/>
          <w:sz w:val="28"/>
        </w:rPr>
        <w:t>References</w:t>
      </w:r>
    </w:p>
    <w:p>
      <w:pPr>
        <w:spacing w:after="60"/>
        <w:ind w:left="340" w:hanging="340"/>
      </w:pPr>
      <w:r>
        <w:rPr>
          <w:color w:val="10233A"/>
          <w:sz w:val="16"/>
        </w:rPr>
        <w:t>Chen, H., Zhou, X., Zhou, W., et al. (2026). X+Slides: Benchmarking audience-conditioned slide generation. arXiv:2606.19256.</w:t>
      </w:r>
    </w:p>
    <w:p>
      <w:pPr>
        <w:spacing w:after="60"/>
        <w:ind w:left="340" w:hanging="340"/>
      </w:pPr>
      <w:r>
        <w:rPr>
          <w:color w:val="10233A"/>
          <w:sz w:val="16"/>
        </w:rPr>
        <w:t>Chen, X.-S., Zhu, J., Li, P.-L., Wang, H., &amp; Guo, M.-H. (2026). PresentBench: A fine-grained rubric-based benchmark for slide generation. arXiv:2603.07244.</w:t>
      </w:r>
    </w:p>
    <w:p>
      <w:pPr>
        <w:spacing w:after="60"/>
        <w:ind w:left="340" w:hanging="340"/>
      </w:pPr>
      <w:r>
        <w:rPr>
          <w:color w:val="10233A"/>
          <w:sz w:val="16"/>
        </w:rPr>
        <w:t>Hu, H., Dang, C., Liu, Y., et al. (2026). PosterMELD: Multi-agent paper-to-poster generation with editable print-ready outputs. arXiv:2608.02218.</w:t>
      </w:r>
    </w:p>
    <w:p>
      <w:pPr>
        <w:spacing w:after="60"/>
        <w:ind w:left="340" w:hanging="340"/>
      </w:pPr>
      <w:r>
        <w:rPr>
          <w:color w:val="10233A"/>
          <w:sz w:val="16"/>
        </w:rPr>
        <w:t>Huang, Z., Liu, X., Hu, T., Zhang, K., &amp; Liu, Y. (2025). PPTBench: Holistic evaluation of LLMs for PowerPoint layout and design understanding. arXiv:2512.02624.</w:t>
      </w:r>
    </w:p>
    <w:p>
      <w:pPr>
        <w:spacing w:after="60"/>
        <w:ind w:left="340" w:hanging="340"/>
      </w:pPr>
      <w:r>
        <w:rPr>
          <w:color w:val="10233A"/>
          <w:sz w:val="16"/>
        </w:rPr>
        <w:t>IEEE Nanotechnology Materials and Devices Conference. (2021). Presentation preparation guidelines and requirements. https://ieeenmdc.org/past-conferences/nmdc-2021/call-for-papers/presentation-preparation-guidelines-and-requirements/</w:t>
      </w:r>
    </w:p>
    <w:p>
      <w:pPr>
        <w:spacing w:after="60"/>
        <w:ind w:left="340" w:hanging="340"/>
      </w:pPr>
      <w:r>
        <w:rPr>
          <w:color w:val="10233A"/>
          <w:sz w:val="16"/>
        </w:rPr>
        <w:t>Liang, X., Zhang, Z., Zhang, X., Su, H., Xu, Y., Sun, S., &amp; You, C. (2025). SlideGen: Collaborative multimodal agents for scientific slide generation. arXiv:2512.04529.</w:t>
      </w:r>
    </w:p>
    <w:p>
      <w:pPr>
        <w:spacing w:after="60"/>
        <w:ind w:left="340" w:hanging="340"/>
      </w:pPr>
      <w:r>
        <w:rPr>
          <w:color w:val="10233A"/>
          <w:sz w:val="16"/>
        </w:rPr>
        <w:t>Jang, D., Heisler, M. L., Xing, L., et al. (2026). DECKBench: Benchmarking multi-agent frameworks for academic slide generation and editing. arXiv:2602.13318.</w:t>
      </w:r>
    </w:p>
    <w:p>
      <w:pPr>
        <w:spacing w:after="60"/>
        <w:ind w:left="340" w:hanging="340"/>
      </w:pPr>
      <w:r>
        <w:rPr>
          <w:color w:val="10233A"/>
          <w:sz w:val="16"/>
        </w:rPr>
        <w:t>Ofengenden, M., Man, Y., Pang, Z., Gui, L.-Y., &amp; Wang, Y.-X. (2025). PPTArena: A benchmark for PowerPoint editing. arXiv:2512.03042.</w:t>
      </w:r>
    </w:p>
    <w:p>
      <w:pPr>
        <w:spacing w:after="60"/>
        <w:ind w:left="340" w:hanging="340"/>
      </w:pPr>
      <w:r>
        <w:rPr>
          <w:color w:val="10233A"/>
          <w:sz w:val="16"/>
        </w:rPr>
        <w:t>Ozden, T. C., VS, S., Horoz, F., et al. (2026). Narrative-driven paper-to-slide generation via ArcDeck. arXiv:2604.11969.</w:t>
      </w:r>
    </w:p>
    <w:p>
      <w:pPr>
        <w:spacing w:after="60"/>
        <w:ind w:left="340" w:hanging="340"/>
      </w:pPr>
      <w:r>
        <w:rPr>
          <w:color w:val="10233A"/>
          <w:sz w:val="16"/>
        </w:rPr>
        <w:t>Pang, W., Lin, K. Q., Jian, X., He, X., &amp; Torr, P. (2025). Paper2Poster: Towards multimodal poster automation from scientific papers. arXiv:2505.21497.</w:t>
      </w:r>
    </w:p>
    <w:p>
      <w:pPr>
        <w:spacing w:after="60"/>
        <w:ind w:left="340" w:hanging="340"/>
      </w:pPr>
      <w:r>
        <w:rPr>
          <w:color w:val="10233A"/>
          <w:sz w:val="16"/>
        </w:rPr>
        <w:t>Tian, M., Zeng, Z., Yang, Y., et al. (2026). ReDeck: Step-level render-grounded refinement for document-to-slide generation. arXiv:2609.00194.</w:t>
      </w:r>
    </w:p>
    <w:p>
      <w:pPr>
        <w:spacing w:after="60"/>
        <w:ind w:left="340" w:hanging="340"/>
      </w:pPr>
      <w:r>
        <w:rPr>
          <w:color w:val="10233A"/>
          <w:sz w:val="16"/>
        </w:rPr>
        <w:t>Vats, V., Sharma, K., &amp; Wang, Y. (2026). SlideLab: Audience-centered scientific slide generation and evaluation. arXiv:2609.30294.</w:t>
      </w:r>
    </w:p>
    <w:p>
      <w:pPr>
        <w:spacing w:after="60"/>
        <w:ind w:left="340" w:hanging="340"/>
      </w:pPr>
      <w:r>
        <w:rPr>
          <w:color w:val="10233A"/>
          <w:sz w:val="16"/>
        </w:rPr>
        <w:t>Zhang, Z. J., Chen, R., Zhong, M., &amp; Wobbrock, J. O. (2025). SlideAudit: A dataset and taxonomy for automated evaluation of presentation slides. arXiv:2508.03630.</w:t>
      </w:r>
    </w:p>
    <w:p>
      <w:pPr>
        <w:spacing w:after="60"/>
        <w:ind w:left="340" w:hanging="340"/>
      </w:pPr>
      <w:r>
        <w:rPr>
          <w:color w:val="10233A"/>
          <w:sz w:val="16"/>
        </w:rPr>
        <w:t>Zheng, H., Guan, X., Kong, H., et al. (2025). PPTAgent: Generating and evaluating presentations beyond text-to-slides. arXiv:2501.03936.</w:t>
      </w:r>
    </w:p>
    <w:p>
      <w:pPr>
        <w:spacing w:after="60"/>
        <w:ind w:left="340" w:hanging="340"/>
      </w:pPr>
      <w:r>
        <w:rPr>
          <w:color w:val="10233A"/>
          <w:sz w:val="16"/>
        </w:rPr>
        <w:t>Zheng, H., Mo, G., Yan, X., et al. (2026a). DeepPresenter: Environment-grounded reflection for agentic presentation generation. arXiv:2602.22839.</w:t>
      </w:r>
    </w:p>
    <w:p>
      <w:pPr>
        <w:spacing w:after="60"/>
        <w:ind w:left="340" w:hanging="340"/>
      </w:pPr>
      <w:r>
        <w:rPr>
          <w:color w:val="10233A"/>
          <w:sz w:val="16"/>
        </w:rPr>
        <w:t>Zheng, H., Wang, F., Xiong, T., et al. (2026b). SLIDEFORGE: An LLM agent for controllable editing of slides as structured artifacts. arXiv:2609.03109.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Helvetica Neue" w:hAnsi="Helvetica Neue" w:eastAsia="PingFang H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