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</w:t>
      </w:r>
    </w:p>
    <w:p>
      <w:r>
        <w:t>Autor: Artur Mizula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Fragmenty wygenerowane na podstawie działania funkcji</w:t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877824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Podsumowanie i wnioski</w:t>
      </w:r>
    </w:p>
    <w:p>
      <w:r>
        <w:t>W ćwiczeniu wykonano uproszczoną kompresję JPEG dla wybranych fragmentów obrazów o rozmiarze 128x128 pikseli.Użyto kompresji ByteRun.Na podstawie uzyskanych wyników można zauważyć, że największy wpływ na zmniejszenie rozmiaru danych miała kwantyzacja. Użycie kwantyzacji powodował że rozmiar kanału Y zmniejszał się zwykle około 75%. Kanały Cr i Cb po kwantyzacji były kompresowane jeszcze skuteczniej zmniejszały się nawet o ponad 90%.Wariant 4:2:2 dodatkowo zmniejszał ilość danych w kanałach Cr i Cb. Rozmiary kanałów były mniejsze niż przy wariancie 4:4:4. Różnica jakości obrazu była stosunkowo niewielka.Bez kwantyzacji kompresja była znacznie mniej skuteczna. W większości przypadkach rozmiar danych po ByteRun dla kanału Y był zbliżony do rozmiaru początkowego lub nawet większy.Dla kanałów Cb i Cr zmiejsał się około 32%.Najlepszy kompromis między jakością obrazu a stopniem kompresji uzyskano dla wariantu 4:2:2 z włączoną kwantyzacją. Obraz po dekompresji zachowywał najważniejsze cechy oryginału, a jednocześnie rozmiar danych był wyraźnie mniejszy.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