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Calibri" w:cs="Calibri" w:eastAsia="Calibri" w:hAnsi="Calibri"/>
          <w:b/>
          <w:bCs/>
          <w:color w:val="1F2D5C"/>
          <w:sz w:val="36"/>
          <w:szCs w:val="36"/>
        </w:rPr>
        <w:t xml:space="preserve">Level 1 — Unit Testing</w:t>
      </w:r>
    </w:p>
    <w:p>
      <w:pPr>
        <w:spacing w:after="300"/>
      </w:pPr>
      <w:r>
        <w:rPr>
          <w:rFonts w:ascii="Calibri" w:cs="Calibri" w:eastAsia="Calibri" w:hAnsi="Calibri"/>
          <w:i/>
          <w:iCs/>
          <w:color w:val="555555"/>
          <w:sz w:val="21"/>
          <w:szCs w:val="21"/>
        </w:rPr>
        <w:t xml:space="preserve">DTI OneLink: An Integrated Task and Records Management System for DTI Laguna Provincial Office</w:t>
      </w:r>
    </w:p>
    <w:p>
      <w:pPr>
        <w:pStyle w:val="Heading1"/>
        <w:spacing w:after="160" w:before="400"/>
      </w:pPr>
      <w:r>
        <w:rPr>
          <w:rFonts w:ascii="Calibri" w:cs="Calibri" w:eastAsia="Calibri" w:hAnsi="Calibri"/>
          <w:b/>
          <w:bCs/>
          <w:color w:val="1F2D5C"/>
          <w:sz w:val="30"/>
          <w:szCs w:val="30"/>
        </w:rPr>
        <w:t xml:space="preserve">What Is Unit Testing</w:t>
      </w:r>
    </w:p>
    <w:p>
      <w:pPr>
        <w:spacing w:after="160"/>
      </w:pPr>
      <w:r>
        <w:rPr>
          <w:rFonts w:ascii="Calibri" w:cs="Calibri" w:eastAsia="Calibri" w:hAnsi="Calibri"/>
          <w:sz w:val="21"/>
          <w:szCs w:val="21"/>
        </w:rPr>
        <w:t xml:space="preserve">Unit testing is the first and most granular level of testing: each individual function is tested in isolation, before any modules are connected to each other. It answers one narrow question per test — “does this one function behave correctly, given this one input?” — and is carried out by the developer themselves, while the module is being written, not after the fact.</w:t>
      </w:r>
    </w:p>
    <w:p>
      <w:pPr>
        <w:spacing w:after="160"/>
      </w:pPr>
      <w:r>
        <w:rPr>
          <w:rFonts w:ascii="Calibri" w:cs="Calibri" w:eastAsia="Calibri" w:hAnsi="Calibri"/>
          <w:sz w:val="21"/>
          <w:szCs w:val="21"/>
        </w:rPr>
        <w:t xml:space="preserve">Every level of testing — Unit, Integration, System, and User Acceptance — follows the same six-step discipline. What changes from level to level is who runs it and what the object under test is; the six steps themselves never change:</w:t>
      </w:r>
    </w:p>
    <w:p>
      <w:pPr>
        <w:spacing w:after="80" w:before="160"/>
      </w:pPr>
      <w:r>
        <w:rPr>
          <w:rFonts w:ascii="Calibri" w:cs="Calibri" w:eastAsia="Calibri" w:hAnsi="Calibri"/>
          <w:b/>
          <w:bCs/>
          <w:sz w:val="21"/>
          <w:szCs w:val="21"/>
        </w:rPr>
        <w:t xml:space="preserve">Table 2. The Six-Step Testing Pattern, Applied to Unit Testing</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900"/>
        <w:gridCol w:w="2200"/>
        <w:gridCol w:w="10580"/>
      </w:tblGrid>
      <w:tr>
        <w:trPr>
          <w:tblHeader/>
        </w:trPr>
        <w:tc>
          <w:tcPr>
            <w:tcW w:type="dxa" w:w="9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w:t>
            </w:r>
          </w:p>
        </w:tc>
        <w:tc>
          <w:tcPr>
            <w:tcW w:type="dxa" w:w="22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Step</w:t>
            </w:r>
          </w:p>
        </w:tc>
        <w:tc>
          <w:tcPr>
            <w:tcW w:type="dxa" w:w="1058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What This Means at the Unit Level</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1</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Define</w:t>
            </w:r>
          </w:p>
        </w:tc>
        <w:tc>
          <w:tcPr>
            <w:tcW w:type="dxa" w:w="10580"/>
            <w:tcMar>
              <w:top w:type="dxa" w:w="140"/>
              <w:left w:type="dxa" w:w="140"/>
              <w:bottom w:type="dxa" w:w="140"/>
              <w:right w:type="dxa" w:w="140"/>
            </w:tcMar>
            <w:vAlign w:val="center"/>
          </w:tcPr>
          <w:p>
            <w:pPr>
              <w:jc w:val="center"/>
            </w:pPr>
            <w:r>
              <w:rPr>
                <w:rFonts w:ascii="Calibri" w:cs="Calibri" w:eastAsia="Calibri" w:hAnsi="Calibri"/>
                <w:b/>
                <w:bCs/>
                <w:color w:val="1F2D5C"/>
                <w:sz w:val="20"/>
                <w:szCs w:val="20"/>
              </w:rPr>
              <w:t xml:space="preserve">Name the exact function under test — e.g. TaskWorkflow.CanTransition, not “the task module.”</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2</w:t>
            </w:r>
          </w:p>
        </w:tc>
        <w:tc>
          <w:tcPr>
            <w:tcW w:type="dxa" w:w="2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Write cases first</w:t>
            </w:r>
          </w:p>
        </w:tc>
        <w:tc>
          <w:tcPr>
            <w:tcW w:type="dxa" w:w="10580"/>
            <w:shd w:fill="F7F8FA" w:val="clear"/>
            <w:tcMar>
              <w:top w:type="dxa" w:w="140"/>
              <w:left w:type="dxa" w:w="140"/>
              <w:bottom w:type="dxa" w:w="140"/>
              <w:right w:type="dxa" w:w="140"/>
            </w:tcMar>
            <w:vAlign w:val="center"/>
          </w:tcPr>
          <w:p>
            <w:pPr>
              <w:jc w:val="center"/>
            </w:pPr>
            <w:r>
              <w:rPr>
                <w:rFonts w:ascii="Calibri" w:cs="Calibri" w:eastAsia="Calibri" w:hAnsi="Calibri"/>
                <w:b/>
                <w:bCs/>
                <w:color w:val="1F2D5C"/>
                <w:sz w:val="20"/>
                <w:szCs w:val="20"/>
              </w:rPr>
              <w:t xml:space="preserve">The input and expected output are written into the test method's name and assertions before the test is ever run.</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3</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Execute</w:t>
            </w:r>
          </w:p>
        </w:tc>
        <w:tc>
          <w:tcPr>
            <w:tcW w:type="dxa" w:w="10580"/>
            <w:tcMar>
              <w:top w:type="dxa" w:w="140"/>
              <w:left w:type="dxa" w:w="140"/>
              <w:bottom w:type="dxa" w:w="140"/>
              <w:right w:type="dxa" w:w="140"/>
            </w:tcMar>
            <w:vAlign w:val="center"/>
          </w:tcPr>
          <w:p>
            <w:pPr>
              <w:jc w:val="center"/>
            </w:pPr>
            <w:r>
              <w:rPr>
                <w:rFonts w:ascii="Calibri" w:cs="Calibri" w:eastAsia="Calibri" w:hAnsi="Calibri"/>
                <w:b/>
                <w:bCs/>
                <w:color w:val="1F2D5C"/>
                <w:sz w:val="20"/>
                <w:szCs w:val="20"/>
              </w:rPr>
              <w:t xml:space="preserve">Run the case against the current build via dotnet test; a failing case is never skipped or deleted.</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4</w:t>
            </w:r>
          </w:p>
        </w:tc>
        <w:tc>
          <w:tcPr>
            <w:tcW w:type="dxa" w:w="2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Record</w:t>
            </w:r>
          </w:p>
        </w:tc>
        <w:tc>
          <w:tcPr>
            <w:tcW w:type="dxa" w:w="10580"/>
            <w:shd w:fill="F7F8FA" w:val="clear"/>
            <w:tcMar>
              <w:top w:type="dxa" w:w="140"/>
              <w:left w:type="dxa" w:w="140"/>
              <w:bottom w:type="dxa" w:w="140"/>
              <w:right w:type="dxa" w:w="140"/>
            </w:tcMar>
            <w:vAlign w:val="center"/>
          </w:tcPr>
          <w:p>
            <w:pPr>
              <w:jc w:val="center"/>
            </w:pPr>
            <w:r>
              <w:rPr>
                <w:rFonts w:ascii="Calibri" w:cs="Calibri" w:eastAsia="Calibri" w:hAnsi="Calibri"/>
                <w:b/>
                <w:bCs/>
                <w:color w:val="1F2D5C"/>
                <w:sz w:val="20"/>
                <w:szCs w:val="20"/>
              </w:rPr>
              <w:t xml:space="preserve">Function, input, expected output, actual output, and status are recorded for every case — not only the ones that passed.</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5</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Fix and retest</w:t>
            </w:r>
          </w:p>
        </w:tc>
        <w:tc>
          <w:tcPr>
            <w:tcW w:type="dxa" w:w="10580"/>
            <w:tcMar>
              <w:top w:type="dxa" w:w="140"/>
              <w:left w:type="dxa" w:w="140"/>
              <w:bottom w:type="dxa" w:w="140"/>
              <w:right w:type="dxa" w:w="140"/>
            </w:tcMar>
            <w:vAlign w:val="center"/>
          </w:tcPr>
          <w:p>
            <w:pPr>
              <w:jc w:val="center"/>
            </w:pPr>
            <w:r>
              <w:rPr>
                <w:rFonts w:ascii="Calibri" w:cs="Calibri" w:eastAsia="Calibri" w:hAnsi="Calibri"/>
                <w:b/>
                <w:bCs/>
                <w:color w:val="1F2D5C"/>
                <w:sz w:val="20"/>
                <w:szCs w:val="20"/>
              </w:rPr>
              <w:t xml:space="preserve">A failure is logged in the defect log, corrected in the source, and the exact same case is run again — never a new, easier one.</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6</w:t>
            </w:r>
          </w:p>
        </w:tc>
        <w:tc>
          <w:tcPr>
            <w:tcW w:type="dxa" w:w="2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Summarize</w:t>
            </w:r>
          </w:p>
        </w:tc>
        <w:tc>
          <w:tcPr>
            <w:tcW w:type="dxa" w:w="10580"/>
            <w:shd w:fill="F7F8FA" w:val="clear"/>
            <w:tcMar>
              <w:top w:type="dxa" w:w="140"/>
              <w:left w:type="dxa" w:w="140"/>
              <w:bottom w:type="dxa" w:w="140"/>
              <w:right w:type="dxa" w:w="140"/>
            </w:tcMar>
            <w:vAlign w:val="center"/>
          </w:tcPr>
          <w:p>
            <w:pPr>
              <w:jc w:val="center"/>
            </w:pPr>
            <w:r>
              <w:rPr>
                <w:rFonts w:ascii="Calibri" w:cs="Calibri" w:eastAsia="Calibri" w:hAnsi="Calibri"/>
                <w:b/>
                <w:bCs/>
                <w:color w:val="1F2D5C"/>
                <w:sz w:val="20"/>
                <w:szCs w:val="20"/>
              </w:rPr>
              <w:t xml:space="preserve">Results are rolled up per file/class for the manuscript (the case count and file list below).</w:t>
            </w:r>
          </w:p>
        </w:tc>
      </w:tr>
    </w:tbl>
    <w:p>
      <w:pPr>
        <w:pStyle w:val="Heading1"/>
        <w:spacing w:after="160" w:before="400"/>
      </w:pPr>
      <w:r>
        <w:rPr>
          <w:rFonts w:ascii="Calibri" w:cs="Calibri" w:eastAsia="Calibri" w:hAnsi="Calibri"/>
          <w:b/>
          <w:bCs/>
          <w:color w:val="1F2D5C"/>
          <w:sz w:val="30"/>
          <w:szCs w:val="30"/>
        </w:rPr>
        <w:t xml:space="preserve">How Unit Testing Was Conducted</w:t>
      </w:r>
    </w:p>
    <w:p>
      <w:pPr>
        <w:spacing w:after="80" w:before="160"/>
      </w:pPr>
      <w:r>
        <w:rPr>
          <w:rFonts w:ascii="Calibri" w:cs="Calibri" w:eastAsia="Calibri" w:hAnsi="Calibri"/>
          <w:b/>
          <w:bCs/>
          <w:sz w:val="21"/>
          <w:szCs w:val="21"/>
        </w:rPr>
        <w:t xml:space="preserve">Table 3. Who, What, Inputs, Tools, and Record — Unit Testing</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2200"/>
        <w:gridCol w:w="11480"/>
      </w:tblGrid>
      <w:tr>
        <w:trPr>
          <w:tblHeader/>
        </w:trPr>
        <w:tc>
          <w:tcPr>
            <w:tcW w:type="dxa" w:w="22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Aspect</w:t>
            </w:r>
          </w:p>
        </w:tc>
        <w:tc>
          <w:tcPr>
            <w:tcW w:type="dxa" w:w="1148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Description</w:t>
            </w:r>
          </w:p>
        </w:tc>
      </w:tr>
      <w:tr>
        <w:trPr>
          <w:cantSplit/>
        </w:trPr>
        <w:tc>
          <w:tcPr>
            <w:tcW w:type="dxa" w:w="2200"/>
            <w:tcMar>
              <w:top w:type="dxa" w:w="140"/>
              <w:left w:type="dxa" w:w="140"/>
              <w:bottom w:type="dxa" w:w="140"/>
              <w:right w:type="dxa" w:w="140"/>
            </w:tcMar>
            <w:vAlign w:val="center"/>
          </w:tcPr>
          <w:p>
            <w:pPr>
              <w:jc w:val="center"/>
            </w:pPr>
            <w:r>
              <w:rPr>
                <w:rFonts w:ascii="Calibri" w:cs="Calibri" w:eastAsia="Calibri" w:hAnsi="Calibri"/>
                <w:sz w:val="20"/>
                <w:szCs w:val="20"/>
              </w:rPr>
              <w:t xml:space="preserve">Who</w:t>
            </w:r>
          </w:p>
        </w:tc>
        <w:tc>
          <w:tcPr>
            <w:tcW w:type="dxa" w:w="11480"/>
            <w:tcMar>
              <w:top w:type="dxa" w:w="140"/>
              <w:left w:type="dxa" w:w="140"/>
              <w:bottom w:type="dxa" w:w="140"/>
              <w:right w:type="dxa" w:w="140"/>
            </w:tcMar>
            <w:vAlign w:val="center"/>
          </w:tcPr>
          <w:p>
            <w:pPr>
              <w:jc w:val="center"/>
            </w:pPr>
            <w:r>
              <w:rPr>
                <w:rFonts w:ascii="Calibri" w:cs="Calibri" w:eastAsia="Calibri" w:hAnsi="Calibri"/>
                <w:b/>
                <w:bCs/>
                <w:color w:val="1F2D5C"/>
                <w:sz w:val="20"/>
                <w:szCs w:val="20"/>
              </w:rPr>
              <w:t xml:space="preserve">The developer, alongside each module, while it is being written — with AI pair-programming assistance in this project's case.</w:t>
            </w:r>
          </w:p>
        </w:tc>
      </w:tr>
      <w:tr>
        <w:trPr>
          <w:cantSplit/>
        </w:trPr>
        <w:tc>
          <w:tcPr>
            <w:tcW w:type="dxa" w:w="22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What</w:t>
            </w:r>
          </w:p>
        </w:tc>
        <w:tc>
          <w:tcPr>
            <w:tcW w:type="dxa" w:w="11480"/>
            <w:shd w:fill="F7F8FA" w:val="clear"/>
            <w:tcMar>
              <w:top w:type="dxa" w:w="140"/>
              <w:left w:type="dxa" w:w="140"/>
              <w:bottom w:type="dxa" w:w="140"/>
              <w:right w:type="dxa" w:w="140"/>
            </w:tcMar>
            <w:vAlign w:val="center"/>
          </w:tcPr>
          <w:p>
            <w:pPr>
              <w:jc w:val="center"/>
            </w:pPr>
            <w:r>
              <w:rPr>
                <w:rFonts w:ascii="Calibri" w:cs="Calibri" w:eastAsia="Calibri" w:hAnsi="Calibri"/>
                <w:b/>
                <w:bCs/>
                <w:color w:val="1F2D5C"/>
                <w:sz w:val="20"/>
                <w:szCs w:val="20"/>
              </w:rPr>
              <w:t xml:space="preserve">Pure business-rule functions that do not touch the database or network: task status transitions, overdue/due-soon date math, role-permission lookups, file-upload validation, free-text date parsing, and the RequireLogin/RequirePermission authorization filters.</w:t>
            </w:r>
          </w:p>
        </w:tc>
      </w:tr>
      <w:tr>
        <w:trPr>
          <w:cantSplit/>
        </w:trPr>
        <w:tc>
          <w:tcPr>
            <w:tcW w:type="dxa" w:w="2200"/>
            <w:tcMar>
              <w:top w:type="dxa" w:w="140"/>
              <w:left w:type="dxa" w:w="140"/>
              <w:bottom w:type="dxa" w:w="140"/>
              <w:right w:type="dxa" w:w="140"/>
            </w:tcMar>
            <w:vAlign w:val="center"/>
          </w:tcPr>
          <w:p>
            <w:pPr>
              <w:jc w:val="center"/>
            </w:pPr>
            <w:r>
              <w:rPr>
                <w:rFonts w:ascii="Calibri" w:cs="Calibri" w:eastAsia="Calibri" w:hAnsi="Calibri"/>
                <w:sz w:val="20"/>
                <w:szCs w:val="20"/>
              </w:rPr>
              <w:t xml:space="preserve">Inputs</w:t>
            </w:r>
          </w:p>
        </w:tc>
        <w:tc>
          <w:tcPr>
            <w:tcW w:type="dxa" w:w="11480"/>
            <w:tcMar>
              <w:top w:type="dxa" w:w="140"/>
              <w:left w:type="dxa" w:w="140"/>
              <w:bottom w:type="dxa" w:w="140"/>
              <w:right w:type="dxa" w:w="140"/>
            </w:tcMar>
            <w:vAlign w:val="center"/>
          </w:tcPr>
          <w:p>
            <w:pPr>
              <w:jc w:val="center"/>
            </w:pPr>
            <w:r>
              <w:rPr>
                <w:rFonts w:ascii="Calibri" w:cs="Calibri" w:eastAsia="Calibri" w:hAnsi="Calibri"/>
                <w:b/>
                <w:bCs/>
                <w:color w:val="1F2D5C"/>
                <w:sz w:val="20"/>
                <w:szCs w:val="20"/>
              </w:rPr>
              <w:t xml:space="preserve">Known values with a computed expected output. Edge cases are always included — boundary values (e.g. progress at exactly 80%, one point under it), invalid inputs, and the smallest/largest valid cases — not only the “happy path.”</w:t>
            </w:r>
          </w:p>
        </w:tc>
      </w:tr>
      <w:tr>
        <w:trPr>
          <w:cantSplit/>
        </w:trPr>
        <w:tc>
          <w:tcPr>
            <w:tcW w:type="dxa" w:w="22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Tools</w:t>
            </w:r>
          </w:p>
        </w:tc>
        <w:tc>
          <w:tcPr>
            <w:tcW w:type="dxa" w:w="11480"/>
            <w:shd w:fill="F7F8FA" w:val="clear"/>
            <w:tcMar>
              <w:top w:type="dxa" w:w="140"/>
              <w:left w:type="dxa" w:w="140"/>
              <w:bottom w:type="dxa" w:w="140"/>
              <w:right w:type="dxa" w:w="140"/>
            </w:tcMar>
            <w:vAlign w:val="center"/>
          </w:tcPr>
          <w:p>
            <w:pPr>
              <w:jc w:val="center"/>
            </w:pPr>
            <w:r>
              <w:rPr>
                <w:rFonts w:ascii="Calibri" w:cs="Calibri" w:eastAsia="Calibri" w:hAnsi="Calibri"/>
                <w:b/>
                <w:bCs/>
                <w:color w:val="1F2D5C"/>
                <w:sz w:val="20"/>
                <w:szCs w:val="20"/>
              </w:rPr>
              <w:t xml:space="preserve">xUnit — the .NET equivalent of PHPUnit/Jest/pytest — run via “dotnet test DTIOneLink.Tests/DTIOneLink.Tests.csproj.”</w:t>
            </w:r>
          </w:p>
        </w:tc>
      </w:tr>
      <w:tr>
        <w:trPr>
          <w:cantSplit/>
        </w:trPr>
        <w:tc>
          <w:tcPr>
            <w:tcW w:type="dxa" w:w="2200"/>
            <w:tcMar>
              <w:top w:type="dxa" w:w="140"/>
              <w:left w:type="dxa" w:w="140"/>
              <w:bottom w:type="dxa" w:w="140"/>
              <w:right w:type="dxa" w:w="140"/>
            </w:tcMar>
            <w:vAlign w:val="center"/>
          </w:tcPr>
          <w:p>
            <w:pPr>
              <w:jc w:val="center"/>
            </w:pPr>
            <w:r>
              <w:rPr>
                <w:rFonts w:ascii="Calibri" w:cs="Calibri" w:eastAsia="Calibri" w:hAnsi="Calibri"/>
                <w:sz w:val="20"/>
                <w:szCs w:val="20"/>
              </w:rPr>
              <w:t xml:space="preserve">Record</w:t>
            </w:r>
          </w:p>
        </w:tc>
        <w:tc>
          <w:tcPr>
            <w:tcW w:type="dxa" w:w="11480"/>
            <w:tcMar>
              <w:top w:type="dxa" w:w="140"/>
              <w:left w:type="dxa" w:w="140"/>
              <w:bottom w:type="dxa" w:w="140"/>
              <w:right w:type="dxa" w:w="140"/>
            </w:tcMar>
            <w:vAlign w:val="center"/>
          </w:tcPr>
          <w:p>
            <w:pPr>
              <w:jc w:val="center"/>
            </w:pPr>
            <w:r>
              <w:rPr>
                <w:rFonts w:ascii="Calibri" w:cs="Calibri" w:eastAsia="Calibri" w:hAnsi="Calibri"/>
                <w:b/>
                <w:bCs/>
                <w:color w:val="B45309"/>
                <w:sz w:val="20"/>
                <w:szCs w:val="20"/>
              </w:rPr>
              <w:t xml:space="preserve">Function, input, expected output, actual output, and status, for every case. Any case that failed before being fixed stays in the log as a permanent regression test (see “Defects Found at This Level” below).</w:t>
            </w:r>
          </w:p>
        </w:tc>
      </w:tr>
    </w:tbl>
    <w:p>
      <w:pPr>
        <w:spacing w:after="160"/>
      </w:pPr>
      <w:r>
        <w:rPr>
          <w:rFonts w:ascii="Calibri" w:cs="Calibri" w:eastAsia="Calibri" w:hAnsi="Calibri"/>
          <w:sz w:val="21"/>
          <w:szCs w:val="21"/>
        </w:rPr>
        <w:t xml:space="preserve">What makes a good unit test, applied throughout this suite:</w:t>
      </w:r>
    </w:p>
    <w:p>
      <w:pPr>
        <w:spacing w:after="80"/>
        <w:ind w:left="260"/>
      </w:pPr>
      <w:r>
        <w:rPr>
          <w:rFonts w:ascii="Calibri" w:cs="Calibri" w:eastAsia="Calibri" w:hAnsi="Calibri"/>
          <w:sz w:val="21"/>
          <w:szCs w:val="21"/>
        </w:rPr>
        <w:t xml:space="preserve">•  Tests one behavior only — one assertion per idea, not several unrelated checks bundled into one test method.</w:t>
      </w:r>
    </w:p>
    <w:p>
      <w:pPr>
        <w:spacing w:after="80"/>
        <w:ind w:left="260"/>
      </w:pPr>
      <w:r>
        <w:rPr>
          <w:rFonts w:ascii="Calibri" w:cs="Calibri" w:eastAsia="Calibri" w:hAnsi="Calibri"/>
          <w:sz w:val="21"/>
          <w:szCs w:val="21"/>
        </w:rPr>
        <w:t xml:space="preserve">•  Does not depend on the database, network, or other modules — values are passed directly, or (for controller-level cases) an in-memory EF Core database stands in for a real one.</w:t>
      </w:r>
    </w:p>
    <w:p>
      <w:pPr>
        <w:spacing w:after="80"/>
        <w:ind w:left="260"/>
      </w:pPr>
      <w:r>
        <w:rPr>
          <w:rFonts w:ascii="Calibri" w:cs="Calibri" w:eastAsia="Calibri" w:hAnsi="Calibri"/>
          <w:sz w:val="21"/>
          <w:szCs w:val="21"/>
        </w:rPr>
        <w:t xml:space="preserve">•  Runs the same way every time, so it can be re-run after every code change without flaking.</w:t>
      </w:r>
    </w:p>
    <w:p>
      <w:pPr>
        <w:spacing w:after="80"/>
        <w:ind w:left="260"/>
      </w:pPr>
      <w:r>
        <w:rPr>
          <w:rFonts w:ascii="Calibri" w:cs="Calibri" w:eastAsia="Calibri" w:hAnsi="Calibri"/>
          <w:sz w:val="21"/>
          <w:szCs w:val="21"/>
        </w:rPr>
        <w:t xml:space="preserve">•  Named after the rule it checks — e.g. CanTransition_OnlyAllowsLegalEdges, SubmitProof_FileContentsDontMatchExtension_IsRejectedAndNoSubmissionIsCreated — so the test name alone states the expected behavior.</w:t>
      </w:r>
    </w:p>
    <w:p>
      <w:pPr>
        <w:spacing w:after="80"/>
        <w:ind w:left="260"/>
      </w:pPr>
      <w:r>
        <w:rPr>
          <w:rFonts w:ascii="Calibri" w:cs="Calibri" w:eastAsia="Calibri" w:hAnsi="Calibri"/>
          <w:sz w:val="21"/>
          <w:szCs w:val="21"/>
        </w:rPr>
        <w:t xml:space="preserve">•  Covers the boundary: the smallest valid input, the largest, and one past each edge (e.g. progress at 79%, 80%, and the resubmission exemption at 0%).</w:t>
      </w:r>
    </w:p>
    <w:p>
      <w:pPr>
        <w:pStyle w:val="Heading1"/>
        <w:spacing w:after="160" w:before="400"/>
      </w:pPr>
      <w:r>
        <w:rPr>
          <w:rFonts w:ascii="Calibri" w:cs="Calibri" w:eastAsia="Calibri" w:hAnsi="Calibri"/>
          <w:b/>
          <w:bCs/>
          <w:color w:val="1F2D5C"/>
          <w:sz w:val="30"/>
          <w:szCs w:val="30"/>
        </w:rPr>
        <w:t xml:space="preserve">Sample Unit Test Cases</w:t>
      </w:r>
    </w:p>
    <w:p>
      <w:pPr>
        <w:spacing w:after="160"/>
      </w:pPr>
      <w:r>
        <w:rPr>
          <w:rFonts w:ascii="Calibri" w:cs="Calibri" w:eastAsia="Calibri" w:hAnsi="Calibri"/>
          <w:sz w:val="21"/>
          <w:szCs w:val="21"/>
        </w:rPr>
        <w:t xml:space="preserve">The table below is a representative sample of this project's unit-level suite — not an exhaustive list of all 300 cases (the full case-by-case list, pulled directly from “dotnet test --list-tests,” is provided separately as the Full Test Case Appendix).</w:t>
      </w:r>
    </w:p>
    <w:p>
      <w:pPr>
        <w:spacing w:after="80" w:before="160"/>
      </w:pPr>
      <w:r>
        <w:rPr>
          <w:rFonts w:ascii="Calibri" w:cs="Calibri" w:eastAsia="Calibri" w:hAnsi="Calibri"/>
          <w:b/>
          <w:bCs/>
          <w:sz w:val="21"/>
          <w:szCs w:val="21"/>
        </w:rPr>
        <w:t xml:space="preserve">Table 4. Sample Unit Test Cases</w:t>
      </w:r>
    </w:p>
    <w:tbl>
      <w:tblPr>
        <w:tblW w:type="dxa" w:w="132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1300"/>
        <w:gridCol w:w="2000"/>
        <w:gridCol w:w="3400"/>
        <w:gridCol w:w="3200"/>
        <w:gridCol w:w="2380"/>
        <w:gridCol w:w="1000"/>
      </w:tblGrid>
      <w:tr>
        <w:trPr>
          <w:tblHeader/>
        </w:trPr>
        <w:tc>
          <w:tcPr>
            <w:tcW w:type="dxa" w:w="13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ID</w:t>
            </w:r>
          </w:p>
        </w:tc>
        <w:tc>
          <w:tcPr>
            <w:tcW w:type="dxa" w:w="20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Function</w:t>
            </w:r>
          </w:p>
        </w:tc>
        <w:tc>
          <w:tcPr>
            <w:tcW w:type="dxa" w:w="34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Input</w:t>
            </w:r>
          </w:p>
        </w:tc>
        <w:tc>
          <w:tcPr>
            <w:tcW w:type="dxa" w:w="32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Expected Output</w:t>
            </w:r>
          </w:p>
        </w:tc>
        <w:tc>
          <w:tcPr>
            <w:tcW w:type="dxa" w:w="238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Actual Output</w:t>
            </w:r>
          </w:p>
        </w:tc>
        <w:tc>
          <w:tcPr>
            <w:tcW w:type="dxa" w:w="10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Status</w:t>
            </w:r>
          </w:p>
        </w:tc>
      </w:tr>
      <w:tr>
        <w:trPr>
          <w:cantSplit/>
        </w:trPr>
        <w:tc>
          <w:tcPr>
            <w:tcW w:type="dxa" w:w="1300"/>
            <w:tcMar>
              <w:top w:type="dxa" w:w="140"/>
              <w:left w:type="dxa" w:w="140"/>
              <w:bottom w:type="dxa" w:w="140"/>
              <w:right w:type="dxa" w:w="140"/>
            </w:tcMar>
            <w:vAlign w:val="center"/>
          </w:tcPr>
          <w:p>
            <w:pPr>
              <w:jc w:val="center"/>
            </w:pPr>
            <w:r>
              <w:rPr>
                <w:rFonts w:ascii="Calibri" w:cs="Calibri" w:eastAsia="Calibri" w:hAnsi="Calibri"/>
                <w:sz w:val="20"/>
                <w:szCs w:val="20"/>
              </w:rPr>
              <w:t xml:space="preserve">UT-WF-01</w:t>
            </w:r>
          </w:p>
        </w:tc>
        <w:tc>
          <w:tcPr>
            <w:tcW w:type="dxa" w:w="2000"/>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TaskWorkflow.CanTransition</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Status “for-review” → “in-progress” (skipping the Admin's review decision)</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false</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false</w:t>
            </w:r>
          </w:p>
        </w:tc>
        <w:tc>
          <w:tcPr>
            <w:tcW w:type="dxa" w:w="10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UT-WF-02</w:t>
            </w:r>
          </w:p>
        </w:tc>
        <w:tc>
          <w:tcPr>
            <w:tcW w:type="dxa" w:w="200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TaskWorkflow.CanTransition</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Status “completed” → “in-progress” (reopen a finished task)</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false</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false</w:t>
            </w:r>
          </w:p>
        </w:tc>
        <w:tc>
          <w:tcPr>
            <w:tcW w:type="dxa" w:w="10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tcMar>
              <w:top w:type="dxa" w:w="140"/>
              <w:left w:type="dxa" w:w="140"/>
              <w:bottom w:type="dxa" w:w="140"/>
              <w:right w:type="dxa" w:w="140"/>
            </w:tcMar>
            <w:vAlign w:val="center"/>
          </w:tcPr>
          <w:p>
            <w:pPr>
              <w:jc w:val="center"/>
            </w:pPr>
            <w:r>
              <w:rPr>
                <w:rFonts w:ascii="Calibri" w:cs="Calibri" w:eastAsia="Calibri" w:hAnsi="Calibri"/>
                <w:sz w:val="20"/>
                <w:szCs w:val="20"/>
              </w:rPr>
              <w:t xml:space="preserve">UT-WF-03</w:t>
            </w:r>
          </w:p>
        </w:tc>
        <w:tc>
          <w:tcPr>
            <w:tcW w:type="dxa" w:w="2000"/>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TaskWorkflow.IsOverdue</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Status “in-progress”, due date = yesterday</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true</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true</w:t>
            </w:r>
          </w:p>
        </w:tc>
        <w:tc>
          <w:tcPr>
            <w:tcW w:type="dxa" w:w="10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UT-WF-04</w:t>
            </w:r>
          </w:p>
        </w:tc>
        <w:tc>
          <w:tcPr>
            <w:tcW w:type="dxa" w:w="200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TaskWorkflow.IsOverdue</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Status “completed”, due date = yesterday</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false (finished work is never “overdue”)</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false</w:t>
            </w:r>
          </w:p>
        </w:tc>
        <w:tc>
          <w:tcPr>
            <w:tcW w:type="dxa" w:w="10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tcMar>
              <w:top w:type="dxa" w:w="140"/>
              <w:left w:type="dxa" w:w="140"/>
              <w:bottom w:type="dxa" w:w="140"/>
              <w:right w:type="dxa" w:w="140"/>
            </w:tcMar>
            <w:vAlign w:val="center"/>
          </w:tcPr>
          <w:p>
            <w:pPr>
              <w:jc w:val="center"/>
            </w:pPr>
            <w:r>
              <w:rPr>
                <w:rFonts w:ascii="Calibri" w:cs="Calibri" w:eastAsia="Calibri" w:hAnsi="Calibri"/>
                <w:sz w:val="20"/>
                <w:szCs w:val="20"/>
              </w:rPr>
              <w:t xml:space="preserve">UT-WF-05</w:t>
            </w:r>
          </w:p>
        </w:tc>
        <w:tc>
          <w:tcPr>
            <w:tcW w:type="dxa" w:w="2000"/>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TaskWorkflow.DelayRisk</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10% progress, due in 1 day</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AtRisk = true</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AtRisk = true</w:t>
            </w:r>
          </w:p>
        </w:tc>
        <w:tc>
          <w:tcPr>
            <w:tcW w:type="dxa" w:w="10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UT-TZ-01</w:t>
            </w:r>
          </w:p>
        </w:tc>
        <w:tc>
          <w:tcPr>
            <w:tcW w:type="dxa" w:w="200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TimeZoneHelper.ToPhilippineTime</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2026-06-15 23:00 UTC (crosses midnight in Manila)</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2026-06-16 07:00</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2026-06-16 07:00</w:t>
            </w:r>
          </w:p>
        </w:tc>
        <w:tc>
          <w:tcPr>
            <w:tcW w:type="dxa" w:w="10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tcMar>
              <w:top w:type="dxa" w:w="140"/>
              <w:left w:type="dxa" w:w="140"/>
              <w:bottom w:type="dxa" w:w="140"/>
              <w:right w:type="dxa" w:w="140"/>
            </w:tcMar>
            <w:vAlign w:val="center"/>
          </w:tcPr>
          <w:p>
            <w:pPr>
              <w:jc w:val="center"/>
            </w:pPr>
            <w:r>
              <w:rPr>
                <w:rFonts w:ascii="Calibri" w:cs="Calibri" w:eastAsia="Calibri" w:hAnsi="Calibri"/>
                <w:sz w:val="20"/>
                <w:szCs w:val="20"/>
              </w:rPr>
              <w:t xml:space="preserve">UT-PERM-01</w:t>
            </w:r>
          </w:p>
        </w:tc>
        <w:tc>
          <w:tcPr>
            <w:tcW w:type="dxa" w:w="2000"/>
            <w:tcMar>
              <w:top w:type="dxa" w:w="140"/>
              <w:left w:type="dxa" w:w="140"/>
              <w:bottom w:type="dxa" w:w="140"/>
              <w:right w:type="dxa" w:w="140"/>
            </w:tcMar>
            <w:vAlign w:val="center"/>
          </w:tcPr>
          <w:p>
            <w:pPr>
              <w:jc w:val="left"/>
            </w:pPr>
            <w:r>
              <w:rPr>
                <w:rFonts w:ascii="Consolas" w:cs="Consolas" w:eastAsia="Consolas" w:hAnsi="Consolas"/>
                <w:sz w:val="20"/>
                <w:szCs w:val="20"/>
              </w:rPr>
              <w:t xml:space="preserve">RolePermissions.Has</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Role “admin” (lowercase), permission ManageOfficeWideTasks</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false — office-wide access is SuperAdmin-only, never via the Admin/Supervisor role string</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false</w:t>
            </w:r>
          </w:p>
        </w:tc>
        <w:tc>
          <w:tcPr>
            <w:tcW w:type="dxa" w:w="10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UT-FILE-01</w:t>
            </w:r>
          </w:p>
        </w:tc>
        <w:tc>
          <w:tcPr>
            <w:tcW w:type="dxa" w:w="200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ProofFileValidator.Validate</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A .pdf-named file whose real bytes are a JPEG header</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false, “contents don't match its extension”</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false, same message</w:t>
            </w:r>
          </w:p>
        </w:tc>
        <w:tc>
          <w:tcPr>
            <w:tcW w:type="dxa" w:w="10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tcMar>
              <w:top w:type="dxa" w:w="140"/>
              <w:left w:type="dxa" w:w="140"/>
              <w:bottom w:type="dxa" w:w="140"/>
              <w:right w:type="dxa" w:w="140"/>
            </w:tcMar>
            <w:vAlign w:val="center"/>
          </w:tcPr>
          <w:p>
            <w:pPr>
              <w:jc w:val="center"/>
            </w:pPr>
            <w:r>
              <w:rPr>
                <w:rFonts w:ascii="Calibri" w:cs="Calibri" w:eastAsia="Calibri" w:hAnsi="Calibri"/>
                <w:sz w:val="20"/>
                <w:szCs w:val="20"/>
              </w:rPr>
              <w:t xml:space="preserve">UT-RET-01</w:t>
            </w:r>
          </w:p>
        </w:tc>
        <w:tc>
          <w:tcPr>
            <w:tcW w:type="dxa" w:w="2000"/>
            <w:tcMar>
              <w:top w:type="dxa" w:w="140"/>
              <w:left w:type="dxa" w:w="140"/>
              <w:bottom w:type="dxa" w:w="140"/>
              <w:right w:type="dxa" w:w="140"/>
            </w:tcMar>
            <w:vAlign w:val="center"/>
          </w:tcPr>
          <w:p>
            <w:pPr>
              <w:jc w:val="left"/>
            </w:pPr>
            <w:r>
              <w:rPr>
                <w:rFonts w:ascii="Consolas" w:cs="Consolas" w:eastAsia="Consolas" w:hAnsi="Consolas"/>
                <w:sz w:val="20"/>
                <w:szCs w:val="20"/>
              </w:rPr>
              <w:t xml:space="preserve">RetentionPeriodParser.TryComputeDueDate</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Period Covered “April 13, 2023 to April 30, 2025,” Retention “3 years”</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2028-04-30 (counted from the end of the period covered, not the log date)</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2028-04-30</w:t>
            </w:r>
          </w:p>
        </w:tc>
        <w:tc>
          <w:tcPr>
            <w:tcW w:type="dxa" w:w="10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UT-REC-01</w:t>
            </w:r>
          </w:p>
        </w:tc>
        <w:tc>
          <w:tcPr>
            <w:tcW w:type="dxa" w:w="200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TaskRecurrence.NextDueDate</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Daily task, previous due date far in the past (app was offline)</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A date strictly after today (never schedules an already-overdue copy)</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Date strictly after today</w:t>
            </w:r>
          </w:p>
        </w:tc>
        <w:tc>
          <w:tcPr>
            <w:tcW w:type="dxa" w:w="10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tcMar>
              <w:top w:type="dxa" w:w="140"/>
              <w:left w:type="dxa" w:w="140"/>
              <w:bottom w:type="dxa" w:w="140"/>
              <w:right w:type="dxa" w:w="140"/>
            </w:tcMar>
            <w:vAlign w:val="center"/>
          </w:tcPr>
          <w:p>
            <w:pPr>
              <w:jc w:val="center"/>
            </w:pPr>
            <w:r>
              <w:rPr>
                <w:rFonts w:ascii="Calibri" w:cs="Calibri" w:eastAsia="Calibri" w:hAnsi="Calibri"/>
                <w:sz w:val="20"/>
                <w:szCs w:val="20"/>
              </w:rPr>
              <w:t xml:space="preserve">UT-AUTH-01</w:t>
            </w:r>
          </w:p>
        </w:tc>
        <w:tc>
          <w:tcPr>
            <w:tcW w:type="dxa" w:w="2000"/>
            <w:tcMar>
              <w:top w:type="dxa" w:w="140"/>
              <w:left w:type="dxa" w:w="140"/>
              <w:bottom w:type="dxa" w:w="140"/>
              <w:right w:type="dxa" w:w="140"/>
            </w:tcMar>
            <w:vAlign w:val="center"/>
          </w:tcPr>
          <w:p>
            <w:pPr>
              <w:jc w:val="left"/>
            </w:pPr>
            <w:r>
              <w:rPr>
                <w:rFonts w:ascii="Consolas" w:cs="Consolas" w:eastAsia="Consolas" w:hAnsi="Consolas"/>
                <w:sz w:val="20"/>
                <w:szCs w:val="20"/>
              </w:rPr>
              <w:t xml:space="preserve">RequirePermissionAttribute.OnActionExecuting</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No session UserId at all</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Redirects to /Account/Login</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Redirected</w:t>
            </w:r>
          </w:p>
        </w:tc>
        <w:tc>
          <w:tcPr>
            <w:tcW w:type="dxa" w:w="10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UT-AUTH-02</w:t>
            </w:r>
          </w:p>
        </w:tc>
        <w:tc>
          <w:tcPr>
            <w:tcW w:type="dxa" w:w="200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RequirePermissionAttribute.OnActionExecuting</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Logged in as Employee, requires ManageUserAccounts</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HTTP 403</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403</w:t>
            </w:r>
          </w:p>
        </w:tc>
        <w:tc>
          <w:tcPr>
            <w:tcW w:type="dxa" w:w="10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tcMar>
              <w:top w:type="dxa" w:w="140"/>
              <w:left w:type="dxa" w:w="140"/>
              <w:bottom w:type="dxa" w:w="140"/>
              <w:right w:type="dxa" w:w="140"/>
            </w:tcMar>
            <w:vAlign w:val="center"/>
          </w:tcPr>
          <w:p>
            <w:pPr>
              <w:jc w:val="center"/>
            </w:pPr>
            <w:r>
              <w:rPr>
                <w:rFonts w:ascii="Calibri" w:cs="Calibri" w:eastAsia="Calibri" w:hAnsi="Calibri"/>
                <w:sz w:val="20"/>
                <w:szCs w:val="20"/>
              </w:rPr>
              <w:t xml:space="preserve">UT-UM-01</w:t>
            </w:r>
          </w:p>
        </w:tc>
        <w:tc>
          <w:tcPr>
            <w:tcW w:type="dxa" w:w="2000"/>
            <w:tcMar>
              <w:top w:type="dxa" w:w="140"/>
              <w:left w:type="dxa" w:w="140"/>
              <w:bottom w:type="dxa" w:w="140"/>
              <w:right w:type="dxa" w:w="140"/>
            </w:tcMar>
            <w:vAlign w:val="center"/>
          </w:tcPr>
          <w:p>
            <w:pPr>
              <w:jc w:val="left"/>
            </w:pPr>
            <w:r>
              <w:rPr>
                <w:rFonts w:ascii="Consolas" w:cs="Consolas" w:eastAsia="Consolas" w:hAnsi="Consolas"/>
                <w:sz w:val="20"/>
                <w:szCs w:val="20"/>
              </w:rPr>
              <w:t xml:space="preserve">UserManagementController.Create</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Caller session role = Admin, posted Role = “SuperAdmin”</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Rejected before any database call, TempData[“ErrorMessage”] set</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(see Defect Log — this is the case that found DEF-001)</w:t>
            </w:r>
          </w:p>
        </w:tc>
        <w:tc>
          <w:tcPr>
            <w:tcW w:type="dxa" w:w="1000"/>
            <w:tcMar>
              <w:top w:type="dxa" w:w="140"/>
              <w:left w:type="dxa" w:w="140"/>
              <w:bottom w:type="dxa" w:w="140"/>
              <w:right w:type="dxa" w:w="140"/>
            </w:tcMar>
            <w:vAlign w:val="center"/>
          </w:tcPr>
          <w:p>
            <w:pPr>
              <w:jc w:val="center"/>
            </w:pPr>
            <w:r>
              <w:rPr>
                <w:rFonts w:ascii="Calibri" w:cs="Calibri" w:eastAsia="Calibri" w:hAnsi="Calibri"/>
                <w:b/>
                <w:bCs/>
                <w:color w:val="B45309"/>
                <w:sz w:val="20"/>
                <w:szCs w:val="20"/>
              </w:rPr>
              <w:t xml:space="preserve">Failed → fixed → Passed</w:t>
            </w:r>
          </w:p>
        </w:tc>
      </w:tr>
      <w:tr>
        <w:trPr>
          <w:cantSplit/>
        </w:trPr>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UT-UM-02</w:t>
            </w:r>
          </w:p>
        </w:tc>
        <w:tc>
          <w:tcPr>
            <w:tcW w:type="dxa" w:w="200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UserManagementController.Create</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Caller session role = SuperAdmin, posted Role = “SuperAdmin”</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Passes the guard (fails only at the database layer, expected with no live DB)</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Passed the guard</w:t>
            </w:r>
          </w:p>
        </w:tc>
        <w:tc>
          <w:tcPr>
            <w:tcW w:type="dxa" w:w="10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tcMar>
              <w:top w:type="dxa" w:w="140"/>
              <w:left w:type="dxa" w:w="140"/>
              <w:bottom w:type="dxa" w:w="140"/>
              <w:right w:type="dxa" w:w="140"/>
            </w:tcMar>
            <w:vAlign w:val="center"/>
          </w:tcPr>
          <w:p>
            <w:pPr>
              <w:jc w:val="center"/>
            </w:pPr>
            <w:r>
              <w:rPr>
                <w:rFonts w:ascii="Calibri" w:cs="Calibri" w:eastAsia="Calibri" w:hAnsi="Calibri"/>
                <w:sz w:val="20"/>
                <w:szCs w:val="20"/>
              </w:rPr>
              <w:t xml:space="preserve">UT-SUBTASK-01</w:t>
            </w:r>
          </w:p>
        </w:tc>
        <w:tc>
          <w:tcPr>
            <w:tcW w:type="dxa" w:w="2000"/>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TasksController.AddSubtask</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Caller session role = Admin, own department's Department Directive</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403 Forbidden — only the OPD (SuperAdmin) may add a subtask</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(see Defect Log — this is the case that found DEF-005)</w:t>
            </w:r>
          </w:p>
        </w:tc>
        <w:tc>
          <w:tcPr>
            <w:tcW w:type="dxa" w:w="1000"/>
            <w:tcMar>
              <w:top w:type="dxa" w:w="140"/>
              <w:left w:type="dxa" w:w="140"/>
              <w:bottom w:type="dxa" w:w="140"/>
              <w:right w:type="dxa" w:w="140"/>
            </w:tcMar>
            <w:vAlign w:val="center"/>
          </w:tcPr>
          <w:p>
            <w:pPr>
              <w:jc w:val="center"/>
            </w:pPr>
            <w:r>
              <w:rPr>
                <w:rFonts w:ascii="Calibri" w:cs="Calibri" w:eastAsia="Calibri" w:hAnsi="Calibri"/>
                <w:b/>
                <w:bCs/>
                <w:color w:val="B45309"/>
                <w:sz w:val="20"/>
                <w:szCs w:val="20"/>
              </w:rPr>
              <w:t xml:space="preserve">Failed → fixed → Passed</w:t>
            </w:r>
          </w:p>
        </w:tc>
      </w:tr>
      <w:tr>
        <w:trPr>
          <w:cantSplit/>
        </w:trPr>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UT-SUBTASK-02</w:t>
            </w:r>
          </w:p>
        </w:tc>
        <w:tc>
          <w:tcPr>
            <w:tcW w:type="dxa" w:w="200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TasksController.AddSubtask</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Caller session role = Supervisor, own department's Department Directive</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403 Forbidden, same rule</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403</w:t>
            </w:r>
          </w:p>
        </w:tc>
        <w:tc>
          <w:tcPr>
            <w:tcW w:type="dxa" w:w="10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tcMar>
              <w:top w:type="dxa" w:w="140"/>
              <w:left w:type="dxa" w:w="140"/>
              <w:bottom w:type="dxa" w:w="140"/>
              <w:right w:type="dxa" w:w="140"/>
            </w:tcMar>
            <w:vAlign w:val="center"/>
          </w:tcPr>
          <w:p>
            <w:pPr>
              <w:jc w:val="center"/>
            </w:pPr>
            <w:r>
              <w:rPr>
                <w:rFonts w:ascii="Calibri" w:cs="Calibri" w:eastAsia="Calibri" w:hAnsi="Calibri"/>
                <w:sz w:val="20"/>
                <w:szCs w:val="20"/>
              </w:rPr>
              <w:t xml:space="preserve">UT-SUBTASK-03</w:t>
            </w:r>
          </w:p>
        </w:tc>
        <w:tc>
          <w:tcPr>
            <w:tcW w:type="dxa" w:w="2000"/>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TasksController.AddSubtask</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Caller session role = SuperAdmin</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Subtask created, redirect to Main Task Details</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Created</w:t>
            </w:r>
          </w:p>
        </w:tc>
        <w:tc>
          <w:tcPr>
            <w:tcW w:type="dxa" w:w="10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UT-PROG-01</w:t>
            </w:r>
          </w:p>
        </w:tc>
        <w:tc>
          <w:tcPr>
            <w:tcW w:type="dxa" w:w="200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TaskWorkflow.CanSubmitProof</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Status “pending”, progress 79%</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false — one point under the 80% threshold</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false</w:t>
            </w:r>
          </w:p>
        </w:tc>
        <w:tc>
          <w:tcPr>
            <w:tcW w:type="dxa" w:w="10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tcMar>
              <w:top w:type="dxa" w:w="140"/>
              <w:left w:type="dxa" w:w="140"/>
              <w:bottom w:type="dxa" w:w="140"/>
              <w:right w:type="dxa" w:w="140"/>
            </w:tcMar>
            <w:vAlign w:val="center"/>
          </w:tcPr>
          <w:p>
            <w:pPr>
              <w:jc w:val="center"/>
            </w:pPr>
            <w:r>
              <w:rPr>
                <w:rFonts w:ascii="Calibri" w:cs="Calibri" w:eastAsia="Calibri" w:hAnsi="Calibri"/>
                <w:sz w:val="20"/>
                <w:szCs w:val="20"/>
              </w:rPr>
              <w:t xml:space="preserve">UT-PROG-02</w:t>
            </w:r>
          </w:p>
        </w:tc>
        <w:tc>
          <w:tcPr>
            <w:tcW w:type="dxa" w:w="2000"/>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TaskWorkflow.CanSubmitProof</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Status “pending”, progress 80%</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true — right at the threshold</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true</w:t>
            </w:r>
          </w:p>
        </w:tc>
        <w:tc>
          <w:tcPr>
            <w:tcW w:type="dxa" w:w="10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UT-PROG-03</w:t>
            </w:r>
          </w:p>
        </w:tc>
        <w:tc>
          <w:tcPr>
            <w:tcW w:type="dxa" w:w="200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TaskWorkflow.CanSubmitProof</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Status “returned-for-correction”, progress 0%</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true — resubmission is exempt; Return never resets progress</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true</w:t>
            </w:r>
          </w:p>
        </w:tc>
        <w:tc>
          <w:tcPr>
            <w:tcW w:type="dxa" w:w="10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tcMar>
              <w:top w:type="dxa" w:w="140"/>
              <w:left w:type="dxa" w:w="140"/>
              <w:bottom w:type="dxa" w:w="140"/>
              <w:right w:type="dxa" w:w="140"/>
            </w:tcMar>
            <w:vAlign w:val="center"/>
          </w:tcPr>
          <w:p>
            <w:pPr>
              <w:jc w:val="center"/>
            </w:pPr>
            <w:r>
              <w:rPr>
                <w:rFonts w:ascii="Calibri" w:cs="Calibri" w:eastAsia="Calibri" w:hAnsi="Calibri"/>
                <w:sz w:val="20"/>
                <w:szCs w:val="20"/>
              </w:rPr>
              <w:t xml:space="preserve">UT-REVIEW-01</w:t>
            </w:r>
          </w:p>
        </w:tc>
        <w:tc>
          <w:tcPr>
            <w:tcW w:type="dxa" w:w="2000"/>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TasksController.Review (POST)</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A “For Review” submission; Decision = “in-progress” (not Approve or Return)</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Rejected: ModelState invalid; assignment stays “for-review,” submission's Decision stays null</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Rejected as expected; both unchanged</w:t>
            </w:r>
          </w:p>
        </w:tc>
        <w:tc>
          <w:tcPr>
            <w:tcW w:type="dxa" w:w="10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UT-REVIEW-02</w:t>
            </w:r>
          </w:p>
        </w:tc>
        <w:tc>
          <w:tcPr>
            <w:tcW w:type="dxa" w:w="200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TasksController.Review (POST)</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Same submission; Decision = “approve”</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Assignment moves to “completed”</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completed</w:t>
            </w:r>
          </w:p>
        </w:tc>
        <w:tc>
          <w:tcPr>
            <w:tcW w:type="dxa" w:w="10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tcMar>
              <w:top w:type="dxa" w:w="140"/>
              <w:left w:type="dxa" w:w="140"/>
              <w:bottom w:type="dxa" w:w="140"/>
              <w:right w:type="dxa" w:w="140"/>
            </w:tcMar>
            <w:vAlign w:val="center"/>
          </w:tcPr>
          <w:p>
            <w:pPr>
              <w:jc w:val="center"/>
            </w:pPr>
            <w:r>
              <w:rPr>
                <w:rFonts w:ascii="Calibri" w:cs="Calibri" w:eastAsia="Calibri" w:hAnsi="Calibri"/>
                <w:sz w:val="20"/>
                <w:szCs w:val="20"/>
              </w:rPr>
              <w:t xml:space="preserve">UT-SUBPROOF-01</w:t>
            </w:r>
          </w:p>
        </w:tc>
        <w:tc>
          <w:tcPr>
            <w:tcW w:type="dxa" w:w="2000"/>
            <w:tcMar>
              <w:top w:type="dxa" w:w="140"/>
              <w:left w:type="dxa" w:w="140"/>
              <w:bottom w:type="dxa" w:w="140"/>
              <w:right w:type="dxa" w:w="140"/>
            </w:tcMar>
            <w:vAlign w:val="center"/>
          </w:tcPr>
          <w:p>
            <w:pPr>
              <w:jc w:val="left"/>
            </w:pPr>
            <w:r>
              <w:rPr>
                <w:rFonts w:ascii="Consolas" w:cs="Consolas" w:eastAsia="Consolas" w:hAnsi="Consolas"/>
                <w:sz w:val="20"/>
                <w:szCs w:val="20"/>
              </w:rPr>
              <w:t xml:space="preserve">EmployeeController.SubmitProof (POST)</w:t>
            </w:r>
          </w:p>
        </w:tc>
        <w:tc>
          <w:tcPr>
            <w:tcW w:type="dxa" w:w="3400"/>
            <w:tcMar>
              <w:top w:type="dxa" w:w="140"/>
              <w:left w:type="dxa" w:w="140"/>
              <w:bottom w:type="dxa" w:w="140"/>
              <w:right w:type="dxa" w:w="140"/>
            </w:tcMar>
            <w:vAlign w:val="center"/>
          </w:tcPr>
          <w:p>
            <w:pPr>
              <w:jc w:val="left"/>
            </w:pPr>
            <w:r>
              <w:rPr>
                <w:rFonts w:ascii="Calibri" w:cs="Calibri" w:eastAsia="Calibri" w:hAnsi="Calibri"/>
                <w:sz w:val="20"/>
                <w:szCs w:val="20"/>
              </w:rPr>
              <w:t xml:space="preserve">A real IFormFile with genuine JPEG bytes, named “proof.pdf”</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Rejected via ModelState; no TaskSubmission row created; assignment stays “in-progress”</w:t>
            </w:r>
          </w:p>
        </w:tc>
        <w:tc>
          <w:tcPr>
            <w:tcW w:type="dxa" w:w="2380"/>
            <w:tcMar>
              <w:top w:type="dxa" w:w="140"/>
              <w:left w:type="dxa" w:w="140"/>
              <w:bottom w:type="dxa" w:w="140"/>
              <w:right w:type="dxa" w:w="140"/>
            </w:tcMar>
            <w:vAlign w:val="center"/>
          </w:tcPr>
          <w:p>
            <w:pPr>
              <w:jc w:val="left"/>
            </w:pPr>
            <w:r>
              <w:rPr>
                <w:rFonts w:ascii="Calibri" w:cs="Calibri" w:eastAsia="Calibri" w:hAnsi="Calibri"/>
                <w:sz w:val="20"/>
                <w:szCs w:val="20"/>
              </w:rPr>
              <w:t xml:space="preserve">Rejected; 0 submissions created; assignment unchanged</w:t>
            </w:r>
          </w:p>
        </w:tc>
        <w:tc>
          <w:tcPr>
            <w:tcW w:type="dxa" w:w="10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UT-SUBPROOF-02</w:t>
            </w:r>
          </w:p>
        </w:tc>
        <w:tc>
          <w:tcPr>
            <w:tcW w:type="dxa" w:w="2000"/>
            <w:shd w:fill="F7F8FA" w:val="clear"/>
            <w:tcMar>
              <w:top w:type="dxa" w:w="140"/>
              <w:left w:type="dxa" w:w="140"/>
              <w:bottom w:type="dxa" w:w="140"/>
              <w:right w:type="dxa" w:w="140"/>
            </w:tcMar>
            <w:vAlign w:val="center"/>
          </w:tcPr>
          <w:p>
            <w:pPr>
              <w:jc w:val="left"/>
            </w:pPr>
            <w:r>
              <w:rPr>
                <w:rFonts w:ascii="Consolas" w:cs="Consolas" w:eastAsia="Consolas" w:hAnsi="Consolas"/>
                <w:sz w:val="20"/>
                <w:szCs w:val="20"/>
              </w:rPr>
              <w:t xml:space="preserve">EmployeeController.SubmitProof (POST)</w:t>
            </w:r>
          </w:p>
        </w:tc>
        <w:tc>
          <w:tcPr>
            <w:tcW w:type="dxa" w:w="34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A real IFormFile with genuine PDF bytes, named “proof.pdf”</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Submission created; assignment moves to “for-review”</w:t>
            </w:r>
          </w:p>
        </w:tc>
        <w:tc>
          <w:tcPr>
            <w:tcW w:type="dxa" w:w="2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1 submission created; “for-review”</w:t>
            </w:r>
          </w:p>
        </w:tc>
        <w:tc>
          <w:tcPr>
            <w:tcW w:type="dxa" w:w="10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bl>
    <w:p>
      <w:pPr>
        <w:spacing w:before="160"/>
      </w:pPr>
    </w:p>
    <w:p>
      <w:pPr>
        <w:spacing w:after="160"/>
      </w:pPr>
      <w:r>
        <w:rPr>
          <w:rFonts w:ascii="Calibri" w:cs="Calibri" w:eastAsia="Calibri" w:hAnsi="Calibri"/>
          <w:sz w:val="21"/>
          <w:szCs w:val="21"/>
        </w:rPr>
        <w:t xml:space="preserve">300 cases total across 23 files: TaskWorkflowTests, TimeZoneHelperTests, RolePermissionsTests, ProofFileValidatorTests, PeriodCoveredParserTests, RetentionPeriodParserTests, TaskRecurrenceTests, TaskTypesAndLevelsTests, FilterAttributeTests, PrioritySuggestionServiceTests, UserManagementControllerTests, TasksControllerScopingTests, TasksControllerAddSubtaskTests, TasksControllerReviewTests, AdminDashboardControllerTests, EmployeeControllerScopingTests, EmployeeControllerSubmitProofTests, ReportsControllerScopingTests, TaskAssignmentServiceTests, NotificationServiceTests, OpdTaskServiceTests, EmailTemplatesTests, OneTimeCodeServiceTests, and RecordRetentionReminderTests.</w:t>
      </w:r>
    </w:p>
    <w:p>
      <w:pPr>
        <w:pStyle w:val="Heading2"/>
        <w:spacing w:after="120" w:before="280"/>
      </w:pPr>
      <w:r>
        <w:rPr>
          <w:rFonts w:ascii="Calibri" w:cs="Calibri" w:eastAsia="Calibri" w:hAnsi="Calibri"/>
          <w:b/>
          <w:bCs/>
          <w:color w:val="1F2D5C"/>
          <w:sz w:val="24"/>
          <w:szCs w:val="24"/>
        </w:rPr>
        <w:t xml:space="preserve">The Cases That Found Real Defects</w:t>
      </w:r>
    </w:p>
    <w:p>
      <w:pPr>
        <w:spacing w:after="160"/>
      </w:pPr>
      <w:r>
        <w:rPr>
          <w:rFonts w:ascii="Calibri" w:cs="Calibri" w:eastAsia="Calibri" w:hAnsi="Calibri"/>
          <w:sz w:val="21"/>
          <w:szCs w:val="21"/>
        </w:rPr>
        <w:t xml:space="preserve">UT-UM-01 is the valuable one, the same way a defect-finding case is singled out in the course's own HotelEase example: a Division Chief (Admin) could post Role=SuperAdmin to /UserManagement/Create and the controller would create that account — no check stopped them. Found, fixed (added the same SuperAdmin-only guard ChangeStanding already had), and this exact case is now a permanent regression test.</w:t>
      </w:r>
    </w:p>
    <w:p>
      <w:pPr>
        <w:spacing w:after="160"/>
      </w:pPr>
      <w:r>
        <w:rPr>
          <w:rFonts w:ascii="Calibri" w:cs="Calibri" w:eastAsia="Calibri" w:hAnsi="Calibri"/>
          <w:sz w:val="21"/>
          <w:szCs w:val="21"/>
        </w:rPr>
        <w:t xml:space="preserve">UT-SUBTASK-01 is the same pattern, found later: AddSubtask let the owning department's own Admin or Supervisor add a subtask to their own Department Directive — the same scope check used to view the directive was mistakenly reused to also gate adding to it. This contradicted the project's own rule that only the OPD creates tasks or adds subtasks; an Admin only assigns the work already there. Found, fixed (gated behind the same office-wide check Create already used), and both the Admin and Supervisor cases are now permanent regression tests.</w:t>
      </w:r>
    </w:p>
    <w:p>
      <w:pPr>
        <w:pStyle w:val="Heading1"/>
        <w:spacing w:after="160" w:before="400"/>
      </w:pPr>
      <w:r>
        <w:rPr>
          <w:rFonts w:ascii="Calibri" w:cs="Calibri" w:eastAsia="Calibri" w:hAnsi="Calibri"/>
          <w:b/>
          <w:bCs/>
          <w:color w:val="1F2D5C"/>
          <w:sz w:val="30"/>
          <w:szCs w:val="30"/>
        </w:rPr>
        <w:t xml:space="preserve">Defects Found at This Level</w:t>
      </w:r>
    </w:p>
    <w:p>
      <w:pPr>
        <w:spacing w:after="80" w:before="160"/>
      </w:pPr>
      <w:r>
        <w:rPr>
          <w:rFonts w:ascii="Calibri" w:cs="Calibri" w:eastAsia="Calibri" w:hAnsi="Calibri"/>
          <w:b/>
          <w:bCs/>
          <w:sz w:val="21"/>
          <w:szCs w:val="21"/>
        </w:rPr>
        <w:t xml:space="preserve">Table 5. Unit-Level Defect Log</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1200"/>
        <w:gridCol w:w="1600"/>
        <w:gridCol w:w="8380"/>
        <w:gridCol w:w="1200"/>
        <w:gridCol w:w="1300"/>
      </w:tblGrid>
      <w:tr>
        <w:trPr>
          <w:tblHeader/>
        </w:trPr>
        <w:tc>
          <w:tcPr>
            <w:tcW w:type="dxa" w:w="12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Defect ID</w:t>
            </w:r>
          </w:p>
        </w:tc>
        <w:tc>
          <w:tcPr>
            <w:tcW w:type="dxa" w:w="16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Found In</w:t>
            </w:r>
          </w:p>
        </w:tc>
        <w:tc>
          <w:tcPr>
            <w:tcW w:type="dxa" w:w="838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Description</w:t>
            </w:r>
          </w:p>
        </w:tc>
        <w:tc>
          <w:tcPr>
            <w:tcW w:type="dxa" w:w="12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Severity</w:t>
            </w:r>
          </w:p>
        </w:tc>
        <w:tc>
          <w:tcPr>
            <w:tcW w:type="dxa" w:w="13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Status</w:t>
            </w:r>
          </w:p>
        </w:tc>
      </w:tr>
      <w:tr>
        <w:trPr>
          <w:cantSplit/>
        </w:trPr>
        <w:tc>
          <w:tcPr>
            <w:tcW w:type="dxa" w:w="1200"/>
            <w:tcMar>
              <w:top w:type="dxa" w:w="140"/>
              <w:left w:type="dxa" w:w="140"/>
              <w:bottom w:type="dxa" w:w="140"/>
              <w:right w:type="dxa" w:w="140"/>
            </w:tcMar>
            <w:vAlign w:val="center"/>
          </w:tcPr>
          <w:p>
            <w:pPr>
              <w:jc w:val="center"/>
            </w:pPr>
            <w:r>
              <w:rPr>
                <w:rFonts w:ascii="Calibri" w:cs="Calibri" w:eastAsia="Calibri" w:hAnsi="Calibri"/>
                <w:sz w:val="20"/>
                <w:szCs w:val="20"/>
              </w:rPr>
              <w:t xml:space="preserve">DEF-001</w:t>
            </w:r>
          </w:p>
        </w:tc>
        <w:tc>
          <w:tcPr>
            <w:tcW w:type="dxa" w:w="1600"/>
            <w:tcMar>
              <w:top w:type="dxa" w:w="140"/>
              <w:left w:type="dxa" w:w="140"/>
              <w:bottom w:type="dxa" w:w="140"/>
              <w:right w:type="dxa" w:w="140"/>
            </w:tcMar>
            <w:vAlign w:val="center"/>
          </w:tcPr>
          <w:p>
            <w:pPr>
              <w:jc w:val="left"/>
            </w:pPr>
            <w:r>
              <w:rPr>
                <w:rFonts w:ascii="Calibri" w:cs="Calibri" w:eastAsia="Calibri" w:hAnsi="Calibri"/>
                <w:sz w:val="20"/>
                <w:szCs w:val="20"/>
              </w:rPr>
              <w:t xml:space="preserve">UT-UM-01</w:t>
            </w:r>
          </w:p>
        </w:tc>
        <w:tc>
          <w:tcPr>
            <w:tcW w:type="dxa" w:w="8380"/>
            <w:tcMar>
              <w:top w:type="dxa" w:w="140"/>
              <w:left w:type="dxa" w:w="140"/>
              <w:bottom w:type="dxa" w:w="140"/>
              <w:right w:type="dxa" w:w="140"/>
            </w:tcMar>
            <w:vAlign w:val="center"/>
          </w:tcPr>
          <w:p>
            <w:pPr>
              <w:jc w:val="left"/>
            </w:pPr>
            <w:r>
              <w:rPr>
                <w:rFonts w:ascii="Calibri" w:cs="Calibri" w:eastAsia="Calibri" w:hAnsi="Calibri"/>
                <w:sz w:val="20"/>
                <w:szCs w:val="20"/>
              </w:rPr>
              <w:t xml:space="preserve">A Division Chief (Admin) could grant themselves or anyone SuperAdmin by posting Role=SuperAdmin to UserManagement/Create — the guard ChangeStanding had was missing here.</w:t>
            </w:r>
          </w:p>
        </w:tc>
        <w:tc>
          <w:tcPr>
            <w:tcW w:type="dxa" w:w="1200"/>
            <w:tcMar>
              <w:top w:type="dxa" w:w="140"/>
              <w:left w:type="dxa" w:w="140"/>
              <w:bottom w:type="dxa" w:w="140"/>
              <w:right w:type="dxa" w:w="140"/>
            </w:tcMar>
            <w:vAlign w:val="center"/>
          </w:tcPr>
          <w:p>
            <w:pPr>
              <w:jc w:val="left"/>
            </w:pPr>
            <w:r>
              <w:rPr>
                <w:rFonts w:ascii="Calibri" w:cs="Calibri" w:eastAsia="Calibri" w:hAnsi="Calibri"/>
                <w:sz w:val="20"/>
                <w:szCs w:val="20"/>
              </w:rPr>
              <w:t xml:space="preserve">High</w:t>
            </w:r>
          </w:p>
        </w:tc>
        <w:tc>
          <w:tcPr>
            <w:tcW w:type="dxa" w:w="13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 (fixed and retested)</w:t>
            </w:r>
          </w:p>
        </w:tc>
      </w:tr>
      <w:tr>
        <w:trPr>
          <w:cantSplit/>
        </w:trPr>
        <w:tc>
          <w:tcPr>
            <w:tcW w:type="dxa" w:w="12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DEF-005</w:t>
            </w:r>
          </w:p>
        </w:tc>
        <w:tc>
          <w:tcPr>
            <w:tcW w:type="dxa" w:w="16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UT-SUBTASK-01</w:t>
            </w:r>
          </w:p>
        </w:tc>
        <w:tc>
          <w:tcPr>
            <w:tcW w:type="dxa" w:w="83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TasksController.AddSubtask let a Department Directive's own Admin/Supervisor add a subtask to it — reused the scope check for viewing a directive to also gate adding to it, contradicting the rule that only the OPD creates tasks or adds subtasks.</w:t>
            </w:r>
          </w:p>
        </w:tc>
        <w:tc>
          <w:tcPr>
            <w:tcW w:type="dxa" w:w="1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Medium</w:t>
            </w:r>
          </w:p>
        </w:tc>
        <w:tc>
          <w:tcPr>
            <w:tcW w:type="dxa" w:w="13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 (fixed and retested)</w:t>
            </w:r>
          </w:p>
        </w:tc>
      </w:tr>
    </w:tbl>
    <w:p>
      <w:pPr>
        <w:spacing w:after="80" w:before="200"/>
      </w:pPr>
    </w:p>
    <w:p>
      <w:pPr>
        <w:spacing w:after="160"/>
      </w:pPr>
      <w:r>
        <w:rPr>
          <w:rFonts w:ascii="Calibri" w:cs="Calibri" w:eastAsia="Calibri" w:hAnsi="Calibri"/>
          <w:i/>
          <w:iCs/>
          <w:color w:val="555555"/>
          <w:sz w:val="21"/>
          <w:szCs w:val="21"/>
        </w:rPr>
        <w:t xml:space="preserve">Both defects were found by the unit test suite itself before any manual or System-level testing began — exactly what this level of testing is for: catching a logic error cheaply, before anyone outside the development team ever sees it.</w:t>
      </w:r>
    </w:p>
    <w:sectPr>
      <w:footerReference w:type="default" r:id="rId6"/>
      <w:pgSz w:w="15840" w:h="12240" w:orient="landscape"/>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r>
      <w:rPr>
        <w:rFonts w:ascii="Calibri" w:cs="Calibri" w:eastAsia="Calibri" w:hAnsi="Calibri"/>
        <w:sz w:val="18"/>
        <w:szCs w:val="18"/>
      </w:rP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2026-10-18T17:05:51.473Z</dcterms:created>
  <dcterms:modified xsi:type="dcterms:W3CDTF">2026-10-18T17:05:51.475Z</dcterms:modified>
</cp:coreProperties>
</file>

<file path=docProps/custom.xml><?xml version="1.0" encoding="utf-8"?>
<Properties xmlns="http://schemas.openxmlformats.org/officeDocument/2006/custom-properties" xmlns:vt="http://schemas.openxmlformats.org/officeDocument/2006/docPropsVTypes"/>
</file>