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432" w:rsidRDefault="00793432">
      <w:pPr>
        <w:rPr>
          <w:rFonts w:hint="eastAsia"/>
        </w:rPr>
      </w:pPr>
      <w:r>
        <w:rPr>
          <w:rFonts w:hint="eastAsia"/>
        </w:rPr>
        <w:t>Docking Pre-processing</w:t>
      </w:r>
    </w:p>
    <w:p w:rsidR="00793432" w:rsidRDefault="00793432" w:rsidP="00793432">
      <w:pPr>
        <w:ind w:firstLine="400"/>
        <w:rPr>
          <w:rFonts w:hint="eastAsia"/>
          <w:sz w:val="20"/>
          <w:szCs w:val="20"/>
        </w:rPr>
      </w:pPr>
      <w:r w:rsidRPr="00793432">
        <w:rPr>
          <w:rFonts w:hint="eastAsia"/>
          <w:sz w:val="20"/>
          <w:szCs w:val="20"/>
        </w:rPr>
        <w:t xml:space="preserve">In our </w:t>
      </w:r>
      <w:r w:rsidRPr="00793432">
        <w:rPr>
          <w:sz w:val="20"/>
          <w:szCs w:val="20"/>
        </w:rPr>
        <w:t>project</w:t>
      </w:r>
      <w:r w:rsidRPr="00793432">
        <w:rPr>
          <w:rFonts w:hint="eastAsia"/>
          <w:sz w:val="20"/>
          <w:szCs w:val="20"/>
        </w:rPr>
        <w:t xml:space="preserve">, we choose T50 and T53 as our targets. In T50, the given initial file contains all receptor and ligand </w:t>
      </w:r>
      <w:r w:rsidRPr="00793432">
        <w:rPr>
          <w:sz w:val="20"/>
          <w:szCs w:val="20"/>
        </w:rPr>
        <w:t>information</w:t>
      </w:r>
      <w:r w:rsidRPr="00793432">
        <w:rPr>
          <w:rFonts w:hint="eastAsia"/>
          <w:sz w:val="20"/>
          <w:szCs w:val="20"/>
        </w:rPr>
        <w:t xml:space="preserve">, so we need spilt them into two </w:t>
      </w:r>
      <w:proofErr w:type="spellStart"/>
      <w:r w:rsidRPr="00793432">
        <w:rPr>
          <w:rFonts w:hint="eastAsia"/>
          <w:sz w:val="20"/>
          <w:szCs w:val="20"/>
        </w:rPr>
        <w:t>pdb</w:t>
      </w:r>
      <w:proofErr w:type="spellEnd"/>
      <w:r w:rsidRPr="00793432">
        <w:rPr>
          <w:rFonts w:hint="eastAsia"/>
          <w:sz w:val="20"/>
          <w:szCs w:val="20"/>
        </w:rPr>
        <w:t xml:space="preserve"> files so </w:t>
      </w:r>
      <w:r w:rsidRPr="00793432">
        <w:rPr>
          <w:sz w:val="20"/>
          <w:szCs w:val="20"/>
        </w:rPr>
        <w:t>that</w:t>
      </w:r>
      <w:r w:rsidRPr="00793432">
        <w:rPr>
          <w:rFonts w:hint="eastAsia"/>
          <w:sz w:val="20"/>
          <w:szCs w:val="20"/>
        </w:rPr>
        <w:t xml:space="preserve"> we can dock them. Chain A and B are the structure of the receptor and Chain C is the structure of </w:t>
      </w:r>
      <w:r w:rsidRPr="00793432">
        <w:rPr>
          <w:sz w:val="20"/>
          <w:szCs w:val="20"/>
        </w:rPr>
        <w:t>ligand</w:t>
      </w:r>
      <w:r w:rsidRPr="00793432">
        <w:rPr>
          <w:rFonts w:hint="eastAsia"/>
          <w:sz w:val="20"/>
          <w:szCs w:val="20"/>
        </w:rPr>
        <w:t xml:space="preserve">. As for T53, CAPRI only provides the structure of receptor. We are given the sequence of the ligand, so we have to predict the structure before we </w:t>
      </w:r>
      <w:r w:rsidRPr="00793432">
        <w:rPr>
          <w:sz w:val="20"/>
          <w:szCs w:val="20"/>
        </w:rPr>
        <w:t>can</w:t>
      </w:r>
      <w:r w:rsidRPr="00793432">
        <w:rPr>
          <w:rFonts w:hint="eastAsia"/>
          <w:sz w:val="20"/>
          <w:szCs w:val="20"/>
        </w:rPr>
        <w:t xml:space="preserve"> dock them. In our </w:t>
      </w:r>
      <w:r w:rsidRPr="00793432">
        <w:rPr>
          <w:sz w:val="20"/>
          <w:szCs w:val="20"/>
        </w:rPr>
        <w:t>project</w:t>
      </w:r>
      <w:r w:rsidRPr="00793432">
        <w:rPr>
          <w:rFonts w:hint="eastAsia"/>
          <w:sz w:val="20"/>
          <w:szCs w:val="20"/>
        </w:rPr>
        <w:t xml:space="preserve">, we predicted the structure of ligand of T53 by </w:t>
      </w:r>
      <w:proofErr w:type="spellStart"/>
      <w:r w:rsidRPr="00793432">
        <w:rPr>
          <w:rFonts w:hint="eastAsia"/>
          <w:sz w:val="20"/>
          <w:szCs w:val="20"/>
        </w:rPr>
        <w:t>MuFold</w:t>
      </w:r>
      <w:proofErr w:type="spellEnd"/>
      <w:r w:rsidRPr="00793432">
        <w:rPr>
          <w:rFonts w:hint="eastAsia"/>
          <w:sz w:val="20"/>
          <w:szCs w:val="20"/>
        </w:rPr>
        <w:t xml:space="preserve"> server. </w:t>
      </w:r>
    </w:p>
    <w:p w:rsidR="00793432" w:rsidRDefault="00793432" w:rsidP="00793432">
      <w:pPr>
        <w:rPr>
          <w:rFonts w:hint="eastAsia"/>
          <w:sz w:val="20"/>
          <w:szCs w:val="20"/>
        </w:rPr>
      </w:pPr>
    </w:p>
    <w:p w:rsidR="00793432" w:rsidRPr="00793432" w:rsidRDefault="00793432" w:rsidP="00793432">
      <w:pPr>
        <w:rPr>
          <w:rFonts w:hint="eastAsia"/>
        </w:rPr>
      </w:pPr>
      <w:r w:rsidRPr="00793432">
        <w:rPr>
          <w:rFonts w:hint="eastAsia"/>
        </w:rPr>
        <w:t>Hex</w:t>
      </w:r>
    </w:p>
    <w:p w:rsidR="00793432" w:rsidRPr="00793432" w:rsidRDefault="00793432" w:rsidP="00793432">
      <w:pPr>
        <w:widowControl/>
        <w:jc w:val="left"/>
        <w:rPr>
          <w:rFonts w:asciiTheme="majorHAnsi" w:eastAsia="Times New Roman" w:hAnsiTheme="majorHAnsi" w:cs="Times New Roman"/>
          <w:kern w:val="0"/>
          <w:sz w:val="20"/>
          <w:szCs w:val="20"/>
        </w:rPr>
      </w:pPr>
      <w:r>
        <w:rPr>
          <w:rFonts w:asciiTheme="majorHAnsi" w:eastAsia="Times New Roman" w:hAnsiTheme="majorHAnsi" w:cs="Times New Roman" w:hint="eastAsia"/>
          <w:color w:val="444444"/>
          <w:kern w:val="0"/>
          <w:sz w:val="20"/>
          <w:szCs w:val="20"/>
          <w:shd w:val="clear" w:color="auto" w:fill="FFFFFF"/>
        </w:rPr>
        <w:t xml:space="preserve">    </w:t>
      </w:r>
      <w:r w:rsidRPr="00793432">
        <w:rPr>
          <w:rFonts w:asciiTheme="majorHAnsi" w:eastAsia="Times New Roman" w:hAnsiTheme="majorHAnsi" w:cs="Times New Roman"/>
          <w:color w:val="444444"/>
          <w:kern w:val="0"/>
          <w:sz w:val="20"/>
          <w:szCs w:val="20"/>
          <w:shd w:val="clear" w:color="auto" w:fill="FFFFFF"/>
        </w:rPr>
        <w:t xml:space="preserve">Hex server is the first Fourier transform (FFT)-based </w:t>
      </w:r>
      <w:proofErr w:type="gramStart"/>
      <w:r w:rsidRPr="00793432">
        <w:rPr>
          <w:rFonts w:asciiTheme="majorHAnsi" w:eastAsia="Times New Roman" w:hAnsiTheme="majorHAnsi" w:cs="Times New Roman"/>
          <w:color w:val="444444"/>
          <w:kern w:val="0"/>
          <w:sz w:val="20"/>
          <w:szCs w:val="20"/>
          <w:shd w:val="clear" w:color="auto" w:fill="FFFFFF"/>
        </w:rPr>
        <w:t>protein docking</w:t>
      </w:r>
      <w:proofErr w:type="gramEnd"/>
      <w:r w:rsidRPr="00793432">
        <w:rPr>
          <w:rFonts w:asciiTheme="majorHAnsi" w:eastAsia="Times New Roman" w:hAnsiTheme="majorHAnsi" w:cs="Times New Roman"/>
          <w:color w:val="444444"/>
          <w:kern w:val="0"/>
          <w:sz w:val="20"/>
          <w:szCs w:val="20"/>
          <w:shd w:val="clear" w:color="auto" w:fill="FFFFFF"/>
        </w:rPr>
        <w:t xml:space="preserve"> server to be powered by graphics processors. Using two graphics processors simultaneously, a typical </w:t>
      </w:r>
      <w:proofErr w:type="gramStart"/>
      <w:r w:rsidRPr="00793432">
        <w:rPr>
          <w:rFonts w:asciiTheme="majorHAnsi" w:eastAsia="Times New Roman" w:hAnsiTheme="majorHAnsi" w:cs="Times New Roman"/>
          <w:color w:val="444444"/>
          <w:kern w:val="0"/>
          <w:sz w:val="20"/>
          <w:szCs w:val="20"/>
          <w:shd w:val="clear" w:color="auto" w:fill="FFFFFF"/>
        </w:rPr>
        <w:t>6D docking</w:t>
      </w:r>
      <w:proofErr w:type="gramEnd"/>
      <w:r w:rsidRPr="00793432">
        <w:rPr>
          <w:rFonts w:asciiTheme="majorHAnsi" w:eastAsia="Times New Roman" w:hAnsiTheme="majorHAnsi" w:cs="Times New Roman"/>
          <w:color w:val="444444"/>
          <w:kern w:val="0"/>
          <w:sz w:val="20"/>
          <w:szCs w:val="20"/>
          <w:shd w:val="clear" w:color="auto" w:fill="FFFFFF"/>
        </w:rPr>
        <w:t xml:space="preserve"> run takes </w:t>
      </w:r>
      <w:r w:rsidRPr="00793432">
        <w:rPr>
          <w:rFonts w:ascii="Monaco" w:eastAsia="Times New Roman" w:hAnsi="Monaco" w:cs="Monaco"/>
          <w:color w:val="444444"/>
          <w:kern w:val="0"/>
          <w:sz w:val="20"/>
          <w:szCs w:val="20"/>
          <w:shd w:val="clear" w:color="auto" w:fill="FFFFFF"/>
        </w:rPr>
        <w:t>∼</w:t>
      </w:r>
      <w:r w:rsidRPr="00793432">
        <w:rPr>
          <w:rFonts w:asciiTheme="majorHAnsi" w:eastAsia="Times New Roman" w:hAnsiTheme="majorHAnsi" w:cs="Times New Roman"/>
          <w:color w:val="444444"/>
          <w:kern w:val="0"/>
          <w:sz w:val="20"/>
          <w:szCs w:val="20"/>
          <w:shd w:val="clear" w:color="auto" w:fill="FFFFFF"/>
        </w:rPr>
        <w:t>15 s, which is up to two orders of magnitude faster than conventional FFT-based docking approaches using comparable resolution and scoring functions. The server requires two protein structures in PDB format to be uploaded, and it produces a ranked list of up to 1000 docking predictions. Knowledge of one or both protein binding sites may be used to focus and shorten the calculation when such information is available. The first 20 predictions may be accessed individually, and a single file of all predicted orientations may be downloaded as a compressed multi-model PDB file. The server is publicly available and does not require any registration or identification by the user.</w:t>
      </w:r>
    </w:p>
    <w:p w:rsidR="00793432" w:rsidRPr="00793432" w:rsidRDefault="00793432" w:rsidP="00793432">
      <w:pPr>
        <w:rPr>
          <w:rFonts w:hint="eastAsia"/>
          <w:sz w:val="20"/>
          <w:szCs w:val="20"/>
        </w:rPr>
      </w:pPr>
    </w:p>
    <w:p w:rsidR="00793432" w:rsidRDefault="00D678C0">
      <w:pPr>
        <w:rPr>
          <w:rFonts w:hint="eastAsia"/>
        </w:rPr>
      </w:pPr>
      <w:r>
        <w:t>Evaluation</w:t>
      </w:r>
    </w:p>
    <w:p w:rsidR="005821F0" w:rsidRDefault="005821F0">
      <w:pPr>
        <w:rPr>
          <w:rFonts w:hint="eastAsia"/>
        </w:rPr>
      </w:pPr>
      <w:r>
        <w:rPr>
          <w:rFonts w:hint="eastAsia"/>
        </w:rPr>
        <w:t xml:space="preserve">After we generate decoys from three servers, we only pick up one best decoy as our evaluation target. We use TM-score and </w:t>
      </w:r>
      <w:proofErr w:type="gramStart"/>
      <w:r>
        <w:rPr>
          <w:rFonts w:hint="eastAsia"/>
        </w:rPr>
        <w:t>RMSD(</w:t>
      </w:r>
      <w:proofErr w:type="gramEnd"/>
      <w:r>
        <w:rPr>
          <w:rFonts w:hint="eastAsia"/>
        </w:rPr>
        <w:t xml:space="preserve">overall) as our score functions. The following are two </w:t>
      </w:r>
      <w:r>
        <w:t>result</w:t>
      </w:r>
      <w:r>
        <w:rPr>
          <w:rFonts w:hint="eastAsia"/>
        </w:rPr>
        <w:t xml:space="preserve"> tables:</w:t>
      </w:r>
    </w:p>
    <w:p w:rsidR="005821F0" w:rsidRDefault="005821F0">
      <w:pPr>
        <w:rPr>
          <w:rFonts w:hint="eastAsia"/>
        </w:rPr>
      </w:pPr>
    </w:p>
    <w:p w:rsidR="00D678C0" w:rsidRDefault="00D678C0">
      <w:proofErr w:type="gramStart"/>
      <w:r>
        <w:t>T50(</w:t>
      </w:r>
      <w:proofErr w:type="gramEnd"/>
      <w:r>
        <w:t>top one)</w:t>
      </w:r>
    </w:p>
    <w:p w:rsidR="00D678C0" w:rsidRDefault="00D678C0"/>
    <w:tbl>
      <w:tblPr>
        <w:tblStyle w:val="a3"/>
        <w:tblW w:w="0" w:type="auto"/>
        <w:tblLook w:val="04A0" w:firstRow="1" w:lastRow="0" w:firstColumn="1" w:lastColumn="0" w:noHBand="0" w:noVBand="1"/>
      </w:tblPr>
      <w:tblGrid>
        <w:gridCol w:w="2163"/>
        <w:gridCol w:w="2393"/>
        <w:gridCol w:w="2150"/>
        <w:gridCol w:w="2150"/>
      </w:tblGrid>
      <w:tr w:rsidR="00D678C0" w:rsidTr="00D678C0">
        <w:tc>
          <w:tcPr>
            <w:tcW w:w="2214" w:type="dxa"/>
          </w:tcPr>
          <w:p w:rsidR="00D678C0" w:rsidRDefault="00D678C0"/>
        </w:tc>
        <w:tc>
          <w:tcPr>
            <w:tcW w:w="2214" w:type="dxa"/>
          </w:tcPr>
          <w:p w:rsidR="00D678C0" w:rsidRDefault="00D678C0">
            <w:proofErr w:type="spellStart"/>
            <w:r>
              <w:t>Cluspro</w:t>
            </w:r>
            <w:proofErr w:type="spellEnd"/>
          </w:p>
        </w:tc>
        <w:tc>
          <w:tcPr>
            <w:tcW w:w="2214" w:type="dxa"/>
          </w:tcPr>
          <w:p w:rsidR="00D678C0" w:rsidRDefault="00D678C0">
            <w:proofErr w:type="spellStart"/>
            <w:r>
              <w:t>ZDock</w:t>
            </w:r>
            <w:proofErr w:type="spellEnd"/>
          </w:p>
        </w:tc>
        <w:tc>
          <w:tcPr>
            <w:tcW w:w="2214" w:type="dxa"/>
          </w:tcPr>
          <w:p w:rsidR="00D678C0" w:rsidRDefault="00D678C0">
            <w:r>
              <w:t>Hex</w:t>
            </w:r>
          </w:p>
        </w:tc>
      </w:tr>
      <w:tr w:rsidR="00D678C0" w:rsidTr="00D678C0">
        <w:tc>
          <w:tcPr>
            <w:tcW w:w="2214" w:type="dxa"/>
          </w:tcPr>
          <w:p w:rsidR="00D678C0" w:rsidRDefault="00D678C0">
            <w:r>
              <w:t>TM-Score</w:t>
            </w:r>
          </w:p>
        </w:tc>
        <w:tc>
          <w:tcPr>
            <w:tcW w:w="2214" w:type="dxa"/>
          </w:tcPr>
          <w:p w:rsidR="00D678C0" w:rsidRDefault="00F46573">
            <w:r>
              <w:t>1.0177(</w:t>
            </w:r>
            <w:proofErr w:type="gramStart"/>
            <w:r>
              <w:t>Impossible</w:t>
            </w:r>
            <w:r>
              <w:rPr>
                <w:rFonts w:hint="eastAsia"/>
              </w:rPr>
              <w:t xml:space="preserve"> ?</w:t>
            </w:r>
            <w:proofErr w:type="gramEnd"/>
            <w:r>
              <w:t>)</w:t>
            </w:r>
          </w:p>
        </w:tc>
        <w:tc>
          <w:tcPr>
            <w:tcW w:w="2214" w:type="dxa"/>
          </w:tcPr>
          <w:p w:rsidR="00D678C0" w:rsidRDefault="00F46573">
            <w:r>
              <w:t>0.1490</w:t>
            </w:r>
          </w:p>
        </w:tc>
        <w:tc>
          <w:tcPr>
            <w:tcW w:w="2214" w:type="dxa"/>
          </w:tcPr>
          <w:p w:rsidR="00D678C0" w:rsidRDefault="00F4206F">
            <w:r>
              <w:t>0.9941</w:t>
            </w:r>
          </w:p>
        </w:tc>
      </w:tr>
      <w:tr w:rsidR="00D678C0" w:rsidTr="00D678C0">
        <w:tc>
          <w:tcPr>
            <w:tcW w:w="2214" w:type="dxa"/>
          </w:tcPr>
          <w:p w:rsidR="00D678C0" w:rsidRDefault="00D678C0">
            <w:r>
              <w:t>RMSD</w:t>
            </w:r>
          </w:p>
        </w:tc>
        <w:tc>
          <w:tcPr>
            <w:tcW w:w="2214" w:type="dxa"/>
          </w:tcPr>
          <w:p w:rsidR="00D678C0" w:rsidRDefault="00F46573" w:rsidP="00F46573">
            <w:pPr>
              <w:tabs>
                <w:tab w:val="center" w:pos="999"/>
              </w:tabs>
            </w:pPr>
            <w:r>
              <w:t>34.123</w:t>
            </w:r>
          </w:p>
        </w:tc>
        <w:tc>
          <w:tcPr>
            <w:tcW w:w="2214" w:type="dxa"/>
          </w:tcPr>
          <w:p w:rsidR="00D678C0" w:rsidRDefault="00F46573">
            <w:r>
              <w:t>25.304</w:t>
            </w:r>
          </w:p>
        </w:tc>
        <w:tc>
          <w:tcPr>
            <w:tcW w:w="2214" w:type="dxa"/>
          </w:tcPr>
          <w:p w:rsidR="00D678C0" w:rsidRDefault="00F4206F">
            <w:r>
              <w:t>0.514</w:t>
            </w:r>
          </w:p>
        </w:tc>
      </w:tr>
    </w:tbl>
    <w:p w:rsidR="00D678C0" w:rsidRDefault="00D678C0"/>
    <w:p w:rsidR="00793432" w:rsidRDefault="005821F0">
      <w:pPr>
        <w:rPr>
          <w:rFonts w:hint="eastAsia"/>
        </w:rPr>
      </w:pPr>
      <w:proofErr w:type="gramStart"/>
      <w:r>
        <w:rPr>
          <w:rFonts w:hint="eastAsia"/>
        </w:rPr>
        <w:t>T53(</w:t>
      </w:r>
      <w:proofErr w:type="gramEnd"/>
      <w:r>
        <w:rPr>
          <w:rFonts w:hint="eastAsia"/>
        </w:rPr>
        <w:t>top one)</w:t>
      </w:r>
    </w:p>
    <w:tbl>
      <w:tblPr>
        <w:tblStyle w:val="a3"/>
        <w:tblW w:w="0" w:type="auto"/>
        <w:tblLook w:val="04A0" w:firstRow="1" w:lastRow="0" w:firstColumn="1" w:lastColumn="0" w:noHBand="0" w:noVBand="1"/>
      </w:tblPr>
      <w:tblGrid>
        <w:gridCol w:w="2214"/>
        <w:gridCol w:w="2214"/>
        <w:gridCol w:w="2214"/>
        <w:gridCol w:w="2214"/>
      </w:tblGrid>
      <w:tr w:rsidR="00F46573" w:rsidTr="00F46573">
        <w:tc>
          <w:tcPr>
            <w:tcW w:w="2214" w:type="dxa"/>
          </w:tcPr>
          <w:p w:rsidR="00F46573" w:rsidRDefault="00F46573"/>
        </w:tc>
        <w:tc>
          <w:tcPr>
            <w:tcW w:w="2214" w:type="dxa"/>
          </w:tcPr>
          <w:p w:rsidR="00F46573" w:rsidRDefault="00F46573">
            <w:pPr>
              <w:rPr>
                <w:rFonts w:hint="eastAsia"/>
              </w:rPr>
            </w:pPr>
            <w:proofErr w:type="spellStart"/>
            <w:r>
              <w:rPr>
                <w:rFonts w:hint="eastAsia"/>
              </w:rPr>
              <w:t>Cluspro</w:t>
            </w:r>
            <w:proofErr w:type="spellEnd"/>
          </w:p>
        </w:tc>
        <w:tc>
          <w:tcPr>
            <w:tcW w:w="2214" w:type="dxa"/>
          </w:tcPr>
          <w:p w:rsidR="00F46573" w:rsidRDefault="00F46573">
            <w:pPr>
              <w:rPr>
                <w:rFonts w:hint="eastAsia"/>
              </w:rPr>
            </w:pPr>
            <w:proofErr w:type="spellStart"/>
            <w:r>
              <w:rPr>
                <w:rFonts w:hint="eastAsia"/>
              </w:rPr>
              <w:t>ZDock</w:t>
            </w:r>
            <w:proofErr w:type="spellEnd"/>
          </w:p>
        </w:tc>
        <w:tc>
          <w:tcPr>
            <w:tcW w:w="2214" w:type="dxa"/>
          </w:tcPr>
          <w:p w:rsidR="00F46573" w:rsidRDefault="00F46573">
            <w:pPr>
              <w:rPr>
                <w:rFonts w:hint="eastAsia"/>
              </w:rPr>
            </w:pPr>
            <w:r>
              <w:rPr>
                <w:rFonts w:hint="eastAsia"/>
              </w:rPr>
              <w:t>Hex</w:t>
            </w:r>
          </w:p>
        </w:tc>
      </w:tr>
      <w:tr w:rsidR="00F46573" w:rsidTr="00F46573">
        <w:tc>
          <w:tcPr>
            <w:tcW w:w="2214" w:type="dxa"/>
          </w:tcPr>
          <w:p w:rsidR="00F46573" w:rsidRDefault="00F46573">
            <w:pPr>
              <w:rPr>
                <w:rFonts w:hint="eastAsia"/>
              </w:rPr>
            </w:pPr>
            <w:r>
              <w:rPr>
                <w:rFonts w:hint="eastAsia"/>
              </w:rPr>
              <w:t>TM-score</w:t>
            </w:r>
          </w:p>
        </w:tc>
        <w:tc>
          <w:tcPr>
            <w:tcW w:w="2214" w:type="dxa"/>
          </w:tcPr>
          <w:p w:rsidR="00F46573" w:rsidRDefault="005821F0">
            <w:pPr>
              <w:rPr>
                <w:rFonts w:hint="eastAsia"/>
              </w:rPr>
            </w:pPr>
            <w:r>
              <w:rPr>
                <w:rFonts w:hint="eastAsia"/>
              </w:rPr>
              <w:t>0.7539</w:t>
            </w:r>
          </w:p>
        </w:tc>
        <w:tc>
          <w:tcPr>
            <w:tcW w:w="2214" w:type="dxa"/>
          </w:tcPr>
          <w:p w:rsidR="00F46573" w:rsidRDefault="005B5A82">
            <w:pPr>
              <w:rPr>
                <w:rFonts w:hint="eastAsia"/>
              </w:rPr>
            </w:pPr>
            <w:r>
              <w:rPr>
                <w:rFonts w:hint="eastAsia"/>
              </w:rPr>
              <w:t>0.8420</w:t>
            </w:r>
          </w:p>
        </w:tc>
        <w:tc>
          <w:tcPr>
            <w:tcW w:w="2214" w:type="dxa"/>
          </w:tcPr>
          <w:p w:rsidR="00F46573" w:rsidRDefault="00F46573">
            <w:pPr>
              <w:rPr>
                <w:rFonts w:hint="eastAsia"/>
              </w:rPr>
            </w:pPr>
            <w:r>
              <w:rPr>
                <w:rFonts w:hint="eastAsia"/>
              </w:rPr>
              <w:t>0.2418</w:t>
            </w:r>
          </w:p>
        </w:tc>
      </w:tr>
      <w:tr w:rsidR="00F46573" w:rsidTr="00F46573">
        <w:tc>
          <w:tcPr>
            <w:tcW w:w="2214" w:type="dxa"/>
          </w:tcPr>
          <w:p w:rsidR="00F46573" w:rsidRDefault="00F46573">
            <w:pPr>
              <w:rPr>
                <w:rFonts w:hint="eastAsia"/>
              </w:rPr>
            </w:pPr>
            <w:r>
              <w:rPr>
                <w:rFonts w:hint="eastAsia"/>
              </w:rPr>
              <w:t>RMSD</w:t>
            </w:r>
          </w:p>
        </w:tc>
        <w:tc>
          <w:tcPr>
            <w:tcW w:w="2214" w:type="dxa"/>
          </w:tcPr>
          <w:p w:rsidR="00F46573" w:rsidRDefault="005821F0">
            <w:pPr>
              <w:rPr>
                <w:rFonts w:hint="eastAsia"/>
              </w:rPr>
            </w:pPr>
            <w:r>
              <w:rPr>
                <w:rFonts w:hint="eastAsia"/>
              </w:rPr>
              <w:t>16.898</w:t>
            </w:r>
          </w:p>
        </w:tc>
        <w:tc>
          <w:tcPr>
            <w:tcW w:w="2214" w:type="dxa"/>
          </w:tcPr>
          <w:p w:rsidR="00F46573" w:rsidRDefault="005B5A82">
            <w:pPr>
              <w:rPr>
                <w:rFonts w:hint="eastAsia"/>
              </w:rPr>
            </w:pPr>
            <w:r>
              <w:rPr>
                <w:rFonts w:hint="eastAsia"/>
              </w:rPr>
              <w:t>16.637</w:t>
            </w:r>
          </w:p>
        </w:tc>
        <w:tc>
          <w:tcPr>
            <w:tcW w:w="2214" w:type="dxa"/>
          </w:tcPr>
          <w:p w:rsidR="00F46573" w:rsidRDefault="00F46573">
            <w:pPr>
              <w:rPr>
                <w:rFonts w:hint="eastAsia"/>
              </w:rPr>
            </w:pPr>
            <w:r>
              <w:rPr>
                <w:rFonts w:hint="eastAsia"/>
              </w:rPr>
              <w:t>8.712</w:t>
            </w:r>
          </w:p>
        </w:tc>
      </w:tr>
    </w:tbl>
    <w:p w:rsidR="00F46573" w:rsidRDefault="00F46573">
      <w:pPr>
        <w:rPr>
          <w:rFonts w:hint="eastAsia"/>
        </w:rPr>
      </w:pPr>
    </w:p>
    <w:p w:rsidR="00C83DC1" w:rsidRDefault="00C83DC1">
      <w:pPr>
        <w:rPr>
          <w:rFonts w:hint="eastAsia"/>
        </w:rPr>
      </w:pPr>
      <w:r>
        <w:rPr>
          <w:rFonts w:hint="eastAsia"/>
        </w:rPr>
        <w:t xml:space="preserve">Since the format of </w:t>
      </w:r>
      <w:proofErr w:type="spellStart"/>
      <w:r>
        <w:rPr>
          <w:rFonts w:hint="eastAsia"/>
        </w:rPr>
        <w:t>Cluspro</w:t>
      </w:r>
      <w:proofErr w:type="spellEnd"/>
      <w:r>
        <w:rPr>
          <w:rFonts w:hint="eastAsia"/>
        </w:rPr>
        <w:t xml:space="preserve"> server has some problems, it causes some issues when we calculate TM-score. So results may be generated again after we do some further work.</w:t>
      </w:r>
    </w:p>
    <w:p w:rsidR="00033D97" w:rsidRDefault="00033D97">
      <w:pPr>
        <w:rPr>
          <w:rFonts w:hint="eastAsia"/>
        </w:rPr>
      </w:pPr>
    </w:p>
    <w:p w:rsidR="00033D97" w:rsidRDefault="003E68BA">
      <w:pPr>
        <w:rPr>
          <w:rFonts w:hint="eastAsia"/>
        </w:rPr>
      </w:pPr>
      <w:r>
        <w:rPr>
          <w:rFonts w:hint="eastAsia"/>
        </w:rPr>
        <w:t xml:space="preserve">Also we still drew two </w:t>
      </w:r>
      <w:r>
        <w:t>histograms</w:t>
      </w:r>
      <w:r>
        <w:rPr>
          <w:rFonts w:hint="eastAsia"/>
        </w:rPr>
        <w:t xml:space="preserve"> to </w:t>
      </w:r>
      <w:r w:rsidR="003B1B53">
        <w:rPr>
          <w:rFonts w:hint="eastAsia"/>
        </w:rPr>
        <w:t xml:space="preserve">compare the </w:t>
      </w:r>
      <w:r w:rsidR="003B1B53">
        <w:t>performance</w:t>
      </w:r>
      <w:r w:rsidR="003B1B53">
        <w:rPr>
          <w:rFonts w:hint="eastAsia"/>
        </w:rPr>
        <w:t xml:space="preserve"> of three servers. But we also found none of three </w:t>
      </w:r>
      <w:r w:rsidR="003B1B53">
        <w:t>can</w:t>
      </w:r>
      <w:r w:rsidR="003B1B53">
        <w:rPr>
          <w:rFonts w:hint="eastAsia"/>
        </w:rPr>
        <w:t xml:space="preserve"> do all great job on both two targets, so we need try </w:t>
      </w:r>
      <w:r w:rsidR="003B1B53">
        <w:rPr>
          <w:rFonts w:hint="eastAsia"/>
        </w:rPr>
        <w:lastRenderedPageBreak/>
        <w:t>more targets and run tests.</w:t>
      </w:r>
      <w:bookmarkStart w:id="0" w:name="_GoBack"/>
      <w:bookmarkEnd w:id="0"/>
    </w:p>
    <w:p w:rsidR="00033D97" w:rsidRDefault="00033D97">
      <w:pPr>
        <w:rPr>
          <w:rFonts w:hint="eastAsia"/>
        </w:rPr>
      </w:pPr>
    </w:p>
    <w:p w:rsidR="003E68BA" w:rsidRDefault="003E68BA">
      <w:pPr>
        <w:rPr>
          <w:rFonts w:hint="eastAsia"/>
        </w:rPr>
      </w:pPr>
      <w:r>
        <w:rPr>
          <w:rFonts w:hint="eastAsia"/>
        </w:rPr>
        <w:t xml:space="preserve">T50 </w:t>
      </w:r>
    </w:p>
    <w:p w:rsidR="003E68BA" w:rsidRDefault="003E68BA">
      <w:pPr>
        <w:rPr>
          <w:rFonts w:hint="eastAsia"/>
        </w:rPr>
      </w:pPr>
      <w:r>
        <w:rPr>
          <w:noProof/>
        </w:rPr>
        <w:drawing>
          <wp:inline distT="0" distB="0" distL="0" distR="0" wp14:anchorId="71993102" wp14:editId="3F0FB03F">
            <wp:extent cx="2514600" cy="1820985"/>
            <wp:effectExtent l="0" t="0" r="25400" b="3365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hint="eastAsia"/>
        </w:rPr>
        <w:t xml:space="preserve"> </w:t>
      </w:r>
      <w:r>
        <w:rPr>
          <w:noProof/>
        </w:rPr>
        <w:drawing>
          <wp:inline distT="0" distB="0" distL="0" distR="0" wp14:anchorId="19D7628B" wp14:editId="5BA98196">
            <wp:extent cx="2523392" cy="1848485"/>
            <wp:effectExtent l="0" t="0" r="17145" b="311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E68BA" w:rsidRDefault="003E68BA">
      <w:pPr>
        <w:rPr>
          <w:rFonts w:hint="eastAsia"/>
        </w:rPr>
      </w:pPr>
    </w:p>
    <w:p w:rsidR="003E68BA" w:rsidRDefault="003E68BA">
      <w:pPr>
        <w:rPr>
          <w:rFonts w:hint="eastAsia"/>
        </w:rPr>
      </w:pPr>
      <w:r>
        <w:rPr>
          <w:rFonts w:hint="eastAsia"/>
        </w:rPr>
        <w:t>T53</w:t>
      </w:r>
    </w:p>
    <w:p w:rsidR="003E68BA" w:rsidRDefault="003E68BA">
      <w:pPr>
        <w:rPr>
          <w:rFonts w:hint="eastAsia"/>
        </w:rPr>
      </w:pPr>
      <w:r>
        <w:rPr>
          <w:noProof/>
        </w:rPr>
        <w:drawing>
          <wp:inline distT="0" distB="0" distL="0" distR="0" wp14:anchorId="397963D9" wp14:editId="52297716">
            <wp:extent cx="2514600" cy="2122854"/>
            <wp:effectExtent l="0" t="0" r="25400" b="3619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hint="eastAsia"/>
        </w:rPr>
        <w:t xml:space="preserve">  </w:t>
      </w:r>
      <w:r>
        <w:rPr>
          <w:noProof/>
        </w:rPr>
        <w:drawing>
          <wp:inline distT="0" distB="0" distL="0" distR="0" wp14:anchorId="19DDAEB1" wp14:editId="1458A2FF">
            <wp:extent cx="2681654" cy="2087685"/>
            <wp:effectExtent l="0" t="0" r="36195" b="2095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3E68BA" w:rsidSect="00C75447">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32"/>
    <w:rsid w:val="00033D97"/>
    <w:rsid w:val="003B1B53"/>
    <w:rsid w:val="003E68BA"/>
    <w:rsid w:val="005821F0"/>
    <w:rsid w:val="005B5A82"/>
    <w:rsid w:val="00793432"/>
    <w:rsid w:val="00C75447"/>
    <w:rsid w:val="00C83DC1"/>
    <w:rsid w:val="00D678C0"/>
    <w:rsid w:val="00F4206F"/>
    <w:rsid w:val="00F46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80B4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93432"/>
  </w:style>
  <w:style w:type="table" w:styleId="a3">
    <w:name w:val="Table Grid"/>
    <w:basedOn w:val="a1"/>
    <w:uiPriority w:val="59"/>
    <w:rsid w:val="00D678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33D97"/>
    <w:rPr>
      <w:rFonts w:ascii="Lucida Grande" w:hAnsi="Lucida Grande" w:cs="Lucida Grande"/>
      <w:sz w:val="18"/>
      <w:szCs w:val="18"/>
    </w:rPr>
  </w:style>
  <w:style w:type="character" w:customStyle="1" w:styleId="a5">
    <w:name w:val="批注框文本字符"/>
    <w:basedOn w:val="a0"/>
    <w:link w:val="a4"/>
    <w:uiPriority w:val="99"/>
    <w:semiHidden/>
    <w:rsid w:val="00033D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93432"/>
  </w:style>
  <w:style w:type="table" w:styleId="a3">
    <w:name w:val="Table Grid"/>
    <w:basedOn w:val="a1"/>
    <w:uiPriority w:val="59"/>
    <w:rsid w:val="00D678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33D97"/>
    <w:rPr>
      <w:rFonts w:ascii="Lucida Grande" w:hAnsi="Lucida Grande" w:cs="Lucida Grande"/>
      <w:sz w:val="18"/>
      <w:szCs w:val="18"/>
    </w:rPr>
  </w:style>
  <w:style w:type="character" w:customStyle="1" w:styleId="a5">
    <w:name w:val="批注框文本字符"/>
    <w:basedOn w:val="a0"/>
    <w:link w:val="a4"/>
    <w:uiPriority w:val="99"/>
    <w:semiHidden/>
    <w:rsid w:val="00033D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911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工作表1!$B$1</c:f>
              <c:strCache>
                <c:ptCount val="1"/>
                <c:pt idx="0">
                  <c:v>TM-Score</c:v>
                </c:pt>
              </c:strCache>
            </c:strRef>
          </c:tx>
          <c:invertIfNegative val="0"/>
          <c:cat>
            <c:strRef>
              <c:f>工作表1!$A$2:$A$4</c:f>
              <c:strCache>
                <c:ptCount val="3"/>
                <c:pt idx="0">
                  <c:v>Cluspro</c:v>
                </c:pt>
                <c:pt idx="1">
                  <c:v>Zdock</c:v>
                </c:pt>
                <c:pt idx="2">
                  <c:v>Hex</c:v>
                </c:pt>
              </c:strCache>
            </c:strRef>
          </c:cat>
          <c:val>
            <c:numRef>
              <c:f>工作表1!$B$2:$B$4</c:f>
              <c:numCache>
                <c:formatCode>General</c:formatCode>
                <c:ptCount val="3"/>
                <c:pt idx="0">
                  <c:v>1.0177</c:v>
                </c:pt>
                <c:pt idx="1">
                  <c:v>0.149</c:v>
                </c:pt>
                <c:pt idx="2">
                  <c:v>0.9941</c:v>
                </c:pt>
              </c:numCache>
            </c:numRef>
          </c:val>
        </c:ser>
        <c:dLbls>
          <c:showLegendKey val="0"/>
          <c:showVal val="0"/>
          <c:showCatName val="0"/>
          <c:showSerName val="0"/>
          <c:showPercent val="0"/>
          <c:showBubbleSize val="0"/>
        </c:dLbls>
        <c:gapWidth val="150"/>
        <c:shape val="box"/>
        <c:axId val="2129699736"/>
        <c:axId val="2129731480"/>
        <c:axId val="0"/>
      </c:bar3DChart>
      <c:catAx>
        <c:axId val="2129699736"/>
        <c:scaling>
          <c:orientation val="minMax"/>
        </c:scaling>
        <c:delete val="0"/>
        <c:axPos val="b"/>
        <c:majorTickMark val="out"/>
        <c:minorTickMark val="none"/>
        <c:tickLblPos val="nextTo"/>
        <c:crossAx val="2129731480"/>
        <c:crosses val="autoZero"/>
        <c:auto val="1"/>
        <c:lblAlgn val="ctr"/>
        <c:lblOffset val="100"/>
        <c:noMultiLvlLbl val="0"/>
      </c:catAx>
      <c:valAx>
        <c:axId val="2129731480"/>
        <c:scaling>
          <c:orientation val="minMax"/>
        </c:scaling>
        <c:delete val="0"/>
        <c:axPos val="l"/>
        <c:majorGridlines/>
        <c:numFmt formatCode="General" sourceLinked="1"/>
        <c:majorTickMark val="out"/>
        <c:minorTickMark val="none"/>
        <c:tickLblPos val="nextTo"/>
        <c:crossAx val="21296997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工作表1!$C$1</c:f>
              <c:strCache>
                <c:ptCount val="1"/>
                <c:pt idx="0">
                  <c:v>RMSD</c:v>
                </c:pt>
              </c:strCache>
            </c:strRef>
          </c:tx>
          <c:invertIfNegative val="0"/>
          <c:cat>
            <c:strRef>
              <c:f>工作表1!$A$2:$A$4</c:f>
              <c:strCache>
                <c:ptCount val="3"/>
                <c:pt idx="0">
                  <c:v>Cluspro</c:v>
                </c:pt>
                <c:pt idx="1">
                  <c:v>Zdock</c:v>
                </c:pt>
                <c:pt idx="2">
                  <c:v>Hex</c:v>
                </c:pt>
              </c:strCache>
            </c:strRef>
          </c:cat>
          <c:val>
            <c:numRef>
              <c:f>工作表1!$C$2:$C$4</c:f>
              <c:numCache>
                <c:formatCode>General</c:formatCode>
                <c:ptCount val="3"/>
                <c:pt idx="0">
                  <c:v>34.123</c:v>
                </c:pt>
                <c:pt idx="1">
                  <c:v>25.304</c:v>
                </c:pt>
                <c:pt idx="2">
                  <c:v>0.514</c:v>
                </c:pt>
              </c:numCache>
            </c:numRef>
          </c:val>
        </c:ser>
        <c:dLbls>
          <c:showLegendKey val="0"/>
          <c:showVal val="0"/>
          <c:showCatName val="0"/>
          <c:showSerName val="0"/>
          <c:showPercent val="0"/>
          <c:showBubbleSize val="0"/>
        </c:dLbls>
        <c:gapWidth val="150"/>
        <c:shape val="box"/>
        <c:axId val="2129773016"/>
        <c:axId val="2129706296"/>
        <c:axId val="0"/>
      </c:bar3DChart>
      <c:catAx>
        <c:axId val="2129773016"/>
        <c:scaling>
          <c:orientation val="minMax"/>
        </c:scaling>
        <c:delete val="0"/>
        <c:axPos val="b"/>
        <c:majorTickMark val="out"/>
        <c:minorTickMark val="none"/>
        <c:tickLblPos val="nextTo"/>
        <c:crossAx val="2129706296"/>
        <c:crosses val="autoZero"/>
        <c:auto val="1"/>
        <c:lblAlgn val="ctr"/>
        <c:lblOffset val="100"/>
        <c:noMultiLvlLbl val="0"/>
      </c:catAx>
      <c:valAx>
        <c:axId val="2129706296"/>
        <c:scaling>
          <c:orientation val="minMax"/>
        </c:scaling>
        <c:delete val="0"/>
        <c:axPos val="l"/>
        <c:majorGridlines/>
        <c:numFmt formatCode="General" sourceLinked="1"/>
        <c:majorTickMark val="out"/>
        <c:minorTickMark val="none"/>
        <c:tickLblPos val="nextTo"/>
        <c:crossAx val="21297730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工作表1!$G$1</c:f>
              <c:strCache>
                <c:ptCount val="1"/>
                <c:pt idx="0">
                  <c:v>TM-Score</c:v>
                </c:pt>
              </c:strCache>
            </c:strRef>
          </c:tx>
          <c:invertIfNegative val="0"/>
          <c:cat>
            <c:strRef>
              <c:f>工作表1!$F$2:$F$4</c:f>
              <c:strCache>
                <c:ptCount val="3"/>
                <c:pt idx="0">
                  <c:v>Cluspro</c:v>
                </c:pt>
                <c:pt idx="1">
                  <c:v>Zdock</c:v>
                </c:pt>
                <c:pt idx="2">
                  <c:v>Hex</c:v>
                </c:pt>
              </c:strCache>
            </c:strRef>
          </c:cat>
          <c:val>
            <c:numRef>
              <c:f>工作表1!$G$2:$G$4</c:f>
              <c:numCache>
                <c:formatCode>General</c:formatCode>
                <c:ptCount val="3"/>
                <c:pt idx="0">
                  <c:v>0.7539</c:v>
                </c:pt>
                <c:pt idx="1">
                  <c:v>0.842</c:v>
                </c:pt>
                <c:pt idx="2">
                  <c:v>0.2418</c:v>
                </c:pt>
              </c:numCache>
            </c:numRef>
          </c:val>
        </c:ser>
        <c:dLbls>
          <c:showLegendKey val="0"/>
          <c:showVal val="0"/>
          <c:showCatName val="0"/>
          <c:showSerName val="0"/>
          <c:showPercent val="0"/>
          <c:showBubbleSize val="0"/>
        </c:dLbls>
        <c:gapWidth val="150"/>
        <c:shape val="box"/>
        <c:axId val="2124657464"/>
        <c:axId val="2124642520"/>
        <c:axId val="0"/>
      </c:bar3DChart>
      <c:catAx>
        <c:axId val="2124657464"/>
        <c:scaling>
          <c:orientation val="minMax"/>
        </c:scaling>
        <c:delete val="0"/>
        <c:axPos val="b"/>
        <c:majorTickMark val="out"/>
        <c:minorTickMark val="none"/>
        <c:tickLblPos val="nextTo"/>
        <c:crossAx val="2124642520"/>
        <c:crosses val="autoZero"/>
        <c:auto val="1"/>
        <c:lblAlgn val="ctr"/>
        <c:lblOffset val="100"/>
        <c:noMultiLvlLbl val="0"/>
      </c:catAx>
      <c:valAx>
        <c:axId val="2124642520"/>
        <c:scaling>
          <c:orientation val="minMax"/>
        </c:scaling>
        <c:delete val="0"/>
        <c:axPos val="l"/>
        <c:majorGridlines/>
        <c:numFmt formatCode="General" sourceLinked="1"/>
        <c:majorTickMark val="out"/>
        <c:minorTickMark val="none"/>
        <c:tickLblPos val="nextTo"/>
        <c:crossAx val="21246574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工作表1!$H$1</c:f>
              <c:strCache>
                <c:ptCount val="1"/>
                <c:pt idx="0">
                  <c:v>RMSD</c:v>
                </c:pt>
              </c:strCache>
            </c:strRef>
          </c:tx>
          <c:invertIfNegative val="0"/>
          <c:cat>
            <c:strRef>
              <c:f>工作表1!$F$2:$F$4</c:f>
              <c:strCache>
                <c:ptCount val="3"/>
                <c:pt idx="0">
                  <c:v>Cluspro</c:v>
                </c:pt>
                <c:pt idx="1">
                  <c:v>Zdock</c:v>
                </c:pt>
                <c:pt idx="2">
                  <c:v>Hex</c:v>
                </c:pt>
              </c:strCache>
            </c:strRef>
          </c:cat>
          <c:val>
            <c:numRef>
              <c:f>工作表1!$H$2:$H$4</c:f>
              <c:numCache>
                <c:formatCode>General</c:formatCode>
                <c:ptCount val="3"/>
                <c:pt idx="0">
                  <c:v>16.898</c:v>
                </c:pt>
                <c:pt idx="1">
                  <c:v>16.637</c:v>
                </c:pt>
                <c:pt idx="2">
                  <c:v>8.712</c:v>
                </c:pt>
              </c:numCache>
            </c:numRef>
          </c:val>
        </c:ser>
        <c:dLbls>
          <c:showLegendKey val="0"/>
          <c:showVal val="0"/>
          <c:showCatName val="0"/>
          <c:showSerName val="0"/>
          <c:showPercent val="0"/>
          <c:showBubbleSize val="0"/>
        </c:dLbls>
        <c:gapWidth val="150"/>
        <c:shape val="box"/>
        <c:axId val="2125417864"/>
        <c:axId val="2125420808"/>
        <c:axId val="0"/>
      </c:bar3DChart>
      <c:catAx>
        <c:axId val="2125417864"/>
        <c:scaling>
          <c:orientation val="minMax"/>
        </c:scaling>
        <c:delete val="0"/>
        <c:axPos val="b"/>
        <c:majorTickMark val="out"/>
        <c:minorTickMark val="none"/>
        <c:tickLblPos val="nextTo"/>
        <c:crossAx val="2125420808"/>
        <c:crosses val="autoZero"/>
        <c:auto val="1"/>
        <c:lblAlgn val="ctr"/>
        <c:lblOffset val="100"/>
        <c:noMultiLvlLbl val="0"/>
      </c:catAx>
      <c:valAx>
        <c:axId val="2125420808"/>
        <c:scaling>
          <c:orientation val="minMax"/>
        </c:scaling>
        <c:delete val="0"/>
        <c:axPos val="l"/>
        <c:majorGridlines/>
        <c:numFmt formatCode="General" sourceLinked="1"/>
        <c:majorTickMark val="out"/>
        <c:minorTickMark val="none"/>
        <c:tickLblPos val="nextTo"/>
        <c:crossAx val="212541786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332</Words>
  <Characters>1893</Characters>
  <Application>Microsoft Macintosh Word</Application>
  <DocSecurity>0</DocSecurity>
  <Lines>15</Lines>
  <Paragraphs>4</Paragraphs>
  <ScaleCrop>false</ScaleCrop>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Xiaokai</dc:creator>
  <cp:keywords/>
  <dc:description/>
  <cp:lastModifiedBy>Qian Xiaokai</cp:lastModifiedBy>
  <cp:revision>1</cp:revision>
  <dcterms:created xsi:type="dcterms:W3CDTF">2014-04-06T23:31:00Z</dcterms:created>
  <dcterms:modified xsi:type="dcterms:W3CDTF">2014-04-07T03:48:00Z</dcterms:modified>
</cp:coreProperties>
</file>