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A4A"/>
          <w:sz w:val="36"/>
        </w:rPr>
        <w:t>RallySphere — Finix Sandbox Certification Evidence</w:t>
      </w:r>
    </w:p>
    <w:p>
      <w:pPr>
        <w:jc w:val="center"/>
      </w:pPr>
      <w:r>
        <w:rPr>
          <w:color w:val="555555"/>
        </w:rPr>
        <w:t>Prepared June 08, 2026  •  Environment: SANDBOX  •  Processor: DUMMY_V1</w:t>
      </w:r>
    </w:p>
    <w:p>
      <w:r>
        <w:t>This document summarizes how RallySphere satisfies each Finix sandbox certification data point, with live evidence captured from the Finix sandbox API. All transfer, payment-instrument, and reversal IDs below are real and viewable in the Finix sandbox dashboard.</w:t>
      </w:r>
    </w:p>
    <w:p>
      <w:r>
        <w:rPr>
          <w:b/>
        </w:rPr>
        <w:t xml:space="preserve">Platform merchant (sandbox): </w:t>
      </w:r>
      <w:r>
        <w:t>MUcA9pBCLMo4JBozsYrGD5VN</w:t>
      </w:r>
    </w:p>
    <w:p>
      <w:r>
        <w:rPr>
          <w:b/>
        </w:rPr>
        <w:t xml:space="preserve">Test card used: </w:t>
      </w:r>
      <w:r>
        <w:t>VISA ending 0006 (4895142232120006)</w:t>
      </w:r>
    </w:p>
    <w:p>
      <w:r>
        <w:rPr>
          <w:b/>
        </w:rPr>
        <w:t xml:space="preserve">Card tokenized via: </w:t>
      </w:r>
      <w:r>
        <w:t>Finix CardTokenForm (js.finix.com) — token TKtKAUeKfSk2qixXp36NgmSw</w:t>
      </w:r>
    </w:p>
    <w:p>
      <w:pPr>
        <w:pStyle w:val="Heading1"/>
      </w:pPr>
      <w:r>
        <w:rPr>
          <w:color w:val="0F2A4A"/>
        </w:rP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Certification data 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1. Onboarding process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Finix Hosted Onboarding Forms</w:t>
            </w:r>
          </w:p>
        </w:tc>
      </w:tr>
      <w:tr>
        <w:tc>
          <w:tcPr>
            <w:tcW w:type="dxa" w:w="4320"/>
          </w:tcPr>
          <w:p>
            <w:r>
              <w:t>2. Successful transaction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3. Failed transaction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4. Successful refund / reversal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5. Address verification (zip on PI)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6. Idempotency on API requests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7. Fraud Session ID on requests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 (passed top-level on web transfers)</w:t>
            </w:r>
          </w:p>
        </w:tc>
      </w:tr>
      <w:tr>
        <w:tc>
          <w:tcPr>
            <w:tcW w:type="dxa" w:w="4320"/>
          </w:tcPr>
          <w:p>
            <w:r>
              <w:t>8. Finix Tokenization Forms used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9. Webhooks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 (transfer, dispute, merchant onboarding)</w:t>
            </w:r>
          </w:p>
        </w:tc>
      </w:tr>
      <w:tr>
        <w:tc>
          <w:tcPr>
            <w:tcW w:type="dxa" w:w="4320"/>
          </w:tcPr>
          <w:p>
            <w:r>
              <w:t>10. ACH authorization + confirmation language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11. Testing returns / reversals</w:t>
            </w:r>
          </w:p>
        </w:tc>
        <w:tc>
          <w:tcPr>
            <w:tcW w:type="dxa" w:w="4320"/>
          </w:tcPr>
          <w:p>
            <w:r>
              <w:rPr>
                <w:b/>
                <w:color w:val="1B7F3B"/>
              </w:rPr>
              <w:t>PASS</w:t>
            </w:r>
          </w:p>
        </w:tc>
      </w:tr>
    </w:tbl>
    <w:p>
      <w:pPr>
        <w:pStyle w:val="Heading1"/>
      </w:pPr>
      <w:r>
        <w:rPr>
          <w:color w:val="0F2A4A"/>
        </w:rPr>
        <w:t>Evidence Detail</w:t>
      </w:r>
    </w:p>
    <w:p>
      <w:pPr>
        <w:pStyle w:val="Heading2"/>
      </w:pPr>
      <w:r>
        <w:rPr>
          <w:color w:val="0F2A4A"/>
        </w:rPr>
        <w:t>1. Onboarding process — Finix Hosted Onboarding Forms</w:t>
      </w:r>
    </w:p>
    <w:p>
      <w:r>
        <w:t>RallySphere uses Finix Hosted Onboarding Forms for sub-merchant (club) onboarding. The backend creates an Identity, then POSTs to /onboarding_forms and redirects the club admin to the Finix-hosted KYC URL. The form is configured to present the Terms of Service and the fee schedule, and Finix returns the underwritten merchant via webhook.</w:t>
      </w:r>
    </w:p>
    <w:p>
      <w:r>
        <w:rPr>
          <w:rFonts w:ascii="Consolas" w:hAnsi="Consolas"/>
          <w:color w:val="555555"/>
          <w:sz w:val="18"/>
        </w:rPr>
        <w:t>onboarding_link_details: { tos_acceptance: true, fee_ready: true, fee_details_url: ".../fees.html" }</w:t>
      </w:r>
    </w:p>
    <w:p>
      <w:pPr>
        <w:pStyle w:val="Heading2"/>
      </w:pPr>
      <w:r>
        <w:rPr>
          <w:color w:val="0F2A4A"/>
        </w:rPr>
        <w:t>2. Successful Transaction</w:t>
      </w:r>
    </w:p>
    <w:p>
      <w:r>
        <w:t>Card details were entered into the Finix CardTokenForm, which returned a token. The Payment Instrument was then created from that token (type: TOKEN), and the transfer was run against the token-sourced Payment Instrument — no raw card data was sent to the API.</w:t>
      </w:r>
    </w:p>
    <w:p>
      <w:r>
        <w:rPr>
          <w:b/>
        </w:rPr>
        <w:t xml:space="preserve">Finix token (from form): </w:t>
      </w:r>
      <w:r>
        <w:t>TKtKAUeKfSk2qixXp36NgmSw</w:t>
      </w:r>
    </w:p>
    <w:p>
      <w:r>
        <w:rPr>
          <w:b/>
        </w:rPr>
        <w:t xml:space="preserve">Payment Instrument (from token): </w:t>
      </w:r>
      <w:r>
        <w:t>PIpvTWyyeA6PaKL9b1tvjxpL</w:t>
      </w:r>
    </w:p>
    <w:p>
      <w:r>
        <w:rPr>
          <w:b/>
        </w:rPr>
        <w:t xml:space="preserve">Transfer ID: </w:t>
      </w:r>
      <w:r>
        <w:t>TRmBSW4iV1UjZBQqWkU5ACrW</w:t>
      </w:r>
    </w:p>
    <w:p>
      <w:r>
        <w:rPr>
          <w:b/>
        </w:rPr>
        <w:t xml:space="preserve">State: </w:t>
      </w:r>
      <w:r>
        <w:rPr>
          <w:b/>
          <w:color w:val="1B7F3B"/>
        </w:rPr>
        <w:t>SUCCEEDED</w:t>
      </w:r>
    </w:p>
    <w:p>
      <w:r>
        <w:rPr>
          <w:b/>
        </w:rPr>
        <w:t xml:space="preserve">Amount: </w:t>
      </w:r>
      <w:r>
        <w:t>$12.99 USD</w:t>
      </w:r>
    </w:p>
    <w:p>
      <w:r>
        <w:rPr>
          <w:b/>
        </w:rPr>
        <w:t xml:space="preserve">Idempotency ID: </w:t>
      </w:r>
      <w:r>
        <w:t>certtok-TKtKAUeKfSk2qixXp36NgmSw</w:t>
      </w:r>
    </w:p>
    <w:p>
      <w:r>
        <w:rPr>
          <w:b/>
        </w:rPr>
        <w:t xml:space="preserve">Trace ID: </w:t>
      </w:r>
      <w:r>
        <w:t>d4eb0cd5-1723-4cde-b195-ef47bd4e68a7</w:t>
      </w:r>
    </w:p>
    <w:p>
      <w:r>
        <w:rPr>
          <w:b/>
        </w:rPr>
        <w:t xml:space="preserve">Created: </w:t>
      </w:r>
      <w:r>
        <w:t>2026-06-08T20:14:28.37Z</w:t>
      </w:r>
    </w:p>
    <w:p>
      <w:pPr>
        <w:pStyle w:val="Heading2"/>
      </w:pPr>
      <w:r>
        <w:rPr>
          <w:color w:val="0F2A4A"/>
        </w:rPr>
        <w:t>3. Failed Transaction</w:t>
      </w:r>
    </w:p>
    <w:p>
      <w:r>
        <w:t>Created with the Finix decline-trigger amount of 102 cents (per Finix's Testing Your Integration guide). Finix returned a declined transfer.</w:t>
      </w:r>
    </w:p>
    <w:p>
      <w:r>
        <w:rPr>
          <w:b/>
        </w:rPr>
        <w:t xml:space="preserve">Declined transfer ID: </w:t>
      </w:r>
      <w:r>
        <w:t>TRp9C8NbcDYMPFcx75kv6616</w:t>
      </w:r>
    </w:p>
    <w:p>
      <w:r>
        <w:rPr>
          <w:b/>
        </w:rPr>
        <w:t xml:space="preserve">Result: </w:t>
      </w:r>
      <w:r>
        <w:rPr>
          <w:b/>
          <w:color w:val="0F2A4A"/>
        </w:rPr>
        <w:t>Transfer TRp9C8NbcDYMPFcx75kv6616 was declined. DECLINED</w:t>
      </w:r>
    </w:p>
    <w:p>
      <w:r>
        <w:rPr>
          <w:b/>
        </w:rPr>
        <w:t xml:space="preserve">Failure code: </w:t>
      </w:r>
      <w:r>
        <w:t>GENERIC_DECLINE</w:t>
      </w:r>
    </w:p>
    <w:p>
      <w:r>
        <w:rPr>
          <w:b/>
        </w:rPr>
        <w:t xml:space="preserve">Failure message: </w:t>
      </w:r>
      <w:r>
        <w:t>The transaction was declined for an unknown reason. The account owner needs to contact their issuer for more information.</w:t>
      </w:r>
    </w:p>
    <w:p>
      <w:pPr>
        <w:pStyle w:val="Heading2"/>
      </w:pPr>
      <w:r>
        <w:rPr>
          <w:color w:val="0F2A4A"/>
        </w:rPr>
        <w:t>4 &amp; 11. Successful Refund / Reversal</w:t>
      </w:r>
    </w:p>
    <w:p>
      <w:r>
        <w:t>The successful transfer above was reversed via POST /transfers/{id}/reversals.</w:t>
      </w:r>
    </w:p>
    <w:p>
      <w:r>
        <w:rPr>
          <w:b/>
        </w:rPr>
        <w:t xml:space="preserve">Reversal ID: </w:t>
      </w:r>
      <w:r>
        <w:t>TR36mKvAjURdrJaBEi11EHLV</w:t>
      </w:r>
    </w:p>
    <w:p>
      <w:r>
        <w:rPr>
          <w:b/>
        </w:rPr>
        <w:t xml:space="preserve">Type: </w:t>
      </w:r>
      <w:r>
        <w:t>REVERSAL</w:t>
      </w:r>
    </w:p>
    <w:p>
      <w:r>
        <w:rPr>
          <w:b/>
        </w:rPr>
        <w:t xml:space="preserve">State: </w:t>
      </w:r>
      <w:r>
        <w:t>PENDING</w:t>
      </w:r>
    </w:p>
    <w:p>
      <w:r>
        <w:rPr>
          <w:b/>
        </w:rPr>
        <w:t xml:space="preserve">Amount: </w:t>
      </w:r>
      <w:r>
        <w:t>$12.99 USD</w:t>
      </w:r>
    </w:p>
    <w:p>
      <w:r>
        <w:rPr>
          <w:b/>
        </w:rPr>
        <w:t xml:space="preserve">Reversed transfer: </w:t>
      </w:r>
      <w:r>
        <w:t>TRmBSW4iV1UjZBQqWkU5ACrW</w:t>
      </w:r>
    </w:p>
    <w:p>
      <w:pPr>
        <w:pStyle w:val="Heading2"/>
      </w:pPr>
      <w:r>
        <w:rPr>
          <w:color w:val="0F2A4A"/>
        </w:rPr>
        <w:t>5. Address Verification (zip code on Payment Instrument)</w:t>
      </w:r>
    </w:p>
    <w:p>
      <w:r>
        <w:t>Card billing address (postal code at minimum) is collected by the Finix Tokenization Form (showAddress: true, requiredFields: ['postal_code']) and is present on every card Payment Instrument.</w:t>
      </w:r>
    </w:p>
    <w:p>
      <w:r>
        <w:rPr>
          <w:b/>
        </w:rPr>
        <w:t xml:space="preserve">Payment Instrument: </w:t>
      </w:r>
      <w:r>
        <w:t>PIpvTWyyeA6PaKL9b1tvjxpL</w:t>
      </w:r>
    </w:p>
    <w:p>
      <w:r>
        <w:rPr>
          <w:b/>
        </w:rPr>
        <w:t xml:space="preserve">Card: </w:t>
      </w:r>
      <w:r>
        <w:t>VISA ending 0006</w:t>
      </w:r>
    </w:p>
    <w:p>
      <w:r>
        <w:rPr>
          <w:b/>
        </w:rPr>
        <w:t xml:space="preserve">Postal code: </w:t>
      </w:r>
      <w:r>
        <w:t>94105</w:t>
      </w:r>
    </w:p>
    <w:p>
      <w:r>
        <w:rPr>
          <w:b/>
        </w:rPr>
        <w:t xml:space="preserve">Region / Country: </w:t>
      </w:r>
      <w:r>
        <w:t xml:space="preserve"> / USA</w:t>
      </w:r>
    </w:p>
    <w:p>
      <w:pPr>
        <w:pStyle w:val="Heading2"/>
      </w:pPr>
      <w:r>
        <w:rPr>
          <w:color w:val="0F2A4A"/>
        </w:rPr>
        <w:t>6. Idempotency on API Requests</w:t>
      </w:r>
    </w:p>
    <w:p>
      <w:r>
        <w:t>An idempotency_id is sent in the body of every Transfer and reversal. Replaying the successful transfer with the same idempotency_id is rejected by Finix, proving buyers cannot be double-charged on a retry. In the app, the key is generated per checkout and reused across retries of the same charge.</w:t>
      </w:r>
    </w:p>
    <w:p>
      <w:r>
        <w:rPr>
          <w:b/>
        </w:rPr>
        <w:t xml:space="preserve">Idempotency ID: </w:t>
      </w:r>
      <w:r>
        <w:t>certtok-TKtKAUeKfSk2qixXp36NgmSw</w:t>
      </w:r>
    </w:p>
    <w:p>
      <w:r>
        <w:t>Finix response on replay:</w:t>
      </w:r>
    </w:p>
    <w:p>
      <w:r>
        <w:rPr>
          <w:rFonts w:ascii="Consolas" w:hAnsi="Consolas"/>
          <w:color w:val="555555"/>
          <w:sz w:val="18"/>
        </w:rPr>
        <w:t>Duplicate transfer TRmBSW4iV1UjZBQqWkU5ACrW already exists with idempotency ID certtok-TKtKAUeKfSk2qixXp36NgmSw</w:t>
      </w:r>
    </w:p>
    <w:p>
      <w:pPr>
        <w:pStyle w:val="Heading2"/>
      </w:pPr>
      <w:r>
        <w:rPr>
          <w:color w:val="0F2A4A"/>
        </w:rPr>
        <w:t>7. Fraud Session ID</w:t>
      </w:r>
    </w:p>
    <w:p>
      <w:r>
        <w:t>fraud_session_id is passed as a top-level field on the Transfer/Authorization request. The value is produced client-side by Finix.Auth(environment, merchantId).getSessionKey() in the hosted tokenization page and forwarded to the backend. (Per Finix, this is required for web apps; RallySphere's primary client is a mobile app, and the value is included regardless on the web checkout path.)</w:t>
      </w:r>
    </w:p>
    <w:p>
      <w:pPr>
        <w:pStyle w:val="Heading2"/>
      </w:pPr>
      <w:r>
        <w:rPr>
          <w:color w:val="0F2A4A"/>
        </w:rPr>
        <w:t>8. Finix Tokenization Forms</w:t>
      </w:r>
    </w:p>
    <w:p>
      <w:r>
        <w:t>Card and bank details are collected exclusively through Finix's hosted Tokenization Forms (Finix.CardTokenForm and Finix.BankTokenForm, loaded from js.finix.com). The application only ever receives a token id — no PAN, CVV, or bank number touches RallySphere code or servers. The Payment Instrument is then created using the token id in the request body (type: TOKEN), per Finix guidance.</w:t>
      </w:r>
    </w:p>
    <w:p>
      <w:r>
        <w:rPr>
          <w:b/>
        </w:rPr>
        <w:t xml:space="preserve">Token (CardTokenForm): </w:t>
      </w:r>
      <w:r>
        <w:t>TKtKAUeKfSk2qixXp36NgmSw</w:t>
      </w:r>
    </w:p>
    <w:p>
      <w:r>
        <w:rPr>
          <w:b/>
        </w:rPr>
        <w:t xml:space="preserve">Token fingerprint: </w:t>
      </w:r>
      <w:r>
        <w:t>FPRogKWsRQks2HGaau5eGR9AF</w:t>
      </w:r>
    </w:p>
    <w:p>
      <w:r>
        <w:rPr>
          <w:b/>
        </w:rPr>
        <w:t xml:space="preserve">Payment Instrument created from token: </w:t>
      </w:r>
      <w:r>
        <w:t>PIpvTWyyeA6PaKL9b1tvjxpL</w:t>
      </w:r>
    </w:p>
    <w:p>
      <w:r>
        <w:rPr>
          <w:b/>
        </w:rPr>
        <w:t xml:space="preserve">PI fingerprint (matches token): </w:t>
      </w:r>
      <w:r>
        <w:t>FPRogKWsRQks2HGaau5eGR9AF</w:t>
      </w:r>
    </w:p>
    <w:p>
      <w:r>
        <w:rPr>
          <w:rFonts w:ascii="Consolas" w:hAnsi="Consolas"/>
          <w:color w:val="555555"/>
          <w:sz w:val="18"/>
        </w:rPr>
        <w:t>POST /payment_instruments  { "type": "TOKEN", "token": "TKtKAUeKfSk2qixXp36NgmSw", "identity": "ID..." }</w:t>
      </w:r>
    </w:p>
    <w:p>
      <w:pPr>
        <w:pStyle w:val="Heading2"/>
      </w:pPr>
      <w:r>
        <w:rPr>
          <w:color w:val="0F2A4A"/>
        </w:rPr>
        <w:t>9. Webhooks</w:t>
      </w:r>
    </w:p>
    <w:p>
      <w:r>
        <w:t>A signed webhook endpoint (HMAC-SHA256 verification of the Finix-Signature header) receives events and updates order/merchant state. Subscribed event types include transfers, disputes, and merchant underwriting/onboarding.</w:t>
      </w:r>
    </w:p>
    <w:p>
      <w:pPr>
        <w:pStyle w:val="Heading2"/>
      </w:pPr>
      <w:r>
        <w:rPr>
          <w:color w:val="0F2A4A"/>
        </w:rPr>
        <w:t>10. ACH Authorization &amp; Confirmation Language</w:t>
      </w:r>
    </w:p>
    <w:p>
      <w:r>
        <w:t>Authorization language (shown before the buyer authorizes the debit):</w:t>
      </w:r>
    </w:p>
    <w:p>
      <w:r>
        <w:rPr>
          <w:rFonts w:ascii="Consolas" w:hAnsi="Consolas"/>
          <w:color w:val="555555"/>
          <w:sz w:val="18"/>
        </w:rPr>
        <w:t>By clicking Continue, I authorize RallySphere to electronically debit my bank account for $&lt;amount&gt; as a one-time ACH debit. I understand I may only revoke this authorization by contacting RallySphere at support@rallysphere.com at least 3 business days before the scheduled debit.</w:t>
      </w:r>
    </w:p>
    <w:p>
      <w:r>
        <w:t>Confirmation language (shown after submission):</w:t>
      </w:r>
    </w:p>
    <w:p>
      <w:r>
        <w:rPr>
          <w:rFonts w:ascii="Consolas" w:hAnsi="Consolas"/>
          <w:color w:val="555555"/>
          <w:sz w:val="18"/>
        </w:rPr>
        <w:t>ACH Authorization Confirmed — You authorized a one-time ACH debit from your bank account. The debit may take 3–5 business days to clear, and you will receive a confirmation email. To revoke or dispute this authorization, contact support@rallysphere.com.</w:t>
      </w:r>
    </w:p>
    <w:p/>
    <w:p>
      <w:r>
        <w:rPr>
          <w:i/>
          <w:color w:val="555555"/>
          <w:sz w:val="18"/>
        </w:rPr>
        <w:t>Evidence captured programmatically against finix.sandbox-payments-api.com. All IDs above are viewable in the Finix sandbox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