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pPr>
      <w:r>
        <w:rPr>
          <w:b/>
          <w:bCs/>
          <w:color w:val="1F4E5F"/>
          <w:sz w:val="52"/>
          <w:szCs w:val="52"/>
        </w:rPr>
        <w:t xml:space="preserve">TTB Label Verifier</w:t>
      </w:r>
    </w:p>
    <w:p>
      <w:pPr>
        <w:pBdr>
          <w:bottom w:val="single" w:color="1F4E5F" w:sz="8" w:space="6"/>
        </w:pBdr>
        <w:spacing w:after="320"/>
      </w:pPr>
      <w:r>
        <w:rPr>
          <w:color w:val="445566"/>
          <w:sz w:val="26"/>
          <w:szCs w:val="26"/>
        </w:rPr>
        <w:t xml:space="preserve">Checking alcohol labels against their applications: approach, design decisions, and trade-offs</w:t>
      </w:r>
    </w:p>
    <w:p>
      <w:pPr>
        <w:spacing w:after="140"/>
      </w:pPr>
      <w:r>
        <w:rPr>
          <w:b/>
          <w:bCs/>
          <w:sz w:val="22"/>
          <w:szCs w:val="22"/>
        </w:rPr>
        <w:t xml:space="preserve">Matthew Nolan</w:t>
      </w:r>
      <w:r>
        <w:rPr>
          <w:sz w:val="22"/>
          <w:szCs w:val="22"/>
        </w:rPr>
        <w:t xml:space="preserve">   ·   June 2026</w:t>
      </w:r>
    </w:p>
    <w:p>
      <w:pPr>
        <w:spacing w:after="140"/>
      </w:pPr>
      <w:r>
        <w:rPr>
          <w:b w:val="false"/>
          <w:bCs w:val="false"/>
          <w:sz w:val="22"/>
          <w:szCs w:val="22"/>
        </w:rPr>
        <w:t xml:space="preserve">Live demo:  </w:t>
      </w:r>
      <w:hyperlink w:history="1" r:id="rIdbrwdeswqwir4ysb_c1_pb">
        <w:r>
          <w:rPr>
            <w:rStyle w:val="Hyperlink"/>
            <w:sz w:val="22"/>
            <w:szCs w:val="22"/>
          </w:rPr>
          <w:t xml:space="preserve">ttb-label-verifier-matthew-nolan-s-projects.vercel.app</w:t>
        </w:r>
      </w:hyperlink>
    </w:p>
    <w:p>
      <w:pPr>
        <w:spacing w:after="140"/>
      </w:pPr>
      <w:r>
        <w:rPr>
          <w:b w:val="false"/>
          <w:bCs w:val="false"/>
          <w:sz w:val="22"/>
          <w:szCs w:val="22"/>
        </w:rPr>
        <w:t xml:space="preserve">Source:  </w:t>
      </w:r>
      <w:hyperlink w:history="1" r:id="rIdxeoud0qs1fzkl2sxekrc1">
        <w:r>
          <w:rPr>
            <w:rStyle w:val="Hyperlink"/>
            <w:sz w:val="22"/>
            <w:szCs w:val="22"/>
          </w:rPr>
          <w:t xml:space="preserve">github.com/Mjnolan91/ttb-label-verifier</w:t>
        </w:r>
      </w:hyperlink>
      <w:r>
        <w:rPr>
          <w:b w:val="false"/>
          <w:bCs w:val="false"/>
          <w:sz w:val="22"/>
          <w:szCs w:val="22"/>
        </w:rPr>
        <w:t xml:space="preserve">  (the README covers setup, architecture, and deployment)</w:t>
      </w:r>
    </w:p>
    <w:p>
      <w:pPr>
        <w:pStyle w:val="Heading1"/>
      </w:pPr>
      <w:r>
        <w:t xml:space="preserve">1.  What this is</w:t>
      </w:r>
    </w:p>
    <w:p>
      <w:pPr>
        <w:spacing w:after="140"/>
      </w:pPr>
      <w:r>
        <w:rPr>
          <w:sz w:val="22"/>
          <w:szCs w:val="22"/>
        </w:rPr>
        <w:t xml:space="preserve">A compliance agent uploads photos of an alcohol label. A vision model reads them, and the tool checks what is printed against what the application claims: the brand name, the alcohol content within the legal tolerance for its class, the net contents on an authorized standard of fill, and the government warning, verbatim and correctly formatted. The verdict is Approve, Needs review, or Reject, with a card for every field explaining how it was compared. The same engine runs a batch worklist for the 200-to-300-label dumps the discovery notes describe, and every read exports to JSON and CSV.</w:t>
      </w:r>
    </w:p>
    <w:p>
      <w:pPr>
        <w:spacing w:after="140"/>
      </w:pPr>
      <w:r>
        <w:rPr>
          <w:sz w:val="22"/>
          <w:szCs w:val="22"/>
        </w:rPr>
        <w:t xml:space="preserve">Three numbers I kept in front of me while building. The test suite (779 tests) runs offline in seconds with no API keys, so every behavior described here is reproducible on a laptop. The evaluation harness gates every commit on approve precision over 27 labeled cases with a hard floor of 98 percent, because a false approval is the one error I decided this tool would not ship. And the deployed demo measured a median of 3.1 seconds end to end against the five-second line the Deputy Director drew. Section 7 has the full measurement story, including the configuration mistake I found later and what it changed.</w:t>
      </w:r>
    </w:p>
    <w:p>
      <w:pPr>
        <w:pStyle w:val="Heading1"/>
      </w:pPr>
      <w:r>
        <w:t xml:space="preserve">2.  The choices I made on purpose</w:t>
      </w:r>
    </w:p>
    <w:p>
      <w:pPr>
        <w:spacing w:after="140"/>
      </w:pPr>
      <w:r>
        <w:rPr>
          <w:sz w:val="22"/>
          <w:szCs w:val="22"/>
        </w:rPr>
        <w:t xml:space="preserve">A prototype like this can be a pile of features or a small set of decisions applied consistently. I tried to make it the second thing. These are the decisions, with the reasoning.</w:t>
      </w:r>
    </w:p>
    <w:p>
      <w:pPr>
        <w:pStyle w:val="Heading2"/>
      </w:pPr>
      <w:r>
        <w:t xml:space="preserve">AI extracts, code decides</w:t>
      </w:r>
    </w:p>
    <w:p>
      <w:pPr>
        <w:spacing w:after="140"/>
      </w:pPr>
      <w:r>
        <w:rPr>
          <w:sz w:val="22"/>
          <w:szCs w:val="22"/>
        </w:rPr>
        <w:t xml:space="preserve">Vision models read well and judge unevenly, and in a compliance setting a judgment you cannot explain is worthless. So the model gets exactly one job: transcribe what is printed into eighteen structured fields and four warning-format flags, each with a confidence. Everything that decides is plain, unit-tested TypeScript: pure comparators for the field-by-field match, a completeness matrix encoding what each beverage class must carry, and the statutory constants (the 27 CFR 16.21 warning text, the tolerance bands, the standards of fill) in one hand-verified module. I do not let tests retune that module. If a test disagrees with the statute, the test is wrong.</w:t>
      </w:r>
    </w:p>
    <w:p>
      <w:pPr>
        <w:spacing w:after="140"/>
      </w:pPr>
      <w:r>
        <w:rPr>
          <w:sz w:val="22"/>
          <w:szCs w:val="22"/>
        </w:rPr>
        <w:t xml:space="preserve">The payoff is that when the tool rejects a label, the reason is a rule with a CFR citation. When an agent asks why, there is an answer.</w:t>
      </w:r>
    </w:p>
    <w:p>
      <w:pPr>
        <w:pStyle w:val="Heading2"/>
      </w:pPr>
      <w:r>
        <w:t xml:space="preserve">Failing gracefully</w:t>
      </w:r>
    </w:p>
    <w:p>
      <w:pPr>
        <w:spacing w:after="140"/>
      </w:pPr>
      <w:r>
        <w:rPr>
          <w:sz w:val="22"/>
          <w:szCs w:val="22"/>
        </w:rPr>
        <w:t xml:space="preserve">Jenny's line in the discovery notes, that badly photographed labels "should fail gracefully," shaped this design more than any other sentence in the brief. I read it as an error model, not a feature request about blurry photos. The version I held myself to: the tool is allowed to say it is not sure; it is never allowed to be silently wrong. Concretely:</w:t>
      </w:r>
    </w:p>
    <w:p>
      <w:pPr>
        <w:pStyle w:val="ListParagraph"/>
        <w:numPr>
          <w:ilvl w:val="0"/>
          <w:numId w:val="2"/>
        </w:numPr>
        <w:spacing w:after="90"/>
      </w:pPr>
      <w:r>
        <w:rPr>
          <w:b w:val="false"/>
          <w:bCs w:val="false"/>
          <w:sz w:val="22"/>
          <w:szCs w:val="22"/>
        </w:rPr>
        <w:t xml:space="preserve">An unreadable photo gets a re-upload prompt. It never gets a fabricated verdict.</w:t>
      </w:r>
    </w:p>
    <w:p>
      <w:pPr>
        <w:pStyle w:val="ListParagraph"/>
        <w:numPr>
          <w:ilvl w:val="0"/>
          <w:numId w:val="2"/>
        </w:numPr>
        <w:spacing w:after="90"/>
      </w:pPr>
      <w:r>
        <w:rPr>
          <w:b w:val="false"/>
          <w:bCs w:val="false"/>
          <w:sz w:val="22"/>
          <w:szCs w:val="22"/>
        </w:rPr>
        <w:t xml:space="preserve">If one of a product's images cannot be read (a dense back label is the slowest thing in the pipeline), the response names which image and why, both screens warn, and the verdict is capped at Needs review no matter how clean the surviving fields look. A dropped back label must never pass itself off as a clean front-only read.</w:t>
      </w:r>
    </w:p>
    <w:p>
      <w:pPr>
        <w:pStyle w:val="ListParagraph"/>
        <w:numPr>
          <w:ilvl w:val="0"/>
          <w:numId w:val="2"/>
        </w:numPr>
        <w:spacing w:after="90"/>
      </w:pPr>
      <w:r>
        <w:rPr>
          <w:b w:val="false"/>
          <w:bCs w:val="false"/>
          <w:sz w:val="22"/>
          <w:szCs w:val="22"/>
        </w:rPr>
        <w:t xml:space="preserve">A field whose value matches the application but was read at low confidence shows "Match, confirm photo" rather than a green pass. The values agreeing is not the same thing as the photo being trustworthy.</w:t>
      </w:r>
    </w:p>
    <w:p>
      <w:pPr>
        <w:pStyle w:val="ListParagraph"/>
        <w:numPr>
          <w:ilvl w:val="0"/>
          <w:numId w:val="2"/>
        </w:numPr>
        <w:spacing w:after="90"/>
      </w:pPr>
      <w:r>
        <w:rPr>
          <w:b w:val="false"/>
          <w:bCs w:val="false"/>
          <w:sz w:val="22"/>
          <w:szCs w:val="22"/>
        </w:rPr>
        <w:t xml:space="preserve">The bold-prefix check on the warning is tri-state. "Could not be verified" routes to review: the tool never claims a violation it cannot see, and never passes one it cannot rule out.</w:t>
      </w:r>
    </w:p>
    <w:p>
      <w:pPr>
        <w:pStyle w:val="ListParagraph"/>
        <w:numPr>
          <w:ilvl w:val="0"/>
          <w:numId w:val="2"/>
        </w:numPr>
        <w:spacing w:after="90"/>
      </w:pPr>
      <w:r>
        <w:rPr>
          <w:b w:val="false"/>
          <w:bCs w:val="false"/>
          <w:sz w:val="22"/>
          <w:szCs w:val="22"/>
        </w:rPr>
        <w:t xml:space="preserve">A container size that is not on the authorized list routes to review rather than fail, because TTB adds sizes from time to time and code should not hard-fail the law's future.</w:t>
      </w:r>
    </w:p>
    <w:p>
      <w:pPr>
        <w:pStyle w:val="ListParagraph"/>
        <w:numPr>
          <w:ilvl w:val="0"/>
          <w:numId w:val="2"/>
        </w:numPr>
        <w:spacing w:after="90"/>
      </w:pPr>
      <w:r>
        <w:rPr>
          <w:b w:val="false"/>
          <w:bCs w:val="false"/>
          <w:sz w:val="22"/>
          <w:szCs w:val="22"/>
        </w:rPr>
        <w:t xml:space="preserve">In batch, a busy service retries with jittered backoff and the row narrates each attempt; when retries run out, the row says so and offers a Retry. Nothing fails silently and nothing disappears.</w:t>
      </w:r>
    </w:p>
    <w:p>
      <w:pPr>
        <w:spacing w:after="140"/>
      </w:pPr>
      <w:r>
        <w:rPr>
          <w:sz w:val="22"/>
          <w:szCs w:val="22"/>
        </w:rPr>
        <w:t xml:space="preserve">Under all of it is one asymmetry: an unnecessary review costs an agent a few minutes, while a false approval costs trust in the whole tool. The error budget is spent on the cheap error, and CI enforces that posture: the build fails if approve precision drops below 98 percent on the labeled cases.</w:t>
      </w:r>
    </w:p>
    <w:p>
      <w:pPr>
        <w:pStyle w:val="Heading2"/>
      </w:pPr>
      <w:r>
        <w:t xml:space="preserve">The application is the headline, not the AI</w:t>
      </w:r>
    </w:p>
    <w:p>
      <w:pPr>
        <w:spacing w:after="140"/>
      </w:pPr>
      <w:r>
        <w:rPr>
          <w:sz w:val="22"/>
          <w:szCs w:val="22"/>
        </w:rPr>
        <w:t xml:space="preserve">The brief's core check is label versus application, so that comparison leads the screen; the AI's field table is supporting material. The model's reading pre-fills every application input as a gray suggestion, accepted with Tab or one click, and that is what removes the manual data entry the agents complained about. But a suggestion only becomes part of the application when a person accepts it, so the model never approves its own work. The verdict waits until every field TTB requires for the beverage type is supplied, and the required set changes with the type: a malt beverage does not need an alcohol statement, spirits do.</w:t>
      </w:r>
    </w:p>
    <w:p>
      <w:pPr>
        <w:pStyle w:val="Heading2"/>
      </w:pPr>
      <w:r>
        <w:t xml:space="preserve">Offline by default</w:t>
      </w:r>
    </w:p>
    <w:p>
      <w:pPr>
        <w:spacing w:after="140"/>
      </w:pPr>
      <w:r>
        <w:rPr>
          <w:sz w:val="22"/>
          <w:szCs w:val="22"/>
        </w:rPr>
        <w:t xml:space="preserve">The default vision provider is an offline mock keyed to the bundled fixtures, which means the whole suite, the eval, and CI run deterministically with zero keys and no network. That choice cuts both ways and I accepted the cost: out of the box the app only recognizes the bundled samples, and the screen says so plainly. Reading arbitrary photos takes one environment variable and a key; the deployed demo runs that way.</w:t>
      </w:r>
    </w:p>
    <w:p>
      <w:pPr>
        <w:pStyle w:val="Heading1"/>
      </w:pPr>
      <w:r>
        <w:t xml:space="preserve">3.  How the pipeline earns a verdict</w:t>
      </w:r>
    </w:p>
    <w:p>
      <w:pPr>
        <w:spacing w:after="140"/>
      </w:pPr>
      <w:r>
        <w:rPr>
          <w:sz w:val="22"/>
          <w:szCs w:val="22"/>
        </w:rPr>
        <w:t xml:space="preserve">A product's images (front, back, and neck if there is one) ride a single request as position-labeled parts, so the model reads the panels with cross-panel context: brand on the front, warning on the back, one record out. I tested the obvious alternative, stitching the photos into one composite, and rejected it on measurement: the vision APIs cap total image resolution, so stitching halves each label's pixels exactly where the fine print lives. If the model reports that two panels contradict each other on a field, that field is pinned into the review band and made ineligible for every automatic recovery below. A cross-panel contradiction always reaches a person.</w:t>
      </w:r>
    </w:p>
    <w:p>
      <w:pPr>
        <w:spacing w:after="140"/>
      </w:pPr>
      <w:r>
        <w:rPr>
          <w:sz w:val="22"/>
          <w:szCs w:val="22"/>
        </w:rPr>
        <w:t xml:space="preserve">Each product is read several times, and a field's confidence is the fraction of samples that agree. I trust that number far more than a model's self-reported confidence. Cosmetic variation clusters as one reading; numeric differences never cluster.</w:t>
      </w:r>
    </w:p>
    <w:p>
      <w:pPr>
        <w:spacing w:after="140"/>
      </w:pPr>
      <w:r>
        <w:rPr>
          <w:sz w:val="22"/>
          <w:szCs w:val="22"/>
        </w:rPr>
        <w:t xml:space="preserve">Three escalations sit behind the vote. Each is bounded to one extra model call, and each is allowed to clear a false alarm but never to flip a conflict: a strong-model judge for the one check that can hard-fail a label (whether the GOVERNMENT WARNING: prefix is bold); a rescue that re-reads only the fields still under the 0.7 trust gate; and a warning-focus pass that locates the warning in any orientation, crops and upscales the region with plain image code, and re-judges from the zoom. A warning recovered this way surfaces at review confidence, never as a silent pass. The statutory text sits in every model's training data, so a transcription that merely matches it proves nothing by itself.</w:t>
      </w:r>
    </w:p>
    <w:p>
      <w:pPr>
        <w:spacing w:after="140"/>
      </w:pPr>
      <w:r>
        <w:rPr>
          <w:sz w:val="22"/>
          <w:szCs w:val="22"/>
        </w:rPr>
        <w:t xml:space="preserve">The last word belongs to deterministic code: the completeness check (every TTB-mandatory element for the class, scored present, missing, malformed, or unverifiable) and the comparators, with the headline verdict taking the worse of the two. Match is not compliance here. An origin statement that matches the application verbatim but names a region instead of a country still routes to review, because the marking rules require a country. And there is exactly one verdict derivation, shared by the eval harness, the single screen, and the batch worklist, so there is no second copy to drift.</w:t>
      </w:r>
    </w:p>
    <w:p>
      <w:pPr>
        <w:pStyle w:val="Heading1"/>
      </w:pPr>
      <w:r>
        <w:t xml:space="preserve">4.  The bundled sample, as an example of the posture</w:t>
      </w:r>
    </w:p>
    <w:p>
      <w:pPr>
        <w:spacing w:after="140"/>
      </w:pPr>
      <w:r>
        <w:rPr>
          <w:sz w:val="22"/>
          <w:szCs w:val="22"/>
        </w:rPr>
        <w:t xml:space="preserve">The verify screen's sample product is a real label (Fireball Cinnamon Whisky, from TTB's public COLA registry), a front and back pair placed into the slots with one click. It is an import on purpose: the back's importer line and PRODUCT OF CANADA statement exercise the origin rules end to end, and accepting the AI's suggestions walks the whole nine-field application to an Approve.</w:t>
      </w:r>
    </w:p>
    <w:p>
      <w:pPr>
        <w:spacing w:after="140"/>
      </w:pPr>
      <w:r>
        <w:rPr>
          <w:sz w:val="22"/>
          <w:szCs w:val="22"/>
        </w:rPr>
        <w:t xml:space="preserve">Two decisions about the defect variant say more about this project than a feature list would. First, the registry artwork is web resolution, and at that resolution the boldness of the warning prefix cannot be verified by any reader, human or model; the system answers "could not be verified" and routes to review, which is correct. Rather than let the demo pretend otherwise, the sample's warning block is re-rendered at print fidelity, and the two back variants differ only in the statutory variable. Second, my first defect was bold-versus-regular weight, and the live system kept routing it to review instead of rejecting. That is the conservative tri-state doing its job, and it makes a mushy demonstration. So the bundled defect prints "Government Warning:" in title case, the exact defect Jenny describes rejecting, which is judged from the transcript and fails deterministically. The real product's label is compliant, and every surface that mentions the variant says so.</w:t>
      </w:r>
    </w:p>
    <w:p>
      <w:pPr>
        <w:pStyle w:val="Heading1"/>
      </w:pPr>
      <w:r>
        <w:t xml:space="preserve">5.  What the stakeholders asked for</w:t>
      </w:r>
    </w:p>
    <w:p>
      <w:pPr>
        <w:spacing w:after="140"/>
      </w:pPr>
      <w:r>
        <w:rPr>
          <w:sz w:val="22"/>
          <w:szCs w:val="22"/>
        </w:rPr>
        <w:t xml:space="preserve">Each concern from the discovery notes maps to a specific, testable behavior: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BFCDD4" w:sz="1"/>
              <w:left w:val="single" w:color="BFCDD4" w:sz="1"/>
              <w:bottom w:val="single" w:color="BFCDD4" w:sz="1"/>
              <w:right w:val="single" w:color="BFCDD4" w:sz="1"/>
            </w:tcBorders>
            <w:shd w:fill="EAF1F4" w:val="clear"/>
            <w:tcMar>
              <w:top w:type="dxa" w:w="90"/>
              <w:left w:type="dxa" w:w="130"/>
              <w:bottom w:type="dxa" w:w="90"/>
              <w:right w:type="dxa" w:w="130"/>
            </w:tcMar>
          </w:tcPr>
          <w:p>
            <w:pPr>
              <w:spacing w:after="0"/>
            </w:pPr>
            <w:r>
              <w:rPr>
                <w:b/>
                <w:bCs/>
                <w:sz w:val="20"/>
                <w:szCs w:val="20"/>
              </w:rPr>
              <w:t xml:space="preserve">Stakeholder concern</w:t>
            </w:r>
          </w:p>
        </w:tc>
        <w:tc>
          <w:tcPr>
            <w:tcW w:type="dxa" w:w="5760"/>
            <w:tcBorders>
              <w:top w:val="single" w:color="BFCDD4" w:sz="1"/>
              <w:left w:val="single" w:color="BFCDD4" w:sz="1"/>
              <w:bottom w:val="single" w:color="BFCDD4" w:sz="1"/>
              <w:right w:val="single" w:color="BFCDD4" w:sz="1"/>
            </w:tcBorders>
            <w:shd w:fill="EAF1F4" w:val="clear"/>
            <w:tcMar>
              <w:top w:type="dxa" w:w="90"/>
              <w:left w:type="dxa" w:w="130"/>
              <w:bottom w:type="dxa" w:w="90"/>
              <w:right w:type="dxa" w:w="130"/>
            </w:tcMar>
          </w:tcPr>
          <w:p>
            <w:pPr>
              <w:spacing w:after="0"/>
            </w:pPr>
            <w:r>
              <w:rPr>
                <w:b/>
                <w:bCs/>
                <w:sz w:val="20"/>
                <w:szCs w:val="20"/>
              </w:rPr>
              <w:t xml:space="preserve">What the app does</w:t>
            </w:r>
          </w:p>
        </w:tc>
      </w:tr>
      <w:tr>
        <w:tc>
          <w:tcPr>
            <w:tcW w:type="dxa" w:w="360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Sarah: results in about 5 seconds or nobody uses it (the 30 to 40 second scanner was abandoned)</w:t>
            </w:r>
          </w:p>
        </w:tc>
        <w:tc>
          <w:tcPr>
            <w:tcW w:type="dxa" w:w="576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Hard latency budget: parallel reads with a per-call straggler cap, the judge hidden behind extraction wall-clock, browser-side image downscaling. Measured live: p50 3.1s, p95 5.2s, 15 of 15 verdicts correct.</w:t>
            </w:r>
          </w:p>
        </w:tc>
      </w:tr>
      <w:tr>
        <w:tc>
          <w:tcPr>
            <w:tcW w:type="dxa" w:w="360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Sarah: an interface her 73-year-old mother could figure out</w:t>
            </w:r>
          </w:p>
        </w:tc>
        <w:tc>
          <w:tcPr>
            <w:tcW w:type="dxa" w:w="576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One accessibility-first screen (WCAG 2.1 AA: 4.5:1 contrast in both themes, 44px primary targets, full keyboard order, visible focus, live regions). Gray AI suggestions with Tab-to-accept, an Accept-all button, and a ? explainer on every field.</w:t>
            </w:r>
          </w:p>
        </w:tc>
      </w:tr>
      <w:tr>
        <w:tc>
          <w:tcPr>
            <w:tcW w:type="dxa" w:w="360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Sarah and Janet: importers dump 200 to 300 applications at once</w:t>
            </w:r>
          </w:p>
        </w:tc>
        <w:tc>
          <w:tcPr>
            <w:tcW w:type="dxa" w:w="576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The /batch worklist: drop hundreds of images, rows stream in continuously, triage chips and attention-first sorting, per-row retry, in-place application editing, CSV export.</w:t>
            </w:r>
          </w:p>
        </w:tc>
      </w:tr>
      <w:tr>
        <w:tc>
          <w:tcPr>
            <w:tcW w:type="dxa" w:w="360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Dave: STONE'S THROW vs Stone's Throw is obviously the same thing; you need judgment</w:t>
            </w:r>
          </w:p>
        </w:tc>
        <w:tc>
          <w:tcPr>
            <w:tcW w:type="dxa" w:w="576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Layered brand comparison: case, punctuation, diacritics, and smart quotes normalize to a pass with the reason stated; a symbol-only difference (Smith &amp; Co vs Smith Co) still routes to review because symbols can distinguish registered brands; near-misses get a similarity-scored review, not a hard fail.</w:t>
            </w:r>
          </w:p>
        </w:tc>
      </w:tr>
      <w:tr>
        <w:tc>
          <w:tcPr>
            <w:tcW w:type="dxa" w:w="360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Jenny: the warning must be exact, word for word, caps and bold; title case gets rejected</w:t>
            </w:r>
          </w:p>
        </w:tc>
        <w:tc>
          <w:tcPr>
            <w:tcW w:type="dxa" w:w="576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Word-for-word comparison against the statutory 27 CFR 16.21 text (kept in one constant, guarded by a verbatim unit test), explicit all-caps and bold prefix checks, and the bundled defect sample reproduces her exact rejection: a title-case, regular-weight prefix.</w:t>
            </w:r>
          </w:p>
        </w:tc>
      </w:tr>
      <w:tr>
        <w:tc>
          <w:tcPr>
            <w:tcW w:type="dxa" w:w="360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Jenny: labels photographed badly should fail gracefully</w:t>
            </w:r>
          </w:p>
        </w:tc>
        <w:tc>
          <w:tcPr>
            <w:tcW w:type="dxa" w:w="576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Taken as the error model for the whole tool; see section 2. Unreadable photos get a re-upload prompt, dropped images are reported and cap the verdict at review, and uncertainty routes to a person instead of a guess.</w:t>
            </w:r>
          </w:p>
        </w:tc>
      </w:tr>
      <w:tr>
        <w:tc>
          <w:tcPr>
            <w:tcW w:type="dxa" w:w="360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Marcus: the firewall blocks outbound ML endpoints; we are on Azure</w:t>
            </w:r>
          </w:p>
        </w:tc>
        <w:tc>
          <w:tcPr>
            <w:tcW w:type="dxa" w:w="576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The in-tenant production path is Azure OpenAI plus Azure Document Intelligence behind the same provider interface, so the model calls never leave the tenant. The public demo runs OpenAI; switching is configuration.</w:t>
            </w:r>
          </w:p>
        </w:tc>
      </w:tr>
    </w:tbl>
    <w:p>
      <w:pPr>
        <w:pStyle w:val="Heading1"/>
      </w:pPr>
      <w:r>
        <w:t xml:space="preserve">6.  Tools and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BFCDD4" w:sz="1"/>
              <w:left w:val="single" w:color="BFCDD4" w:sz="1"/>
              <w:bottom w:val="single" w:color="BFCDD4" w:sz="1"/>
              <w:right w:val="single" w:color="BFCDD4" w:sz="1"/>
            </w:tcBorders>
            <w:shd w:fill="EAF1F4" w:val="clear"/>
            <w:tcMar>
              <w:top w:type="dxa" w:w="90"/>
              <w:left w:type="dxa" w:w="130"/>
              <w:bottom w:type="dxa" w:w="90"/>
              <w:right w:type="dxa" w:w="130"/>
            </w:tcMar>
          </w:tcPr>
          <w:p>
            <w:pPr>
              <w:spacing w:after="0"/>
            </w:pPr>
            <w:r>
              <w:rPr>
                <w:b/>
                <w:bCs/>
                <w:sz w:val="20"/>
                <w:szCs w:val="20"/>
              </w:rPr>
              <w:t xml:space="preserve">Layer</w:t>
            </w:r>
          </w:p>
        </w:tc>
        <w:tc>
          <w:tcPr>
            <w:tcW w:type="dxa" w:w="7160"/>
            <w:tcBorders>
              <w:top w:val="single" w:color="BFCDD4" w:sz="1"/>
              <w:left w:val="single" w:color="BFCDD4" w:sz="1"/>
              <w:bottom w:val="single" w:color="BFCDD4" w:sz="1"/>
              <w:right w:val="single" w:color="BFCDD4" w:sz="1"/>
            </w:tcBorders>
            <w:shd w:fill="EAF1F4" w:val="clear"/>
            <w:tcMar>
              <w:top w:type="dxa" w:w="90"/>
              <w:left w:type="dxa" w:w="130"/>
              <w:bottom w:type="dxa" w:w="90"/>
              <w:right w:type="dxa" w:w="130"/>
            </w:tcMar>
          </w:tcPr>
          <w:p>
            <w:pPr>
              <w:spacing w:after="0"/>
            </w:pPr>
            <w:r>
              <w:rPr>
                <w:b/>
                <w:bCs/>
                <w:sz w:val="20"/>
                <w:szCs w:val="20"/>
              </w:rPr>
              <w:t xml:space="preserve">Choice</w:t>
            </w:r>
          </w:p>
        </w:tc>
      </w:tr>
      <w:tr>
        <w:tc>
          <w:tcPr>
            <w:tcW w:type="dxa" w:w="220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Application</w:t>
            </w:r>
          </w:p>
        </w:tc>
        <w:tc>
          <w:tcPr>
            <w:tcW w:type="dxa" w:w="716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Next.js 16 (App Router, standalone output), React 19, TypeScript strict, Tailwind CSS 4. Runtime dependencies are next, react, react-dom, and sharp (server-side image cropping for the warning-focus pass): no database, nothing else to operate.</w:t>
            </w:r>
          </w:p>
        </w:tc>
      </w:tr>
      <w:tr>
        <w:tc>
          <w:tcPr>
            <w:tcW w:type="dxa" w:w="220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AI models</w:t>
            </w:r>
          </w:p>
        </w:tc>
        <w:tc>
          <w:tcPr>
            <w:tcW w:type="dxa" w:w="716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Demo: OpenAI gpt-4.1 extraction with a gpt-5.5 warning judge; the Gemini path keeps the same split (the fast model transcribes, the strongest model judges). Production target: Azure OpenAI and Azure AI Document Intelligence. All behind one VisionProvider interface; the offline mock is the default.</w:t>
            </w:r>
          </w:p>
        </w:tc>
      </w:tr>
      <w:tr>
        <w:tc>
          <w:tcPr>
            <w:tcW w:type="dxa" w:w="220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Testing</w:t>
            </w:r>
          </w:p>
        </w:tc>
        <w:tc>
          <w:tcPr>
            <w:tcW w:type="dxa" w:w="716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Vitest (779 tests, offline), Testing Library for components, a tsx evaluation harness over 27 labeled fixtures acting as a CI gate, and live measurement scripts for deployed latency.</w:t>
            </w:r>
          </w:p>
        </w:tc>
      </w:tr>
      <w:tr>
        <w:tc>
          <w:tcPr>
            <w:tcW w:type="dxa" w:w="220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CI / hosting</w:t>
            </w:r>
          </w:p>
        </w:tc>
        <w:tc>
          <w:tcPr>
            <w:tcW w:type="dxa" w:w="716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GitHub Actions (typecheck, lint, test, eval, build on every push, fully offline). Vercel hosts the public demo; a multi-stage Dockerfile targets Azure App Service or Container Apps for in-tenant deployment.</w:t>
            </w:r>
          </w:p>
        </w:tc>
      </w:tr>
    </w:tbl>
    <w:p>
      <w:pPr>
        <w:pStyle w:val="Heading1"/>
      </w:pPr>
      <w:r>
        <w:t xml:space="preserve">7.  Measured, not claimed</w:t>
      </w:r>
    </w:p>
    <w:p>
      <w:pPr>
        <w:spacing w:after="140"/>
      </w:pPr>
      <w:r>
        <w:rPr>
          <w:sz w:val="22"/>
          <w:szCs w:val="22"/>
        </w:rPr>
        <w:t xml:space="preserve">I held this document to a simple standard: a performance or accuracy claim either traces to a dated measurement, or it is not in here.</w:t>
      </w:r>
    </w:p>
    <w:p>
      <w:pPr>
        <w:pStyle w:val="ListParagraph"/>
        <w:numPr>
          <w:ilvl w:val="0"/>
          <w:numId w:val="2"/>
        </w:numPr>
        <w:spacing w:after="90"/>
      </w:pPr>
      <w:r>
        <w:rPr>
          <w:b/>
          <w:bCs/>
          <w:sz w:val="22"/>
          <w:szCs w:val="22"/>
        </w:rPr>
        <w:t xml:space="preserve">Offline gate. </w:t>
      </w:r>
      <w:r>
        <w:rPr>
          <w:b w:val="false"/>
          <w:bCs w:val="false"/>
          <w:sz w:val="22"/>
          <w:szCs w:val="22"/>
        </w:rPr>
        <w:t xml:space="preserve">779 tests in 60 files pass in seconds with no network. The eval harness scores 27 labeled cases (clean labels plus deliberate defects: a title-case warning, an out-of-tolerance ABV, a brand typo, a missing warning, an import without a country statement, an unreadable photo that must never auto-approve) at 100 percent, with the 98 percent approve-precision floor enforced in CI.</w:t>
      </w:r>
    </w:p>
    <w:p>
      <w:pPr>
        <w:pStyle w:val="ListParagraph"/>
        <w:numPr>
          <w:ilvl w:val="0"/>
          <w:numId w:val="2"/>
        </w:numPr>
        <w:spacing w:after="90"/>
      </w:pPr>
      <w:r>
        <w:rPr>
          <w:b/>
          <w:bCs/>
          <w:sz w:val="22"/>
          <w:szCs w:val="22"/>
        </w:rPr>
        <w:t xml:space="preserve">Live latency. </w:t>
      </w:r>
      <w:r>
        <w:rPr>
          <w:b w:val="false"/>
          <w:bCs w:val="false"/>
          <w:sz w:val="22"/>
          <w:szCs w:val="22"/>
        </w:rPr>
        <w:t xml:space="preserve">15 sequential reads against the deployed demo measured p50 3.1s and p95 5.2s with 15 of 15 verdicts correct; the one 5.2s read was the serverless cold start (June 10). The model split was chosen by A/B measurement, not preference: moving extraction to the strong model doubled the median for identical verdicts, so the fast model transcribes and the strongest model judges.</w:t>
      </w:r>
    </w:p>
    <w:p>
      <w:pPr>
        <w:pStyle w:val="ListParagraph"/>
        <w:numPr>
          <w:ilvl w:val="0"/>
          <w:numId w:val="2"/>
        </w:numPr>
        <w:spacing w:after="90"/>
      </w:pPr>
      <w:r>
        <w:rPr>
          <w:b/>
          <w:bCs/>
          <w:sz w:val="22"/>
          <w:szCs w:val="22"/>
        </w:rPr>
        <w:t xml:space="preserve">A mistake I want to own rather than bury. </w:t>
      </w:r>
      <w:r>
        <w:rPr>
          <w:b w:val="false"/>
          <w:bCs w:val="false"/>
          <w:sz w:val="22"/>
          <w:szCs w:val="22"/>
        </w:rPr>
        <w:t xml:space="preserve">That 3.1s configuration (a 7-wide vote under a 5 second per-sample cap) was tuned on single-image labels, and the numbers looked great because I had measured the easy case. A real front-plus-back product later exposed the gap: a dense, warning-bearing back label reads in about 5 seconds, so the cap could starve every sample of the back image, and at the time the pipeline would proceed silently on the front alone. The fix mattered more than the numbers: a dropped image is now reported end to end, a partial read caps the verdict at review, and the recommended pairing is a 5-wide vote with an 8 second cap, re-measured reading the same dense pair completely in 4.9 seconds. The failure and the diagnosis are documented in the repository, because finding the measurement gap is part of the engineering.</w:t>
      </w:r>
    </w:p>
    <w:p>
      <w:pPr>
        <w:pStyle w:val="ListParagraph"/>
        <w:numPr>
          <w:ilvl w:val="0"/>
          <w:numId w:val="2"/>
        </w:numPr>
        <w:spacing w:after="90"/>
      </w:pPr>
      <w:r>
        <w:rPr>
          <w:b/>
          <w:bCs/>
          <w:sz w:val="22"/>
          <w:szCs w:val="22"/>
        </w:rPr>
        <w:t xml:space="preserve">The bundled sample, measured after it shipped (June 11). </w:t>
      </w:r>
      <w:r>
        <w:rPr>
          <w:b w:val="false"/>
          <w:bCs w:val="false"/>
          <w:sz w:val="22"/>
          <w:szCs w:val="22"/>
        </w:rPr>
        <w:t xml:space="preserve">The clean pair read 3 for 3 Approve at 6.6 to 8.7 seconds; the defect pair read 3 for 3 Reject at 13 to 14 seconds. The defect is slower on purpose: before hard-failing a label, the warning escalation takes its careful zoomed look. I would rather publish the slow path than hide it.</w:t>
      </w:r>
    </w:p>
    <w:p>
      <w:pPr>
        <w:pStyle w:val="Heading1"/>
      </w:pPr>
      <w:r>
        <w:t xml:space="preserve">8.  What I deliberately did not build</w:t>
      </w:r>
    </w:p>
    <w:p>
      <w:pPr>
        <w:pStyle w:val="ListParagraph"/>
        <w:numPr>
          <w:ilvl w:val="0"/>
          <w:numId w:val="3"/>
        </w:numPr>
        <w:spacing w:after="90"/>
      </w:pPr>
      <w:r>
        <w:rPr>
          <w:b w:val="false"/>
          <w:bCs w:val="false"/>
          <w:sz w:val="22"/>
          <w:szCs w:val="22"/>
        </w:rPr>
        <w:t xml:space="preserve">Image rectification. Badly photographed labels (angles, glare) get the re-upload prompt rather than deskewing. The brief says handling them is out of scope but failing well is not, and that is where the budget went; the self-consistency vote absorbs ordinary read noise.</w:t>
      </w:r>
    </w:p>
    <w:p>
      <w:pPr>
        <w:pStyle w:val="ListParagraph"/>
        <w:numPr>
          <w:ilvl w:val="0"/>
          <w:numId w:val="3"/>
        </w:numPr>
        <w:spacing w:after="90"/>
      </w:pPr>
      <w:r>
        <w:rPr>
          <w:b w:val="false"/>
          <w:bCs w:val="false"/>
          <w:sz w:val="22"/>
          <w:szCs w:val="22"/>
        </w:rPr>
        <w:t xml:space="preserve">Physical-measurement rules. Type-size minimums and placement requirements (same field of vision, separate and apart) cannot be measured from extracted text, and I did not want to half-check them. They need layout-preserving OCR, which is the natural next provider capability.</w:t>
      </w:r>
    </w:p>
    <w:p>
      <w:pPr>
        <w:pStyle w:val="ListParagraph"/>
        <w:numPr>
          <w:ilvl w:val="0"/>
          <w:numId w:val="3"/>
        </w:numPr>
        <w:spacing w:after="90"/>
      </w:pPr>
      <w:r>
        <w:rPr>
          <w:b w:val="false"/>
          <w:bCs w:val="false"/>
          <w:sz w:val="22"/>
          <w:szCs w:val="22"/>
        </w:rPr>
        <w:t xml:space="preserve">Registry-backed checks. Formula approvals and permit matching need TTB records, not the label. Out of scope by design.</w:t>
      </w:r>
    </w:p>
    <w:p>
      <w:pPr>
        <w:pStyle w:val="ListParagraph"/>
        <w:numPr>
          <w:ilvl w:val="0"/>
          <w:numId w:val="3"/>
        </w:numPr>
        <w:spacing w:after="90"/>
      </w:pPr>
      <w:r>
        <w:rPr>
          <w:b w:val="false"/>
          <w:bCs w:val="false"/>
          <w:sz w:val="22"/>
          <w:szCs w:val="22"/>
        </w:rPr>
        <w:t xml:space="preserve">Authentication and rate limiting on the demo. Upload-size caps and bounded fan-out are enforced in the route, but per-client rate limiting belongs to an API gateway in production, not hand-rolled prototype code.</w:t>
      </w:r>
    </w:p>
    <w:p>
      <w:pPr>
        <w:pStyle w:val="ListParagraph"/>
        <w:numPr>
          <w:ilvl w:val="0"/>
          <w:numId w:val="3"/>
        </w:numPr>
        <w:spacing w:after="90"/>
      </w:pPr>
      <w:r>
        <w:rPr>
          <w:b w:val="false"/>
          <w:bCs w:val="false"/>
          <w:sz w:val="22"/>
          <w:szCs w:val="22"/>
        </w:rPr>
        <w:t xml:space="preserve">A second opinion on the statutes. The warning text was re-verified against 27 CFR 16.21 in June 2026; the 2025 Surgeon General advisory is a proposal, not law. If the wording ever changes it is a one-constant edit guarded by a test, and a non-blocking note in the UI tracks the pending proposals. Two tolerance judgment calls (cider classification, the unknown-class default to the tightest band) are flagged in code for verification before production use.</w:t>
      </w:r>
    </w:p>
    <w:p>
      <w:pPr>
        <w:pStyle w:val="ListParagraph"/>
        <w:numPr>
          <w:ilvl w:val="0"/>
          <w:numId w:val="3"/>
        </w:numPr>
        <w:spacing w:after="90"/>
      </w:pPr>
      <w:r>
        <w:rPr>
          <w:b w:val="false"/>
          <w:bCs w:val="false"/>
          <w:sz w:val="22"/>
          <w:szCs w:val="22"/>
        </w:rPr>
        <w:t xml:space="preserve">Inflated calibration claims. The Brier and ECE numbers from the offline harness calibrate the pipeline over its fixtures, not a live model, and the documentation says exactly that.</w:t>
      </w:r>
    </w:p>
    <w:p>
      <w:pPr>
        <w:pStyle w:val="Heading1"/>
      </w:pPr>
      <w:r>
        <w:t xml:space="preserve">9.  If this moved toward production</w:t>
      </w:r>
    </w:p>
    <w:p>
      <w:pPr>
        <w:spacing w:after="140"/>
      </w:pPr>
      <w:r>
        <w:rPr>
          <w:sz w:val="22"/>
          <w:szCs w:val="22"/>
        </w:rPr>
        <w:t xml:space="preserve">The first steps are deliberately boring: deploy the existing container in-tenant on Azure with provisioned model quota, put the endpoint behind the agency gateway for authentication and rate limiting, and turn on the opt-in escalation pass where accuracy on contested reads is worth the tail latency. After that, layout-preserving OCR to unlock the physical-measurement rules, and a sampled human-audit loop over auto-approvals so the false-approval rate keeps getting measured in the field, not assumed. COLA integration comes last; it is an authorization and procurement question more than a technical one.</w:t>
      </w:r>
    </w:p>
    <w:p>
      <w:pPr>
        <w:spacing w:after="140"/>
      </w:pPr>
      <w:r>
        <w:rPr>
          <w:sz w:val="22"/>
          <w:szCs w:val="22"/>
        </w:rPr>
        <w:t xml:space="preserve">The prototype's job was to prove the shape, and the measurements above are the evidence I would offer.</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7788"/>
        <w:sz w:val="18"/>
        <w:szCs w:val="18"/>
      </w:rPr>
      <w:t xml:space="preserve">Page </w:t>
    </w:r>
    <w:r>
      <w:rPr>
        <w:color w:val="6677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spacing w:after="0"/>
    </w:pPr>
    <w:r>
      <w:rPr>
        <w:color w:val="667788"/>
        <w:sz w:val="18"/>
        <w:szCs w:val="18"/>
      </w:rPr>
      <w:t xml:space="preserve">TTB Label Verifier</w:t>
    </w:r>
    <w:r>
      <w:rPr>
        <w:color w:val="667788"/>
        <w:sz w:val="18"/>
        <w:szCs w:val="18"/>
      </w:rPr>
      <w:t xml:space="preserve">	Submission documentation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20"/>
      <w:outlineLvl w:val="0"/>
    </w:pPr>
    <w:rPr>
      <w:rFonts w:ascii="Arial" w:cs="Arial" w:eastAsia="Arial" w:hAnsi="Arial"/>
      <w:b/>
      <w:bCs/>
      <w:color w:val="1F4E5F"/>
      <w:sz w:val="30"/>
      <w:szCs w:val="30"/>
    </w:rPr>
  </w:style>
  <w:style w:type="paragraph" w:styleId="Heading2">
    <w:name w:val="Heading 2"/>
    <w:basedOn w:val="Normal"/>
    <w:next w:val="Normal"/>
    <w:qFormat/>
    <w:pPr>
      <w:spacing w:after="140" w:before="240"/>
      <w:outlineLvl w:val="1"/>
    </w:pPr>
    <w:rPr>
      <w:rFonts w:ascii="Arial" w:cs="Arial" w:eastAsia="Arial" w:hAnsi="Arial"/>
      <w:b/>
      <w:bCs/>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brwdeswqwir4ysb_c1_pb" Type="http://schemas.openxmlformats.org/officeDocument/2006/relationships/hyperlink" Target="https://ttb-label-verifier-matthew-nolan-s-projects.vercel.app" TargetMode="External"/><Relationship Id="rIdxeoud0qs1fzkl2sxekrc1" Type="http://schemas.openxmlformats.org/officeDocument/2006/relationships/hyperlink" Target="https://github.com/Mjnolan91/ttb-label-verifier"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2026-06-11T20:06:04.003Z</dcterms:created>
  <dcterms:modified xsi:type="dcterms:W3CDTF">2026-06-11T20:06:04.004Z</dcterms:modified>
</cp:coreProperties>
</file>

<file path=docProps/custom.xml><?xml version="1.0" encoding="utf-8"?>
<Properties xmlns="http://schemas.openxmlformats.org/officeDocument/2006/custom-properties" xmlns:vt="http://schemas.openxmlformats.org/officeDocument/2006/docPropsVTypes"/>
</file>