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1F4E5F"/>
          <w:sz w:val="52"/>
          <w:szCs w:val="52"/>
        </w:rPr>
        <w:t xml:space="preserve">TTB Label Verifier</w:t>
      </w:r>
    </w:p>
    <w:p>
      <w:pPr>
        <w:pBdr>
          <w:bottom w:val="single" w:color="1F4E5F" w:sz="8" w:space="6"/>
        </w:pBdr>
        <w:spacing w:after="320"/>
      </w:pPr>
      <w:r>
        <w:rPr>
          <w:color w:val="445566"/>
          <w:sz w:val="26"/>
          <w:szCs w:val="26"/>
        </w:rPr>
        <w:t xml:space="preserve">AI-Powered Alcohol Label Verification: Approach, Design Decisions, and Trade-offs</w:t>
      </w:r>
    </w:p>
    <w:p>
      <w:pPr>
        <w:spacing w:after="140"/>
      </w:pPr>
      <w:r>
        <w:rPr>
          <w:b/>
          <w:bCs/>
          <w:sz w:val="22"/>
          <w:szCs w:val="22"/>
        </w:rPr>
        <w:t xml:space="preserve">Matthew Nolan</w:t>
      </w:r>
      <w:r>
        <w:rPr>
          <w:sz w:val="22"/>
          <w:szCs w:val="22"/>
        </w:rPr>
        <w:t xml:space="preserve">   ·   June 2026</w:t>
      </w:r>
    </w:p>
    <w:p>
      <w:pPr>
        <w:spacing w:after="140"/>
      </w:pPr>
      <w:r>
        <w:rPr>
          <w:b w:val="false"/>
          <w:bCs w:val="false"/>
          <w:sz w:val="22"/>
          <w:szCs w:val="22"/>
        </w:rPr>
        <w:t xml:space="preserve">Live demo:  </w:t>
      </w:r>
      <w:hyperlink w:history="1" r:id="rId8uqlitrodhefpte3eodo2">
        <w:r>
          <w:rPr>
            <w:rStyle w:val="Hyperlink"/>
            <w:sz w:val="22"/>
            <w:szCs w:val="22"/>
          </w:rPr>
          <w:t xml:space="preserve">ttb-label-verifier-matthew-nolan-s-projects.vercel.app</w:t>
        </w:r>
      </w:hyperlink>
    </w:p>
    <w:p>
      <w:pPr>
        <w:spacing w:after="140"/>
      </w:pPr>
      <w:r>
        <w:rPr>
          <w:b w:val="false"/>
          <w:bCs w:val="false"/>
          <w:sz w:val="22"/>
          <w:szCs w:val="22"/>
        </w:rPr>
        <w:t xml:space="preserve">Source:  </w:t>
      </w:r>
      <w:hyperlink w:history="1" r:id="rIddsnxi-rtp1240ysv_dyvy">
        <w:r>
          <w:rPr>
            <w:rStyle w:val="Hyperlink"/>
            <w:sz w:val="22"/>
            <w:szCs w:val="22"/>
          </w:rPr>
          <w:t xml:space="preserve">github.com/Mjnolan91/ttb-label-verifier</w:t>
        </w:r>
      </w:hyperlink>
      <w:r>
        <w:rPr>
          <w:b w:val="false"/>
          <w:bCs w:val="false"/>
          <w:sz w:val="22"/>
          <w:szCs w:val="22"/>
        </w:rPr>
        <w:t xml:space="preserve">  (README covers setup, architecture, and deployment)</w:t>
      </w:r>
    </w:p>
    <w:p>
      <w:pPr>
        <w:pStyle w:val="Heading1"/>
      </w:pPr>
      <w:r>
        <w:t xml:space="preserve">1.  Executive summary</w:t>
      </w:r>
    </w:p>
    <w:p>
      <w:pPr>
        <w:spacing w:after="140"/>
      </w:pPr>
      <w:r>
        <w:rPr>
          <w:sz w:val="22"/>
          <w:szCs w:val="22"/>
        </w:rPr>
        <w:t xml:space="preserve">The TTB Label Verifier reads photographs of alcohol beverage labels with a vision model and verifies them against the application the way a compliance agent does: brand name matches, alcohol content is correct and within the class tolerance, net contents use an authorized standard of fill, and the government warning is present, verbatim, and correctly formatted. It returns a clear Approve, Needs review, or Reject verdict with a per-field breakdown, handles batch uploads of hundreds of labels as a streaming, reviewable worklist, and exports JSON and CSV records of every decision.</w:t>
      </w:r>
    </w:p>
    <w:p>
      <w:pPr>
        <w:spacing w:after="140"/>
      </w:pPr>
      <w:r>
        <w:rPr>
          <w:sz w:val="22"/>
          <w:szCs w:val="22"/>
        </w:rPr>
        <w:t xml:space="preserve">Three numbers summarize the engineering posture. The automated suite (773 tests) runs offline in seconds with zero API keys, so every behavior is reproducible. The evaluation harness gates every commit on approve precision over 21 labeled cases with a hard floor of 98 percent, currently passing at 100 percent, because a false approval is the one error class this tool refuses to ship. And the deployed demo measured a median of 3.1 seconds end to end, inside the five second budget the Deputy Director named as the line between a tool agents use and one they abandon.</w:t>
      </w:r>
    </w:p>
    <w:p>
      <w:pPr>
        <w:pStyle w:val="Heading1"/>
      </w:pPr>
      <w:r>
        <w:t xml:space="preserve">2.  The core idea: AI extracts, code decides</w:t>
      </w:r>
    </w:p>
    <w:p>
      <w:pPr>
        <w:spacing w:after="140"/>
      </w:pPr>
      <w:r>
        <w:rPr>
          <w:sz w:val="22"/>
          <w:szCs w:val="22"/>
        </w:rPr>
        <w:t xml:space="preserve">Vision models are excellent readers and unreliable judges. The architecture therefore gives the model exactly one job: transcribe what is printed on the label into eighteen structured fields, each with a confidence score, plus four warning-format flags. Everything that decides is plain, deterministic, unit-tested code: pure comparators for the field-by-field match, a CFR-encoded completeness matrix for what each beverage class must carry, and statutory constants (the 27 CFR 16.21 warning text, tolerance bands, standards of fill) kept in one hand-verified module that tests are never allowed to retune.</w:t>
      </w:r>
    </w:p>
    <w:p>
      <w:pPr>
        <w:spacing w:after="140"/>
      </w:pPr>
      <w:r>
        <w:rPr>
          <w:sz w:val="22"/>
          <w:szCs w:val="22"/>
        </w:rPr>
        <w:t xml:space="preserve">This split is what makes the tool defensible in a government context. When an agent asks why a label was rejected, the answer is a rule with a CFR citation, not a model's opinion. It also sets the safety bias: wherever the evidence is uncertain, the verdict routes to Needs review for a human. An unnecessary review costs minutes; a false approval costs trust in the entire system.</w:t>
      </w:r>
    </w:p>
    <w:p>
      <w:pPr>
        <w:spacing w:after="140"/>
      </w:pPr>
      <w:r>
        <w:rPr>
          <w:sz w:val="22"/>
          <w:szCs w:val="22"/>
        </w:rPr>
        <w:t xml:space="preserve">The screen itself is verify-first. The headline is the claimed-versus-label comparison, the brief's core check, computed once the application's required fields for the beverage type are supplied. The AI's reading pre-fills every input as a gray suggestion the agent can accept with Tab or one click, which is what kills the manual data entry without ever letting the model approve its own work.</w:t>
      </w:r>
    </w:p>
    <w:p>
      <w:pPr>
        <w:pStyle w:val="Heading1"/>
      </w:pPr>
      <w:r>
        <w:t xml:space="preserve">3.  What it does</w:t>
      </w:r>
    </w:p>
    <w:p>
      <w:pPr>
        <w:pStyle w:val="ListParagraph"/>
        <w:numPr>
          <w:ilvl w:val="0"/>
          <w:numId w:val="2"/>
        </w:numPr>
        <w:spacing w:after="90"/>
      </w:pPr>
      <w:r>
        <w:rPr>
          <w:b/>
          <w:bCs/>
          <w:sz w:val="22"/>
          <w:szCs w:val="22"/>
        </w:rPr>
        <w:t xml:space="preserve">Single label.</w:t>
      </w:r>
      <w:r>
        <w:rPr>
          <w:b w:val="false"/>
          <w:bCs w:val="false"/>
          <w:sz w:val="22"/>
          <w:szCs w:val="22"/>
        </w:rPr>
        <w:t xml:space="preserve"> Drop one or several photos at once. Filenames like name-front and name-back place themselves into the Front, Back, and Neck slots; the rest fill open slots in order. The AI reads all images as one product, the application inputs pre-fill as suggestions, and the screen leads with Approve / Needs review / Reject plus a card per field explaining the comparison.</w:t>
      </w:r>
    </w:p>
    <w:p>
      <w:pPr>
        <w:pStyle w:val="ListParagraph"/>
        <w:numPr>
          <w:ilvl w:val="0"/>
          <w:numId w:val="2"/>
        </w:numPr>
        <w:spacing w:after="90"/>
      </w:pPr>
      <w:r>
        <w:rPr>
          <w:b/>
          <w:bCs/>
          <w:sz w:val="22"/>
          <w:szCs w:val="22"/>
        </w:rPr>
        <w:t xml:space="preserve">Batch worklist.</w:t>
      </w:r>
      <w:r>
        <w:rPr>
          <w:b w:val="false"/>
          <w:bCs w:val="false"/>
          <w:sz w:val="22"/>
          <w:szCs w:val="22"/>
        </w:rPr>
        <w:t xml:space="preserve"> Drop hundreds of images. Fronts and backs pair by filename, an optional CSV supplies the application values, and rows stream in one by one behind thumbnails, triage chips, and an attention-first sort. Two rows that read the same brand offer a one-click, human-confirmed combine. A review drawer reproduces the full single-label review, including supplying application values in place, so a batch without a CSV is still fully workable.</w:t>
      </w:r>
    </w:p>
    <w:p>
      <w:pPr>
        <w:pStyle w:val="ListParagraph"/>
        <w:numPr>
          <w:ilvl w:val="0"/>
          <w:numId w:val="2"/>
        </w:numPr>
        <w:spacing w:after="90"/>
      </w:pPr>
      <w:r>
        <w:rPr>
          <w:b/>
          <w:bCs/>
          <w:sz w:val="22"/>
          <w:szCs w:val="22"/>
        </w:rPr>
        <w:t xml:space="preserve">Resilience.</w:t>
      </w:r>
      <w:r>
        <w:rPr>
          <w:b w:val="false"/>
          <w:bCs w:val="false"/>
          <w:sz w:val="22"/>
          <w:szCs w:val="22"/>
        </w:rPr>
        <w:t xml:space="preserve"> Transient service failures retry automatically with jittered backoff and adaptive pacing, narrating each attempt on the row; persistent failures end in an honest error with one-click Retry. If one of a product's images cannot be read, the response says so, both screens warn, and a partial read can never headline Approve.</w:t>
      </w:r>
    </w:p>
    <w:p>
      <w:pPr>
        <w:pStyle w:val="ListParagraph"/>
        <w:numPr>
          <w:ilvl w:val="0"/>
          <w:numId w:val="2"/>
        </w:numPr>
        <w:spacing w:after="90"/>
      </w:pPr>
      <w:r>
        <w:rPr>
          <w:b/>
          <w:bCs/>
          <w:sz w:val="22"/>
          <w:szCs w:val="22"/>
        </w:rPr>
        <w:t xml:space="preserve">Human in the loop.</w:t>
      </w:r>
      <w:r>
        <w:rPr>
          <w:b w:val="false"/>
          <w:bCs w:val="false"/>
          <w:sz w:val="22"/>
          <w:szCs w:val="22"/>
        </w:rPr>
        <w:t xml:space="preserve"> Every flagged field carries confirm and flag controls with notes; decisions draft an applicant email; any edit or re-read invalidates stale confirmations so a recomputed verdict can never be force-passed by old state.</w:t>
      </w:r>
    </w:p>
    <w:p>
      <w:pPr>
        <w:pStyle w:val="ListParagraph"/>
        <w:numPr>
          <w:ilvl w:val="0"/>
          <w:numId w:val="2"/>
        </w:numPr>
        <w:spacing w:after="90"/>
      </w:pPr>
      <w:r>
        <w:rPr>
          <w:b/>
          <w:bCs/>
          <w:sz w:val="22"/>
          <w:szCs w:val="22"/>
        </w:rPr>
        <w:t xml:space="preserve">Exports.</w:t>
      </w:r>
      <w:r>
        <w:rPr>
          <w:b w:val="false"/>
          <w:bCs w:val="false"/>
          <w:sz w:val="22"/>
          <w:szCs w:val="22"/>
        </w:rPr>
        <w:t xml:space="preserve"> JSON and RFC-4180 CSV carry the same field set, the verdict, the reviewer's decision, and the partial-read fact, so the saved record is the audit record.</w:t>
      </w:r>
    </w:p>
    <w:p>
      <w:pPr>
        <w:pStyle w:val="Heading1"/>
      </w:pPr>
      <w:r>
        <w:t xml:space="preserve">4.  Architecture and the reasoning behind it</w:t>
      </w:r>
    </w:p>
    <w:p>
      <w:pPr>
        <w:spacing w:after="140"/>
      </w:pPr>
      <w:r>
        <w:rPr>
          <w:sz w:val="22"/>
          <w:szCs w:val="22"/>
        </w:rPr>
        <w:t xml:space="preserve">The pipeline is image to provider(s) to reconciler to comparator to verdict, with each stage owning one safety property:</w:t>
      </w:r>
    </w:p>
    <w:p>
      <w:pPr>
        <w:pStyle w:val="ListParagraph"/>
        <w:numPr>
          <w:ilvl w:val="0"/>
          <w:numId w:val="2"/>
        </w:numPr>
        <w:spacing w:after="90"/>
      </w:pPr>
      <w:r>
        <w:rPr>
          <w:b/>
          <w:bCs/>
          <w:sz w:val="22"/>
          <w:szCs w:val="22"/>
        </w:rPr>
        <w:t xml:space="preserve">Provider interface.</w:t>
      </w:r>
      <w:r>
        <w:rPr>
          <w:b w:val="false"/>
          <w:bCs w:val="false"/>
          <w:sz w:val="22"/>
          <w:szCs w:val="22"/>
        </w:rPr>
        <w:t xml:space="preserve"> Six interchangeable vision providers sit behind one interface: an offline mock (default; keys off the image filename so the whole suite is hermetic), OpenAI, Gemini, Azure OpenAI, Azure Document Intelligence OCR, and an ensemble mode that runs both Azure providers and routes their disagreement to review. Real providers use strict structured outputs, bounded retries that honor rate-limit headers, and self-limiting timeouts.</w:t>
      </w:r>
    </w:p>
    <w:p>
      <w:pPr>
        <w:pStyle w:val="ListParagraph"/>
        <w:numPr>
          <w:ilvl w:val="0"/>
          <w:numId w:val="2"/>
        </w:numPr>
        <w:spacing w:after="90"/>
      </w:pPr>
      <w:r>
        <w:rPr>
          <w:b/>
          <w:bCs/>
          <w:sz w:val="22"/>
          <w:szCs w:val="22"/>
        </w:rPr>
        <w:t xml:space="preserve">Joint multi-image reads.</w:t>
      </w:r>
      <w:r>
        <w:rPr>
          <w:b w:val="false"/>
          <w:bCs w:val="false"/>
          <w:sz w:val="22"/>
          <w:szCs w:val="22"/>
        </w:rPr>
        <w:t xml:space="preserve"> A product's images (front, back, neck) ride one request per sample as position-labeled, full-resolution parts, never a stitched composite: stitching halves each label's pixels under the vision APIs' total-resolution caps, exactly where the fine print lives. The model allocates fields with cross-panel context (brand on the front, warning on the back), and a two-image product pays per-sample requests, not images times samples. A model-reported front-versus-back conflict on a field is deterministically capped into the review band and made rescue-ineligible, so a cross-panel contradiction always reaches a human. Providers without joint reads (the offline mock, the Azure OCR path) keep per-image reads merged by code.</w:t>
      </w:r>
    </w:p>
    <w:p>
      <w:pPr>
        <w:pStyle w:val="ListParagraph"/>
        <w:numPr>
          <w:ilvl w:val="0"/>
          <w:numId w:val="2"/>
        </w:numPr>
        <w:spacing w:after="90"/>
      </w:pPr>
      <w:r>
        <w:rPr>
          <w:b/>
          <w:bCs/>
          <w:sz w:val="22"/>
          <w:szCs w:val="22"/>
        </w:rPr>
        <w:t xml:space="preserve">Self-consistency voting.</w:t>
      </w:r>
      <w:r>
        <w:rPr>
          <w:b w:val="false"/>
          <w:bCs w:val="false"/>
          <w:sz w:val="22"/>
          <w:szCs w:val="22"/>
        </w:rPr>
        <w:t xml:space="preserve"> Each product is read N times in parallel (each sample carrying all of its images) and per-field confidence is the agreement fraction across samples, which is far better calibrated than a model's self-reported confidence. The vote clusters cosmetic variance (a dropped cedilla is one reading) but never clusters numeric differences. A field most samples read identically but one sample dropped lands at 0.65, still gated to review but eligible for rescue; genuine splits stamp 0.3 and stay with a human.</w:t>
      </w:r>
    </w:p>
    <w:p>
      <w:pPr>
        <w:pStyle w:val="ListParagraph"/>
        <w:numPr>
          <w:ilvl w:val="0"/>
          <w:numId w:val="2"/>
        </w:numPr>
        <w:spacing w:after="90"/>
      </w:pPr>
      <w:r>
        <w:rPr>
          <w:b/>
          <w:bCs/>
          <w:sz w:val="22"/>
          <w:szCs w:val="22"/>
        </w:rPr>
        <w:t xml:space="preserve">The warning judge.</w:t>
      </w:r>
      <w:r>
        <w:rPr>
          <w:b w:val="false"/>
          <w:bCs w:val="false"/>
          <w:sz w:val="22"/>
          <w:szCs w:val="22"/>
        </w:rPr>
        <w:t xml:space="preserve"> Whether the GOVERNMENT WARNING: prefix is bold is the one check that can hard-fail a label, so a dedicated pass runs on the strongest available model (gpt-5.5 on the demo) and the result is tri-state: undetectable routes to review, never to a silent pass or a claimed violation.</w:t>
      </w:r>
    </w:p>
    <w:p>
      <w:pPr>
        <w:pStyle w:val="ListParagraph"/>
        <w:numPr>
          <w:ilvl w:val="0"/>
          <w:numId w:val="2"/>
        </w:numPr>
        <w:spacing w:after="90"/>
      </w:pPr>
      <w:r>
        <w:rPr>
          <w:b/>
          <w:bCs/>
          <w:sz w:val="22"/>
          <w:szCs w:val="22"/>
        </w:rPr>
        <w:t xml:space="preserve">Low-confidence rescue.</w:t>
      </w:r>
      <w:r>
        <w:rPr>
          <w:b w:val="false"/>
          <w:bCs w:val="false"/>
          <w:sz w:val="22"/>
          <w:szCs w:val="22"/>
        </w:rPr>
        <w:t xml:space="preserve"> When a verdict-relevant field stays under the 0.7 trust gate, one bounded call re-reads exactly those fields on the strong model. Cross-model agreement clears the false alarm; disagreement adopts the stronger reading but stays in review. A rescue can clear a false alarm; it can never flip a conflict to pass.</w:t>
      </w:r>
    </w:p>
    <w:p>
      <w:pPr>
        <w:pStyle w:val="ListParagraph"/>
        <w:numPr>
          <w:ilvl w:val="0"/>
          <w:numId w:val="2"/>
        </w:numPr>
        <w:spacing w:after="90"/>
      </w:pPr>
      <w:r>
        <w:rPr>
          <w:b/>
          <w:bCs/>
          <w:sz w:val="22"/>
          <w:szCs w:val="22"/>
        </w:rPr>
        <w:t xml:space="preserve">Warning-focus escalation.</w:t>
      </w:r>
      <w:r>
        <w:rPr>
          <w:b w:val="false"/>
          <w:bCs w:val="false"/>
          <w:sz w:val="22"/>
          <w:szCs w:val="22"/>
        </w:rPr>
        <w:t xml:space="preserve"> When the warning is required but still missing or format-unverified after the merge, judge, and rescue, one bounded strong-model pass locates it in any orientation (sideways and upside-down text are normal on bottles); plain code then crops the region, rotates it upright, and upscales it (sharp) so a second judgment reads the prefix strokes at several times the effective resolution. Asymmetric by design: a recovered warning surfaces at review-band confidence for a human, never as a silent pass, and a deliberate review hold is never overridden by the escalation's own agreement.</w:t>
      </w:r>
    </w:p>
    <w:p>
      <w:pPr>
        <w:pStyle w:val="ListParagraph"/>
        <w:numPr>
          <w:ilvl w:val="0"/>
          <w:numId w:val="2"/>
        </w:numPr>
        <w:spacing w:after="90"/>
      </w:pPr>
      <w:r>
        <w:rPr>
          <w:b/>
          <w:bCs/>
          <w:sz w:val="22"/>
          <w:szCs w:val="22"/>
        </w:rPr>
        <w:t xml:space="preserve">Deterministic origin harvest.</w:t>
      </w:r>
      <w:r>
        <w:rPr>
          <w:b w:val="false"/>
          <w:bCs w:val="false"/>
          <w:sz w:val="22"/>
          <w:szCs w:val="22"/>
        </w:rPr>
        <w:t xml:space="preserve"> Samples sometimes file a printed PRODUCT OF FRANCE under a sibling field. Plain code copies an origin statement that names a country into the empty origin field, with the source read's confidence. Code over already-read text, never another model call, and a region like Imported from the Caribbean never qualifies.</w:t>
      </w:r>
    </w:p>
    <w:p>
      <w:pPr>
        <w:pStyle w:val="ListParagraph"/>
        <w:numPr>
          <w:ilvl w:val="0"/>
          <w:numId w:val="2"/>
        </w:numPr>
        <w:spacing w:after="90"/>
      </w:pPr>
      <w:r>
        <w:rPr>
          <w:b/>
          <w:bCs/>
          <w:sz w:val="22"/>
          <w:szCs w:val="22"/>
        </w:rPr>
        <w:t xml:space="preserve">Completeness engine.</w:t>
      </w:r>
      <w:r>
        <w:rPr>
          <w:b w:val="false"/>
          <w:bCs w:val="false"/>
          <w:sz w:val="22"/>
          <w:szCs w:val="22"/>
        </w:rPr>
        <w:t xml:space="preserve"> Every TTB-mandatory element for the detected beverage class is checked as present, missing, malformed, or unverifiable, encoding the per-class nuance: malt ABV optional, the wine 14 percent table-wine carve-out, the under 0.5 percent warning exemption, sulfites conditional and surfaced rather than failed, and standards of fill that route unlisted sizes to review because TTB periodically adds sizes.</w:t>
      </w:r>
    </w:p>
    <w:p>
      <w:pPr>
        <w:pStyle w:val="ListParagraph"/>
        <w:numPr>
          <w:ilvl w:val="0"/>
          <w:numId w:val="2"/>
        </w:numPr>
        <w:spacing w:after="90"/>
      </w:pPr>
      <w:r>
        <w:rPr>
          <w:b/>
          <w:bCs/>
          <w:sz w:val="22"/>
          <w:szCs w:val="22"/>
        </w:rPr>
        <w:t xml:space="preserve">Comparison engine.</w:t>
      </w:r>
      <w:r>
        <w:rPr>
          <w:b w:val="false"/>
          <w:bCs w:val="false"/>
          <w:sz w:val="22"/>
          <w:szCs w:val="22"/>
        </w:rPr>
        <w:t xml:space="preserve"> Pure comparators biased to review. The headline verdict takes the worse of the comparison and the completeness check, so a label missing a mandatory element can never be auto-approved on a good match. Match is not compliance: a printed origin statement that matches the application verbatim but names a region instead of a country still routes to review.</w:t>
      </w:r>
    </w:p>
    <w:p>
      <w:pPr>
        <w:pStyle w:val="ListParagraph"/>
        <w:numPr>
          <w:ilvl w:val="0"/>
          <w:numId w:val="2"/>
        </w:numPr>
        <w:spacing w:after="90"/>
      </w:pPr>
      <w:r>
        <w:rPr>
          <w:b/>
          <w:bCs/>
          <w:sz w:val="22"/>
          <w:szCs w:val="22"/>
        </w:rPr>
        <w:t xml:space="preserve">One verdict engine everywhere.</w:t>
      </w:r>
      <w:r>
        <w:rPr>
          <w:b w:val="false"/>
          <w:bCs w:val="false"/>
          <w:sz w:val="22"/>
          <w:szCs w:val="22"/>
        </w:rPr>
        <w:t xml:space="preserve"> The evaluation harness, the single screen, and the batch worklist all read the same combined verdict derivation. There is no parallel UI verdict logic to drift.</w:t>
      </w:r>
    </w:p>
    <w:p>
      <w:pPr>
        <w:pStyle w:val="Heading1"/>
      </w:pPr>
      <w:r>
        <w:t xml:space="preserve">5.  Requirements traceability</w:t>
      </w:r>
    </w:p>
    <w:p>
      <w:pPr>
        <w:spacing w:after="140"/>
      </w:pPr>
      <w:r>
        <w:rPr>
          <w:sz w:val="22"/>
          <w:szCs w:val="22"/>
        </w:rPr>
        <w:t xml:space="preserve">Each stakeholder concern from the discovery notes maps to a specific, testable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Stakeholder concern</w:t>
            </w:r>
          </w:p>
        </w:tc>
        <w:tc>
          <w:tcPr>
            <w:tcW w:type="dxa" w:w="57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What the app does</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results in about 5 seconds or nobody uses it (the 30 to 40 second scanner was abandoned)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Hard latency budget: parallel reads with a per-call straggler cap, the judge hidden behind extraction wall-clock, browser-side image downscaling. Measured live: p50 3.1s, p95 5.2s, 15 of 15 verdicts correct.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 interface her 73-year-old mother could figure out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One accessibility-first screen (WCAG 2.1 AA: 4.5:1 contrast in both themes, 44px primary targets, full keyboard order, visible focus, live regions). Gray AI suggestions with Tab-to-accept, an Accept-all button, and a ? explainer on every field.</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Sarah and Janet: importers dump 200 to 300 applications at once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/batch worklist: drop hundreds of images, rows stream in continuously, triage chips and attention-first sorting, per-row retry, in-place application editing, CSV export.</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Dave: STONE'S THROW vs Stone's Throw is obviously the same thing; you need judgment</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Layered brand comparison: case, punctuation, diacritics, and smart quotes normalize to a pass with the reason stated; a symbol-only difference (Smith &amp; Co vs Smith Co) still routes to review because symbols can distinguish registered brands; near-misses get a similarity-scored review, not a hard fail.</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the warning must be exact, word for word, caps and bold; title case gets rejected</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Byte-for-byte comparison against the statutory 27 CFR 16.21 text (kept in one constant, guarded by a verbatim unit test), explicit all-caps and bold prefix checks, and a title-case demo label that reproduces her rejection.</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Jenny: labels photographed badly should fail gracefully</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 readability gate routes unreadable photos to a re-upload prompt instead of a fabricated verdict; a dropped image in a multi-photo product is reported, warned about on both screens, and caps the verdict at review.</w:t>
            </w:r>
          </w:p>
        </w:tc>
      </w:tr>
      <w:tr>
        <w:tc>
          <w:tcPr>
            <w:tcW w:type="dxa" w:w="36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Marcus: the firewall blocks outbound ML endpoints; we are on Azure</w:t>
            </w:r>
          </w:p>
        </w:tc>
        <w:tc>
          <w:tcPr>
            <w:tcW w:type="dxa" w:w="57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The in-tenant production path is Azure OpenAI plus Azure Document Intelligence behind the same provider interface, so the model calls never leave the tenant. The public demo runs OpenAI; switching is configuration.</w:t>
            </w:r>
          </w:p>
        </w:tc>
      </w:tr>
    </w:tbl>
    <w:p>
      <w:pPr>
        <w:pStyle w:val="Heading1"/>
      </w:pPr>
      <w:r>
        <w:t xml:space="preserve">6.  Tools and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Layer</w:t>
            </w:r>
          </w:p>
        </w:tc>
        <w:tc>
          <w:tcPr>
            <w:tcW w:type="dxa" w:w="7160"/>
            <w:tcBorders>
              <w:top w:val="single" w:color="BFCDD4" w:sz="1"/>
              <w:left w:val="single" w:color="BFCDD4" w:sz="1"/>
              <w:bottom w:val="single" w:color="BFCDD4" w:sz="1"/>
              <w:right w:val="single" w:color="BFCDD4" w:sz="1"/>
            </w:tcBorders>
            <w:shd w:fill="EAF1F4" w:val="clear"/>
            <w:tcMar>
              <w:top w:type="dxa" w:w="90"/>
              <w:left w:type="dxa" w:w="130"/>
              <w:bottom w:type="dxa" w:w="90"/>
              <w:right w:type="dxa" w:w="130"/>
            </w:tcMar>
          </w:tcPr>
          <w:p>
            <w:pPr>
              <w:spacing w:after="0"/>
            </w:pPr>
            <w:r>
              <w:rPr>
                <w:b/>
                <w:bCs/>
                <w:sz w:val="20"/>
                <w:szCs w:val="20"/>
              </w:rPr>
              <w:t xml:space="preserve">Choice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Application</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Next.js 16 (App Router, standalone output), React 19, TypeScript strict, Tailwind CSS 4. Runtime dependencies are next, react, react-dom, and sharp (server-side image cropping for the warning-focus pass): no database, nothing else to operate.</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AI models</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Demo: OpenAI gpt-4.1 extraction with a gpt-5.5 warning judge. Gemini path: 3.5-flash extraction, 3.1-pro judge. Production target: Azure OpenAI and Azure AI Document Intelligence. All behind one VisionProvider interface; the offline mock is the default.</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Testing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Vitest (773 tests, offline), Testing Library for components, a tsx evaluation harness over 21 labeled fixtures acting as a CI gate, and live measurement scripts for deployed latency.</w:t>
            </w:r>
          </w:p>
        </w:tc>
      </w:tr>
      <w:tr>
        <w:tc>
          <w:tcPr>
            <w:tcW w:type="dxa" w:w="220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CI / hosting</w:t>
            </w:r>
          </w:p>
        </w:tc>
        <w:tc>
          <w:tcPr>
            <w:tcW w:type="dxa" w:w="7160"/>
            <w:tcBorders>
              <w:top w:val="single" w:color="BFCDD4" w:sz="1"/>
              <w:left w:val="single" w:color="BFCDD4" w:sz="1"/>
              <w:bottom w:val="single" w:color="BFCDD4" w:sz="1"/>
              <w:right w:val="single" w:color="BFCDD4" w:sz="1"/>
            </w:tcBorders>
            <w:tcMar>
              <w:top w:type="dxa" w:w="90"/>
              <w:left w:type="dxa" w:w="130"/>
              <w:bottom w:type="dxa" w:w="90"/>
              <w:right w:type="dxa" w:w="130"/>
            </w:tcMar>
          </w:tcPr>
          <w:p>
            <w:pPr>
              <w:spacing w:after="0"/>
            </w:pPr>
            <w:r>
              <w:rPr>
                <w:b w:val="false"/>
                <w:bCs w:val="false"/>
                <w:sz w:val="20"/>
                <w:szCs w:val="20"/>
              </w:rPr>
              <w:t xml:space="preserve">GitHub Actions (typecheck, lint, test, eval, build on every push, fully offline). Vercel hosts the public demo; a multi-stage Dockerfile targets Azure App Service or Container Apps for in-tenant deployment.</w:t>
            </w:r>
          </w:p>
        </w:tc>
      </w:tr>
    </w:tbl>
    <w:p>
      <w:pPr>
        <w:pStyle w:val="Heading1"/>
      </w:pPr>
      <w:r>
        <w:t xml:space="preserve">7.  Measured, not claimed</w:t>
      </w:r>
    </w:p>
    <w:p>
      <w:pPr>
        <w:spacing w:after="140"/>
      </w:pPr>
      <w:r>
        <w:rPr>
          <w:sz w:val="22"/>
          <w:szCs w:val="22"/>
        </w:rPr>
        <w:t xml:space="preserve">Every performance and accuracy statement in this document traces to a dated measurement, and the project treats its own configuration the same way.</w:t>
      </w:r>
    </w:p>
    <w:p>
      <w:pPr>
        <w:pStyle w:val="ListParagraph"/>
        <w:numPr>
          <w:ilvl w:val="0"/>
          <w:numId w:val="2"/>
        </w:numPr>
        <w:spacing w:after="90"/>
      </w:pPr>
      <w:r>
        <w:rPr>
          <w:b w:val="false"/>
          <w:bCs w:val="false"/>
          <w:sz w:val="22"/>
          <w:szCs w:val="22"/>
        </w:rPr>
        <w:t>Offline gate: 773 tests in 60 files pass in seconds with no network. The eval harness scores 21 labeled cases (clean labels plus deliberate defects: a title-case warning, an out-of-tolerance ABV, a brand typo, a missing warning, an import without a country statement, an unreadable photo that must never auto-approve) at 100 percent accuracy, with the 98 percent approve-precision floor enforced in CI.</w:t>
      </w:r>
    </w:p>
    <w:p>
      <w:pPr>
        <w:pStyle w:val="ListParagraph"/>
        <w:numPr>
          <w:ilvl w:val="0"/>
          <w:numId w:val="2"/>
        </w:numPr>
        <w:spacing w:after="90"/>
      </w:pPr>
      <w:r>
        <w:rPr>
          <w:b w:val="false"/>
          <w:bCs w:val="false"/>
          <w:sz w:val="22"/>
          <w:szCs w:val="22"/>
        </w:rPr>
        <w:t>Live latency: 15 sequential reads against the deployed demo measured p50 3.1s and p95 5.2s with 15 of 15 verdicts correct; the one 5.2s read was the serverless cold start. Model selection was A/B measured the same way: the fast model transcribes and the strongest model judges, because moving extraction to the strong model doubled the median for identical verdicts.</w:t>
      </w:r>
    </w:p>
    <w:p>
      <w:pPr>
        <w:pStyle w:val="ListParagraph"/>
        <w:numPr>
          <w:ilvl w:val="0"/>
          <w:numId w:val="2"/>
        </w:numPr>
        <w:spacing w:after="90"/>
      </w:pPr>
      <w:r>
        <w:rPr>
          <w:b w:val="false"/>
          <w:bCs w:val="false"/>
          <w:sz w:val="22"/>
          <w:szCs w:val="22"/>
        </w:rPr>
        <w:t>An honest correction: that 3.1s pairing (a 7-wide vote under a 5 second per-sample cap) was measured on single-image demo labels, and a real front-plus-back product later exposed the gap: a dense, warning-bearing back label reads in about 5 seconds, so the cap could starve every sample of the back image. The pipeline now reports any dropped image end to end instead of proceeding silently, the verdict is capped at review on partial reads, and the recommended configuration is a 5-wide vote with an 8 second cap, re-measured reading the same dense pair completely in 4.9 seconds. The failure, the diagnosis, and the fix are documented in the repository because finding the measurement gap is part of the engineering.</w:t>
      </w:r>
    </w:p>
    <w:p>
      <w:pPr>
        <w:pStyle w:val="Heading1"/>
      </w:pPr>
      <w:r>
        <w:t xml:space="preserve">8.  Assumptions</w:t>
      </w:r>
    </w:p>
    <w:p>
      <w:pPr>
        <w:pStyle w:val="ListParagraph"/>
        <w:numPr>
          <w:ilvl w:val="0"/>
          <w:numId w:val="3"/>
        </w:numPr>
        <w:spacing w:after="90"/>
      </w:pPr>
      <w:r>
        <w:rPr>
          <w:b w:val="false"/>
          <w:bCs w:val="false"/>
          <w:sz w:val="22"/>
          <w:szCs w:val="22"/>
        </w:rPr>
        <w:t xml:space="preserve">The application is the reference. The brief's core task is checking the label against the application, so the verdict waits until the application's required fields for the beverage type are supplied; the label reading and the completeness check always run and render regardless.</w:t>
      </w:r>
    </w:p>
    <w:p>
      <w:pPr>
        <w:pStyle w:val="ListParagraph"/>
        <w:numPr>
          <w:ilvl w:val="0"/>
          <w:numId w:val="3"/>
        </w:numPr>
        <w:spacing w:after="90"/>
      </w:pPr>
      <w:r>
        <w:rPr>
          <w:b w:val="false"/>
          <w:bCs w:val="false"/>
          <w:sz w:val="22"/>
          <w:szCs w:val="22"/>
        </w:rPr>
        <w:t xml:space="preserve">Azure is the production cloud (per the IT context), so the in-tenant providers are Azure-native; OpenAI and Gemini paths exist so the demo runs without an Azure resource. The interface keeps the choice swappable.</w:t>
      </w:r>
    </w:p>
    <w:p>
      <w:pPr>
        <w:pStyle w:val="ListParagraph"/>
        <w:numPr>
          <w:ilvl w:val="0"/>
          <w:numId w:val="3"/>
        </w:numPr>
        <w:spacing w:after="90"/>
      </w:pPr>
      <w:r>
        <w:rPr>
          <w:b w:val="false"/>
          <w:bCs w:val="false"/>
          <w:sz w:val="22"/>
          <w:szCs w:val="22"/>
        </w:rPr>
        <w:t xml:space="preserve">This is a standalone prototype: no COLA integration, no authentication, no PII storage, and nothing sensitive retained, per the stated scope.</w:t>
      </w:r>
    </w:p>
    <w:p>
      <w:pPr>
        <w:pStyle w:val="ListParagraph"/>
        <w:numPr>
          <w:ilvl w:val="0"/>
          <w:numId w:val="3"/>
        </w:numPr>
        <w:spacing w:after="90"/>
      </w:pPr>
      <w:r>
        <w:rPr>
          <w:b w:val="false"/>
          <w:bCs w:val="false"/>
          <w:sz w:val="22"/>
          <w:szCs w:val="22"/>
        </w:rPr>
        <w:t xml:space="preserve">The statutory warning text was re-verified against 27 CFR 16.21 in June 2026. The 2025 Surgeon General advisory is a proposal, not law; if the wording ever changes it is a one-constant edit guarded by a test, and a non-blocking note in the UI tracks pending proposals.</w:t>
      </w:r>
    </w:p>
    <w:p>
      <w:pPr>
        <w:pStyle w:val="ListParagraph"/>
        <w:numPr>
          <w:ilvl w:val="0"/>
          <w:numId w:val="3"/>
        </w:numPr>
        <w:spacing w:after="90"/>
      </w:pPr>
      <w:r>
        <w:rPr>
          <w:b w:val="false"/>
          <w:bCs w:val="false"/>
          <w:sz w:val="22"/>
          <w:szCs w:val="22"/>
        </w:rPr>
        <w:t xml:space="preserve">Alcohol tolerances are selected per beverage class from the CFR (spirits, the wine 14 percent boundary rules, malt, cider by production method), with absolute boundary limits enforced separately from the symmetric band. Two judgment calls (cider classification, the unknown-class default to the tightest band) are flagged in code for verification before production use.</w:t>
      </w:r>
    </w:p>
    <w:p>
      <w:pPr>
        <w:pStyle w:val="Heading1"/>
      </w:pPr>
      <w:r>
        <w:t xml:space="preserve">9.  Trade-offs and limitations</w:t>
      </w:r>
    </w:p>
    <w:p>
      <w:pPr>
        <w:pStyle w:val="ListParagraph"/>
        <w:numPr>
          <w:ilvl w:val="0"/>
          <w:numId w:val="4"/>
        </w:numPr>
        <w:spacing w:after="90"/>
      </w:pPr>
      <w:r>
        <w:rPr>
          <w:b w:val="false"/>
          <w:bCs w:val="false"/>
          <w:sz w:val="22"/>
          <w:szCs w:val="22"/>
        </w:rPr>
        <w:t xml:space="preserve">Offline-first cuts both ways. The default mock provider makes every test and CI run deterministic with zero keys, but out of the box it only recognizes the bundled sample labels; reading arbitrary photos requires configuring a real provider, as the deployed demo does. The demo screen says this plainly.</w:t>
      </w:r>
    </w:p>
    <w:p>
      <w:pPr>
        <w:pStyle w:val="ListParagraph"/>
        <w:numPr>
          <w:ilvl w:val="0"/>
          <w:numId w:val="4"/>
        </w:numPr>
        <w:spacing w:after="90"/>
      </w:pPr>
      <w:r>
        <w:rPr>
          <w:b w:val="false"/>
          <w:bCs w:val="false"/>
          <w:sz w:val="22"/>
          <w:szCs w:val="22"/>
        </w:rPr>
        <w:t xml:space="preserve">No image rectification. Badly photographed labels (angles, glare) get a graceful re-upload prompt rather than deskewing, matching the brief's guidance that handling them is out of scope but failing well is not. The self-consistency vote absorbs ordinary read noise.</w:t>
      </w:r>
    </w:p>
    <w:p>
      <w:pPr>
        <w:pStyle w:val="ListParagraph"/>
        <w:numPr>
          <w:ilvl w:val="0"/>
          <w:numId w:val="4"/>
        </w:numPr>
        <w:spacing w:after="90"/>
      </w:pPr>
      <w:r>
        <w:rPr>
          <w:b w:val="false"/>
          <w:bCs w:val="false"/>
          <w:sz w:val="22"/>
          <w:szCs w:val="22"/>
        </w:rPr>
        <w:t xml:space="preserve">No physical-measurement rules. Type-size minimums and layout placement requirements (same field of vision, separate and apart) cannot be measured from extracted text; checking them honestly needs layout-preserving OCR, which is noted as the natural next provider capability.</w:t>
      </w:r>
    </w:p>
    <w:p>
      <w:pPr>
        <w:pStyle w:val="ListParagraph"/>
        <w:numPr>
          <w:ilvl w:val="0"/>
          <w:numId w:val="4"/>
        </w:numPr>
        <w:spacing w:after="90"/>
      </w:pPr>
      <w:r>
        <w:rPr>
          <w:b w:val="false"/>
          <w:bCs w:val="false"/>
          <w:sz w:val="22"/>
          <w:szCs w:val="22"/>
        </w:rPr>
        <w:t xml:space="preserve">No registry-backed checks. Formula approvals or permit matching need TTB records, not the label; they are out of scope by design.</w:t>
      </w:r>
    </w:p>
    <w:p>
      <w:pPr>
        <w:pStyle w:val="ListParagraph"/>
        <w:numPr>
          <w:ilvl w:val="0"/>
          <w:numId w:val="4"/>
        </w:numPr>
        <w:spacing w:after="90"/>
      </w:pPr>
      <w:r>
        <w:rPr>
          <w:b w:val="false"/>
          <w:bCs w:val="false"/>
          <w:sz w:val="22"/>
          <w:szCs w:val="22"/>
        </w:rPr>
        <w:t xml:space="preserve">The demo endpoint is unauthenticated and unthrottled. Upload-size caps and bounded fan-out are enforced in the route, but per-client rate limiting belongs to an API gateway in production rather than hand-rolled prototype code.</w:t>
      </w:r>
    </w:p>
    <w:p>
      <w:pPr>
        <w:pStyle w:val="ListParagraph"/>
        <w:numPr>
          <w:ilvl w:val="0"/>
          <w:numId w:val="4"/>
        </w:numPr>
        <w:spacing w:after="90"/>
      </w:pPr>
      <w:r>
        <w:rPr>
          <w:b w:val="false"/>
          <w:bCs w:val="false"/>
          <w:sz w:val="22"/>
          <w:szCs w:val="22"/>
        </w:rPr>
        <w:t xml:space="preserve">Confidence calibration is reported honestly: the Brier and ECE numbers from the offline harness calibrate the pipeline over fixtures, not a live model, and the documentation says so rather than implying more.</w:t>
      </w:r>
    </w:p>
    <w:p>
      <w:pPr>
        <w:pStyle w:val="Heading1"/>
      </w:pPr>
      <w:r>
        <w:t xml:space="preserve">10.  If this moved toward production</w:t>
      </w:r>
    </w:p>
    <w:p>
      <w:pPr>
        <w:spacing w:after="140"/>
      </w:pPr>
      <w:r>
        <w:rPr>
          <w:sz w:val="22"/>
          <w:szCs w:val="22"/>
        </w:rPr>
        <w:t xml:space="preserve">The first steps are deliberately boring: deploy the existing container in-tenant on Azure with provisioned model quota, put the endpoint behind the agency gateway for authentication and rate limiting, and turn on the opt-in escalation pass where accuracy on contested reads is worth the tail latency. After that: layout-preserving OCR to unlock the physical-measurement rules, a sampled human-audit loop over auto-approvals to keep measuring the false-approval rate in the field, and only then a conversation about COLA integration, which is an authorization and procurement problem more than a technical one.</w:t>
      </w:r>
    </w:p>
    <w:p>
      <w:pPr>
        <w:spacing w:after="140"/>
      </w:pPr>
      <w:r>
        <w:rPr>
          <w:sz w:val="22"/>
          <w:szCs w:val="22"/>
        </w:rPr>
        <w:t xml:space="preserve">The prototype's job was to prove the shape: a tool fast enough that agents keep using it, honest enough that every verdict can be explained with a citation, and conservative enough that the errors it makes are the cheap kind. The measurements above are the evidence.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40" w:before="24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uqlitrodhefpte3eodo2" Type="http://schemas.openxmlformats.org/officeDocument/2006/relationships/hyperlink" Target="https://ttb-label-verifier-matthew-nolan-s-projects.vercel.app" TargetMode="External"/><Relationship Id="rIddsnxi-rtp1240ysv_dyvy"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2026-06-11T05:40:50.019Z</dcterms:created>
  <dcterms:modified xsi:type="dcterms:W3CDTF">2026-06-11T05:40:50.019Z</dcterms:modified>
</cp:coreProperties>
</file>

<file path=docProps/custom.xml><?xml version="1.0" encoding="utf-8"?>
<Properties xmlns="http://schemas.openxmlformats.org/officeDocument/2006/custom-properties" xmlns:vt="http://schemas.openxmlformats.org/officeDocument/2006/docPropsVTypes"/>
</file>