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2"/>
          <w:szCs w:val="32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@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WittyFeed (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Mobile Team Lead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)</w:t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Laravel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04230" cy="1905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 Pvt. Ltd.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(Intern)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, PHP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leftChars="0" w:right="0" w:firstLine="0" w:firstLineChars="0"/>
        <w:jc w:val="both"/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</w:p>
    <w:p>
      <w:pPr>
        <w:spacing w:line="240" w:lineRule="auto"/>
        <w:ind w:left="0" w:right="0" w:firstLine="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DuckDuckGo (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Open Source Contributor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93979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pacing w:line="240" w:lineRule="auto"/>
        <w:ind w:left="1620" w:right="0" w:hanging="1620"/>
        <w:jc w:val="both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Zulip (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Open Source Contributor</w:t>
      </w:r>
      <w:bookmarkStart w:id="0" w:name="_GoBack"/>
      <w:bookmarkEnd w:id="0"/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)</w:t>
      </w:r>
    </w:p>
    <w:p>
      <w:pPr>
        <w:pageBreakBefore w:val="0"/>
        <w:widowControl/>
        <w:bidi w:val="0"/>
        <w:spacing w:before="0" w:after="0" w:line="240" w:lineRule="auto"/>
        <w:ind w:left="0" w:right="0" w:firstLine="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numPr>
          <w:numId w:val="0"/>
        </w:numPr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Strengths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0" w:leftChars="0" w:right="0" w:rightChars="0" w:firstLine="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Quick Learner 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96237">
    <w:nsid w:val="5A60D82D"/>
    <w:multiLevelType w:val="singleLevel"/>
    <w:tmpl w:val="5A60D82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  <w:num w:numId="3">
    <w:abstractNumId w:val="1516296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9F8F00"/>
    <w:rsid w:val="32FF161B"/>
    <w:rsid w:val="5EDF944D"/>
    <w:rsid w:val="75ABA978"/>
    <w:rsid w:val="AFFF815D"/>
    <w:rsid w:val="B3775443"/>
    <w:rsid w:val="EF7F2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579</Words>
  <Characters>3864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2017-03-18T10:19:00Z</dcterms:created>
  <dc:creator>Abhay Maniyar</dc:creator>
  <cp:lastModifiedBy>abhay</cp:lastModifiedBy>
  <dcterms:modified xsi:type="dcterms:W3CDTF">2018-01-18T22:55:10Z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