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CYBR 525</w:t>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Group Project</w:t>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1: Megan Geer, Jordan Holloway, Maxine Jones, Drew Hoyer, Olivia Saylor</w:t>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after="240" w:before="240" w:line="240" w:lineRule="auto"/>
        <w:ind w:left="0" w:firstLine="0"/>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b w:val="1"/>
          <w:bCs w:val="1"/>
          <w:sz w:val="24"/>
          <w:szCs w:val="24"/>
          <w:rtl w:val="0"/>
        </w:rPr>
        <w:t xml:space="preserve">Executive Summary</w:t>
      </w:r>
      <w:r w:rsidDel="00000000" w:rsidR="00000000" w:rsidRPr="00000000">
        <w:rPr>
          <w:rFonts w:ascii="Times New Roman" w:cs="Times New Roman" w:eastAsia="Times New Roman" w:hAnsi="Times New Roman"/>
          <w:sz w:val="24"/>
          <w:szCs w:val="24"/>
          <w:rtl w:val="0"/>
        </w:rPr>
        <w:br w:type="textWrapping"/>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In today's digitally connected business environment, many fintech organizations rely on technology to not only deliver secure financial products and process transactions, but to also maintain customer trust. For SecurityGroup101, a rapidly expanding fintech firm specializing in cloud-based financial platforms, digital payment services, and financial data analytics, protecting the company's information systems is not only an IT activity, but it is an essential business function. As the company continues to grow and scale its financial-services partnerships and infrastructure, there has been an increase of exposure to cybersecurity threats, such as data breaches, fraud, operational outages, and regulatory non-compliance. These risks can lead to severe consequences such as financial loss, reputational damage, service disruptions, and erosion of customer confidence if they are not governed effectively.</w:t>
      </w:r>
    </w:p>
    <w:p w:rsidR="00000000" w:rsidDel="00000000" w:rsidP="00000000" w:rsidRDefault="00000000" w:rsidRPr="00000000" w14:paraId="00000029">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better understand the company’s exposure to these cybersecurity threats, SecurityGroup101 conducted a Quantitative Risk Assessment (QRA) in order to identify measure and prioritize its threats using different indicators such as Single Loss Expectancy (SLE), Annual Rate of Occurrence (ARO), as well as the Annualized Loss Expectancy (ALE). Using these data-driven methods allowed for the company to notice the financial impact of the different vulnerabilities, which allowed for leadership to make more informed decisions on where to allocate resources. The results of the QRA revealed that the two highest financial risks were the company’s customer data, which had an ALE of $500,000, and the employee workstations, which had an ALE of $400,000. Additionally, the company had more moderate-risk assets such as financial records, backup systems, cloud storage, and proprietary software, which further highlights SecurityGroup101’s need for consistent governance, as well as a stronger risk management structure across the organization.</w:t>
      </w:r>
    </w:p>
    <w:p w:rsidR="00000000" w:rsidDel="00000000" w:rsidP="00000000" w:rsidRDefault="00000000" w:rsidRPr="00000000" w14:paraId="0000002A">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SecurityGroup101 continues to expand, the company has been facing a risk landscape and growing threats that is growing faster than the company is currently able to manage through its current fragmented risk management procedures. Due to the company not having a centralized and standardized approach to managing risks, there have been several risks that were identified in an inconsistent manner, a lack of consistent controls across the various departments, and critical issues that have gone unnoticed until they have escalated into major security incidents. This lack of coordination across SecurityGroup101’s various departments have not only increased the likelihood of financial and operational disruptions, but also made it more difficult to get a clear understanding of the true risk posture of the organization. These issues have created a critical need for SecurityGroup101 to establish a comprehensive Governance, Risk, and Compliance (GRC) program. A GRC program is an integrated collection of capabilities that enables organizations to reliably achieve objectives, address uncertainties, and act with integrity (OCEG, n.d). </w:t>
      </w:r>
    </w:p>
    <w:p w:rsidR="00000000" w:rsidDel="00000000" w:rsidP="00000000" w:rsidRDefault="00000000" w:rsidRPr="00000000" w14:paraId="0000002B">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implementation of a formal GRC program, SecurityGroup101 will be able to unify its risk, compliance, and governance activities under a centralized framework, which will ensure that the risks the company faces are properly identified, assessed, and addressed in a consistent and efficient manner. In addition, the GRC program will also introduce standardized control practices, and improved oversight and reporting across all departments. In order to meet the company’s needs, SecurityGroup101 will need to adopt a framework-aligned GRC model that strengthens governance, enhances visibility, and supports regulatory compliance. Governance will be structured around COBIT 2019 as well as ISO 38500, which helps to provide clear insight on decision rights, accountability, and board-level oversight. Risk management will follow NIST SP 800-30 and the NIST Cybersecurity Framework (CSF), which enables the organization to continue to use the quantitative risk data in order to prioritize and remediate threats based on financial and operational impact. Finally, compliance efforts will align with PCI DSS, CIS Controls, as well as any applicable financial-sector regulations, which helps to ensure continuous monitoring, audit readiness, as well as the protection of regulated financial data across all systems and services.</w:t>
      </w:r>
    </w:p>
    <w:p w:rsidR="00000000" w:rsidDel="00000000" w:rsidP="00000000" w:rsidRDefault="00000000" w:rsidRPr="00000000" w14:paraId="0000002C">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ensure the proper implementation of this GRC model, SecurityGroup101 will follow a structured, multiphase roadmap that is designed to support a scalable, and long-term maturity. The first phase, which is the Assessment phase, will involve conducting a maturity review across all departments. This includes mapping regulatory requirements, validating the company’s asset inventory, as well as performing a gap analysis in order to establish a clear understanding of the company’s current risk posture. The second phase, which is the Build phase, will focus on the formalization of the governance structure, by defining roles and responsibilities, as well as establishing the standardized control practices, develop a policy lifecycle process, and finally implementing an organization wide GRC training in order to ensure that all employees understand their responsibilities in maintaining secure and compliant operations. In the third phase, which is the Implementation phase, SecurityGroup101 will deploy a compliance-automation platform which will initiate PCI DSS alignment, as well as integrate continuous monitoring of workflows and apply risk-reduction controls to the ongoing assessments. The final phase of the GRC implementation plan is the Monitor and Improve phase. This phase will introduce ongoing compliance monitoring, regular internal audits across departments, Key Performance Indicator (KPI) and Key Risk Indicator (KRI) tracking, as well as engaging in recurring assessments in order to evaluate the effectiveness of the GRC program. The final phase helps to ensure that SecurityGroup101 is continuously adapting to new cybersecurity threats, updating their regulatory requirements routinely, as well as strengthening the organization's governance and risk management capabilities as the company continues to grow. Overall, with the implementation of a formal GRC program, SecurityGroup101 will have a strengthened security posture, an enhanced regulatory compliance, and more of a long term operational resilience needed to support the company’s continued growth and maintain customers' trust in an increasingly complex fintech landscape.</w:t>
      </w:r>
    </w:p>
    <w:p w:rsidR="00000000" w:rsidDel="00000000" w:rsidP="00000000" w:rsidRDefault="00000000" w:rsidRPr="00000000" w14:paraId="0000002D">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Background</w:t>
        <w:br w:type="textWrapping"/>
      </w:r>
      <w:r w:rsidDel="00000000" w:rsidR="00000000" w:rsidRPr="00000000">
        <w:rPr>
          <w:rFonts w:ascii="Times New Roman" w:cs="Times New Roman" w:eastAsia="Times New Roman" w:hAnsi="Times New Roman"/>
          <w:sz w:val="24"/>
          <w:szCs w:val="24"/>
          <w:rtl w:val="0"/>
        </w:rPr>
        <w:t xml:space="preserve">SecurityGroup101 is a midsized, rapidly growing fintech organization that specializes in cloud-based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financial platforms, digital payment services, and financial data analytics. As a newly emerging competitor in the financial technology market, SecurityGroup101 operates at the intersection of high-speed technology innovations, as well as strict regulatory requirements, supporting systems that process financial transactions, stores customers’ sensitive data, as well as enables real-time data insights for the company’s clients across banking, e-commerce, as well as the enterprise sectors.</w:t>
      </w:r>
    </w:p>
    <w:p w:rsidR="00000000" w:rsidDel="00000000" w:rsidP="00000000" w:rsidRDefault="00000000" w:rsidRPr="00000000" w14:paraId="0000002E">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SecurityGroup101 services often rely heavily on modern, interconnected technology architecture such as cloud infrastructures, proprietary software applications, financial databases, and customer-facing digital tools. Due to this, investment in cybersecurity is not only a core operational requirement, but it is also a major component of the company’s ability to deliver secure, reliable, and compliant financial solutions.</w:t>
      </w:r>
    </w:p>
    <w:p w:rsidR="00000000" w:rsidDel="00000000" w:rsidP="00000000" w:rsidRDefault="00000000" w:rsidRPr="00000000" w14:paraId="0000002F">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SecurityGroup101’s most competitive edge against its competitors is its ability to onboard clients quickly while also maintaining high availability of service across its cloud-based platforms. However, due to the company’s rapid growth, the organization is facing an increase of cybersecurity threats due to its increased attack surface. As the organization continues to grow and scale its financial services, partner with larger institutions, and continue to process large amounts of sensitive data, maintaining a strong governance structure, risk management techniques, and compliance practices have become essential for ensuring the companies long-term stability as well as the customer’s trust.</w:t>
      </w:r>
    </w:p>
    <w:p w:rsidR="00000000" w:rsidDel="00000000" w:rsidP="00000000" w:rsidRDefault="00000000" w:rsidRPr="00000000" w14:paraId="00000030">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support SecurityGroup101’s expanding operations, the company maintains a complex ecosystem of different critical assets, including customers data repositories, employee workstations, proprietary financial platforms, and cloud storage and development environments, and payment processing systems. With these assets, SecurityGroup101 is able to operate efficiently, however this also introduces the need for high regulatory and cybersecurity expectations due to the sensitive nature of the financial data that they handle. SecurityGroup101’s recent Quantitative Risk Assessment highlighted that customer data and employee workstations represented the highest financial exposure, which confirms how the company’s rapid growth must be matched with stronger governance, standardized controls, and improved oversight. These factors prove the necessity for SecurityGroup101 to implement a unified Governance, Risk, and Compliance (GRC) program in order to strengthen the company’s oversight, and ensure long term operational resilience.</w:t>
      </w:r>
    </w:p>
    <w:p w:rsidR="00000000" w:rsidDel="00000000" w:rsidP="00000000" w:rsidRDefault="00000000" w:rsidRPr="00000000" w14:paraId="00000031">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 for GRC Program</w:t>
      </w:r>
      <w:r w:rsidDel="00000000" w:rsidR="00000000" w:rsidRPr="00000000">
        <w:rPr>
          <w:rFonts w:ascii="Times New Roman" w:cs="Times New Roman" w:eastAsia="Times New Roman" w:hAnsi="Times New Roman"/>
          <w:sz w:val="24"/>
          <w:szCs w:val="24"/>
          <w:rtl w:val="0"/>
        </w:rPr>
        <w:br w:type="textWrapping"/>
        <w:t xml:space="preserve">With today’s evolving cybersecurity landscape, risk is accelerating faster than our ability to manage it. This creates a critical need for the organization to establish a Governance, Risk, and Compliance (GRC) program.</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GRC program is the integrated collection of capabilities that enable an organization to reliably achieve objectives, address uncertainty, and act with integrity to achieve principled performance, (OCEG, n.d.). Without a unified approach, the organization will face significant financial, operational, and reputational impacts. This program will protect the enterprise, enable informed decision-making, and ensure resilience. It is a strategic enabler for long-term sustainability of the organization.</w:t>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Deliverables of the Organization’s GRC Program:</w:t>
      </w:r>
    </w:p>
    <w:p w:rsidR="00000000" w:rsidDel="00000000" w:rsidP="00000000" w:rsidRDefault="00000000" w:rsidRPr="00000000" w14:paraId="00000033">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Enterprise-wide visibility into risk and compliance.</w:t>
      </w:r>
    </w:p>
    <w:p w:rsidR="00000000" w:rsidDel="00000000" w:rsidP="00000000" w:rsidRDefault="00000000" w:rsidRPr="00000000" w14:paraId="00000034">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processes and technology for efficiency, consistency, and cost optimization.</w:t>
      </w:r>
    </w:p>
    <w:p w:rsidR="00000000" w:rsidDel="00000000" w:rsidP="00000000" w:rsidRDefault="00000000" w:rsidRPr="00000000" w14:paraId="00000035">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Proactive risk mitigation aligned with business objectives.</w:t>
      </w:r>
    </w:p>
    <w:p w:rsidR="00000000" w:rsidDel="00000000" w:rsidP="00000000" w:rsidRDefault="00000000" w:rsidRPr="00000000" w14:paraId="00000036">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Streamlined controls with compliance frameworks for board-level confidence in governance and resilience.</w:t>
      </w:r>
    </w:p>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safeguard our enterprise, it is important to understand the key drivers behind the need for a formal GRC program. The drivers for this program include escalating cyber risk, regulatory mandates, inefficient internal processes and legacy tools, and incident events which have occurred. A cyber-attack can result in millions of dollars in financial losses, eliminate customer trust, and create regulatory investigations. According to the IBM Cost of a Data Breach Report 2025, the global average cost of a data breach is 4.4 million dollars, (IBM, 2025). Our leadership is accountable for ensuring robust oversight and resilience against these threats to reduce the likelihood of this type of loss. Additionally, regulatory pressure continues to increase. Global compliance requirements such as GDPR, SOX, PCI DSS, and industry-specific mandates are expanding, and failure to comply can lead to severe penalties and reputational damage. Regulators now expect organizations to demonstrate proactive governance and risk management practices, which can be established with a formal GRC program. Inefficient business processes further increase these challenges. Many risk and compliance processes remain manual and inconsistent, creating delays, errors, and blind spots. Additionally, risks can often occur across departments, through legacy tools that lack integration and real-time visibility. Our leadership needs to know that risk management is systematic, scalable, and aligned with strategic objectives to make confident decisions. Whether that is shown through qualitative or quantitative measures will be determined by the leadership and is dependable on factors such as available data, time and resources, and expertise. Finally, recent losses and near-miss events expose critical gaps in our risk posture. While the organization has avoided a catastrophic impact so far, the likelihood of a major incident is increasing. Proactive measures are essential to prevent damage. To highlight a real-world incident, we can take a look at Oracle Health Centers, who suffered a breach of their outdated data migration servers in March of 2025. In this breach, legacy servers which were still used by some hospitals to transfer patient data were compromised and at least 14,485 individuals were impacted (Novikava, 2025). The initial compromise was damageable, but Cerner’s connections to multiple hospital environments amplified the risk even further. This incident shows how unpatched legacy systems and accounts can expose sensitive health data, creating the potential for data breach and financial gain for attackers. There are several practical solutions that could have prevented or mitigated the Oracle Health legacy server breach. A GRC program would be a huge step in this by establishing clear governance, enforcing risk assessments for legacy systems, and ensuring compliance with security standards. By integrating continuous monitoring, patch management, and vendor oversight into the GRC framework, organizations can reduce vulnerabilities, improve accountability, and strengthen resilience against similar attacks.</w:t>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 that implement GRC programs report significant benefits. 89% of companies with integrated GRC programs say the benefits met or exceeded expectations, including improved decision-making and reduced risk exposure. In today’s risk environment, these concepts are not optional. They are a business necessity. Companies that fail to implement a robust GRC program risk financial loss, regulatory penalties, and reputational damage that can take years to recover from. However, organizations that embrace GRC programs gain a competitive advantage through resilience, trust, and strategic growth (West, 2024).</w:t>
      </w:r>
    </w:p>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establishing a formal GRC program is not just about compliance. It is a strategic investment that drives measurable business value. A single cyber-attack can cost millions and ruin customer trust. A GRC program provides leadership with the visibility and control needed to make confident, data-driven decisions. It transforms risk management from a reactive cost center into a proactive enabler of growth, efficiency, and resilience. Establishing a GRC program provides a competitive edge through stronger governance, streamlined processes, and enhanced stakeholder confidence. </w:t>
      </w:r>
    </w:p>
    <w:p w:rsidR="00000000" w:rsidDel="00000000" w:rsidP="00000000" w:rsidRDefault="00000000" w:rsidRPr="00000000" w14:paraId="0000003D">
      <w:pPr>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Frameworks &amp; Methodology</w:t>
      </w:r>
    </w:p>
    <w:p w:rsidR="00000000" w:rsidDel="00000000" w:rsidP="00000000" w:rsidRDefault="00000000" w:rsidRPr="00000000" w14:paraId="0000003E">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Fintech companies operate between heavily regulated entities such as banks and moderately regulated Software as a Service (SaaS) which requires a layered mix of legal, security, privacy, industry, risk and financial data compliance GRC frameworks. Due to SecurityGroup101's standing as a mid-size, U.S. based fintech company with aforementioned services, the following ten recommended frameworks will ensure mandatory compliance, align with fintech industry norms, and enhance trust with partner organizations and clients.</w:t>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w:t>
      </w:r>
      <w:r w:rsidDel="00000000" w:rsidR="00000000" w:rsidRPr="00000000">
        <w:rPr>
          <w:rFonts w:ascii="Times New Roman" w:cs="Times New Roman" w:eastAsia="Times New Roman" w:hAnsi="Times New Roman"/>
          <w:b w:val="1"/>
          <w:bCs w:val="1"/>
          <w:sz w:val="24"/>
          <w:szCs w:val="24"/>
          <w:rtl w:val="0"/>
        </w:rPr>
        <w:t xml:space="preserve">Sarbanes-Oxley Act (SOX)</w:t>
      </w:r>
      <w:r w:rsidDel="00000000" w:rsidR="00000000" w:rsidRPr="00000000">
        <w:rPr>
          <w:rFonts w:ascii="Times New Roman" w:cs="Times New Roman" w:eastAsia="Times New Roman" w:hAnsi="Times New Roman"/>
          <w:sz w:val="24"/>
          <w:szCs w:val="24"/>
          <w:rtl w:val="0"/>
        </w:rPr>
        <w:t xml:space="preserve"> - SOX is a U.S. federal law to protect investors by making corporate disclosures more reliable and accurate. SOX is required for publicly traded companies, but compliance is useful for private companies pursuing initial public offering (IPO) to become publicly traded or acquired by a public company. SOX requires accurate financial reporting and establishment of internal controls to prevent fraudulent activities within corporations. SOX certifies top level-officials personally responsible for financial statement integrity (Bowman, 2025). Senior management is responsible for the accuracy of financial reports and the effectiveness of internal controls for financial reporting. CEOs and CFOs are directly accountable for certifying those financial reports, which are additionally attested by external audit companies. SOX compliance is audited annually and public companies are required to form audit committees independent of their management. The cost to adhere to SOX Compliance depends on a company’s complexity and size. It is uncommon for mid-sized companies to spend more on SOX compliance than revenue generated.</w:t>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Gramm-Leach-Bliley Act (GBLA)</w:t>
      </w:r>
      <w:r w:rsidDel="00000000" w:rsidR="00000000" w:rsidRPr="00000000">
        <w:rPr>
          <w:rFonts w:ascii="Times New Roman" w:cs="Times New Roman" w:eastAsia="Times New Roman" w:hAnsi="Times New Roman"/>
          <w:sz w:val="24"/>
          <w:szCs w:val="24"/>
          <w:rtl w:val="0"/>
        </w:rPr>
        <w:t xml:space="preserve"> - GBLA requires companies that offer consumers financial products to explain information sharing practices to customers and to safeguard sensitive data (Federal Trade Commission, 2024). GBLA ensures the confidentiality of customers' personally identifiable information (PII) and financial information by companies through privacy and security standards. The three major rules of GBLA are financial privacy, safeguards and pretexting protection. According to </w:t>
      </w:r>
      <w:r w:rsidDel="00000000" w:rsidR="00000000" w:rsidRPr="00000000">
        <w:rPr>
          <w:rFonts w:ascii="Times New Roman" w:cs="Times New Roman" w:eastAsia="Times New Roman" w:hAnsi="Times New Roman"/>
          <w:sz w:val="24"/>
          <w:szCs w:val="24"/>
          <w:highlight w:val="white"/>
          <w:rtl w:val="0"/>
        </w:rPr>
        <w:t xml:space="preserve">U.S.C Title 15 (a) of Sec. 6801 (GBLA); customers must be notified of information sharing practices and provided a way to opt-out of unnecessary sharing. Additionally, companies must have an information security policy designed to ensure the confidentiality, integrity and availability of customer records and information; protect customer records from anticipated cyber attacks, cyber threats and other attack vectors; and protect against unauthorized access to or use of customer records that could result in harm or inconvenience to the customer. GBLA lowers the risk of penalties and reputational damage to companies caused by data breaches and leaks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highlight w:val="white"/>
          <w:rtl w:val="0"/>
        </w:rPr>
        <w:t xml:space="preserve">What Is the Gramm-Leach-Bliley Act (GLBA)? | UpGuard</w:t>
      </w:r>
      <w:r w:rsidDel="00000000" w:rsidR="00000000" w:rsidRPr="00000000">
        <w:rPr>
          <w:rFonts w:ascii="Times New Roman" w:cs="Times New Roman" w:eastAsia="Times New Roman" w:hAnsi="Times New Roman"/>
          <w:sz w:val="24"/>
          <w:szCs w:val="24"/>
          <w:rtl w:val="0"/>
        </w:rPr>
        <w:t xml:space="preserve">, n.d.)</w:t>
      </w:r>
      <w:r w:rsidDel="00000000" w:rsidR="00000000" w:rsidRPr="00000000">
        <w:rPr>
          <w:rFonts w:ascii="Times New Roman" w:cs="Times New Roman" w:eastAsia="Times New Roman" w:hAnsi="Times New Roman"/>
          <w:sz w:val="24"/>
          <w:szCs w:val="24"/>
          <w:highlight w:val="white"/>
          <w:rtl w:val="0"/>
        </w:rPr>
        <w:t xml:space="preserve">. GBLA auditing is required on an annual basis.</w:t>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Federal Financial Institutions Examination Council Guidelines (FFIEC)</w:t>
      </w:r>
      <w:r w:rsidDel="00000000" w:rsidR="00000000" w:rsidRPr="00000000">
        <w:rPr>
          <w:rFonts w:ascii="Times New Roman" w:cs="Times New Roman" w:eastAsia="Times New Roman" w:hAnsi="Times New Roman"/>
          <w:sz w:val="24"/>
          <w:szCs w:val="24"/>
          <w:rtl w:val="0"/>
        </w:rPr>
        <w:t xml:space="preserve"> - FFIEC ensures uniformity and supervision of financial institutions through the development of examination standards, guidelines, and procedures that federal regulatory agencies use to evaluate financial institutions' compliance with applicable laws (Nelson, 2024). FFIEC based examinations of financial institutions focus on five key areas; safety and readiness, compliance, risk management, financial condition and internal controls and governance. Larger companies are usually examined annually, while smaller institutions are examined every 18 months. Following FFIEC guidelines will prepare our organization for audits and provide an advantage when seeking partnerships with banks and other institutions that are required to follow FFIEC guidelines.</w:t>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bCs w:val="1"/>
          <w:sz w:val="24"/>
          <w:szCs w:val="24"/>
          <w:rtl w:val="0"/>
        </w:rPr>
        <w:t xml:space="preserve">Control Objectives for Information and Related Technologies (COBIT) 2019</w:t>
      </w:r>
      <w:r w:rsidDel="00000000" w:rsidR="00000000" w:rsidRPr="00000000">
        <w:rPr>
          <w:rFonts w:ascii="Times New Roman" w:cs="Times New Roman" w:eastAsia="Times New Roman" w:hAnsi="Times New Roman"/>
          <w:sz w:val="24"/>
          <w:szCs w:val="24"/>
          <w:rtl w:val="0"/>
        </w:rPr>
        <w:t xml:space="preserve"> - COBIT is an IT governance framework developed by the Information Systems Audit and Control Association (ISACA) to provide guidance and best practices for organizations to manage information and technology (</w:t>
      </w:r>
      <w:r w:rsidDel="00000000" w:rsidR="00000000" w:rsidRPr="00000000">
        <w:rPr>
          <w:rFonts w:ascii="Times New Roman" w:cs="Times New Roman" w:eastAsia="Times New Roman" w:hAnsi="Times New Roman"/>
          <w:i w:val="1"/>
          <w:iCs w:val="1"/>
          <w:sz w:val="24"/>
          <w:szCs w:val="24"/>
          <w:highlight w:val="white"/>
          <w:rtl w:val="0"/>
        </w:rPr>
        <w:t xml:space="preserve">What Is COBIT? Principles and Enablers Explained</w:t>
      </w:r>
      <w:r w:rsidDel="00000000" w:rsidR="00000000" w:rsidRPr="00000000">
        <w:rPr>
          <w:rFonts w:ascii="Times New Roman" w:cs="Times New Roman" w:eastAsia="Times New Roman" w:hAnsi="Times New Roman"/>
          <w:sz w:val="24"/>
          <w:szCs w:val="24"/>
          <w:rtl w:val="0"/>
        </w:rPr>
        <w:t xml:space="preserve">, 2024). COBIT aligns IT practices with business objectives, improves cybersecurity, and strengthens governance methodology. COBIT establishes a common language for IT professionals, compliance auditors, and executive management allowing organizations to define clear objectives understood by all and implement a structured approach to achieve them. Following COBIT methodology improves risk management practices, ensures compliance with regulatory requirements, and optimizes the use of IT resources and technology costs. COBIT is a leading management framework for organizations to properly manage information and technology due to its complete and systematic approach to IT governance and </w:t>
      </w:r>
      <w:r w:rsidDel="00000000" w:rsidR="00000000" w:rsidRPr="00000000">
        <w:rPr>
          <w:rFonts w:ascii="Times New Roman" w:cs="Times New Roman" w:eastAsia="Times New Roman" w:hAnsi="Times New Roman"/>
          <w:sz w:val="24"/>
          <w:szCs w:val="24"/>
          <w:highlight w:val="white"/>
          <w:rtl w:val="0"/>
        </w:rPr>
        <w:t xml:space="preserve">risk management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b w:val="1"/>
          <w:bCs w:val="1"/>
          <w:sz w:val="24"/>
          <w:szCs w:val="24"/>
          <w:rtl w:val="0"/>
        </w:rPr>
        <w:t xml:space="preserve">International Organization for Standardization (ISO) 38500: 2024 </w:t>
      </w:r>
      <w:r w:rsidDel="00000000" w:rsidR="00000000" w:rsidRPr="00000000">
        <w:rPr>
          <w:rFonts w:ascii="Times New Roman" w:cs="Times New Roman" w:eastAsia="Times New Roman" w:hAnsi="Times New Roman"/>
          <w:sz w:val="24"/>
          <w:szCs w:val="24"/>
          <w:rtl w:val="0"/>
        </w:rPr>
        <w:t xml:space="preserve">- This framework provides guiding principles for the governance, effective, efficient and acceptable use of information technology (IT) within organizations (ISO, 2024). This is a strategic framework that establishes principles for directors to use when evaluating, directing &amp; monitoring the use of information technology in their organizations. This standard focuses on the strategic alignment of IT with business objectives &amp; ensuring that IT investments deliver value while managing associated risks. Governance reviews should align with strategic planning cycles, typically annually or bi-annually (</w:t>
      </w:r>
      <w:r w:rsidDel="00000000" w:rsidR="00000000" w:rsidRPr="00000000">
        <w:rPr>
          <w:rFonts w:ascii="Times New Roman" w:cs="Times New Roman" w:eastAsia="Times New Roman" w:hAnsi="Times New Roman"/>
          <w:i w:val="1"/>
          <w:iCs w:val="1"/>
          <w:sz w:val="24"/>
          <w:szCs w:val="24"/>
          <w:highlight w:val="white"/>
          <w:rtl w:val="0"/>
        </w:rPr>
        <w:t xml:space="preserve">ISO 38500 vs ISO 27001: Governance vs Information Security Management</w:t>
      </w:r>
      <w:r w:rsidDel="00000000" w:rsidR="00000000" w:rsidRPr="00000000">
        <w:rPr>
          <w:rFonts w:ascii="Times New Roman" w:cs="Times New Roman" w:eastAsia="Times New Roman" w:hAnsi="Times New Roman"/>
          <w:sz w:val="24"/>
          <w:szCs w:val="24"/>
          <w:rtl w:val="0"/>
        </w:rPr>
        <w:t xml:space="preserve">, 2024).</w:t>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b w:val="1"/>
          <w:bCs w:val="1"/>
          <w:sz w:val="24"/>
          <w:szCs w:val="24"/>
          <w:rtl w:val="0"/>
        </w:rPr>
        <w:t xml:space="preserve">ISO 27001</w:t>
      </w:r>
      <w:r w:rsidDel="00000000" w:rsidR="00000000" w:rsidRPr="00000000">
        <w:rPr>
          <w:rFonts w:ascii="Times New Roman" w:cs="Times New Roman" w:eastAsia="Times New Roman" w:hAnsi="Times New Roman"/>
          <w:sz w:val="24"/>
          <w:szCs w:val="24"/>
          <w:rtl w:val="0"/>
        </w:rPr>
        <w:t xml:space="preserve"> - The global standard for information security management, helps fintech companies safeguard sensitive financial data, prevent breaches, and comply with strict regulatory requirements (Team, 2025). This framework provides a systematic approach to managing sensitive company information, ensuring it remains secure through comprehensive risk management processes, technical controls &amp; organizational measures. Formal reviews should occur at least annually, with continuous monitoring throughout the year (</w:t>
      </w:r>
      <w:r w:rsidDel="00000000" w:rsidR="00000000" w:rsidRPr="00000000">
        <w:rPr>
          <w:rFonts w:ascii="Times New Roman" w:cs="Times New Roman" w:eastAsia="Times New Roman" w:hAnsi="Times New Roman"/>
          <w:i w:val="1"/>
          <w:iCs w:val="1"/>
          <w:sz w:val="24"/>
          <w:szCs w:val="24"/>
          <w:highlight w:val="white"/>
          <w:rtl w:val="0"/>
        </w:rPr>
        <w:t xml:space="preserve">ISO 38500 vs ISO 27001: Governance vs Information Security Management</w:t>
      </w:r>
      <w:r w:rsidDel="00000000" w:rsidR="00000000" w:rsidRPr="00000000">
        <w:rPr>
          <w:rFonts w:ascii="Times New Roman" w:cs="Times New Roman" w:eastAsia="Times New Roman" w:hAnsi="Times New Roman"/>
          <w:sz w:val="24"/>
          <w:szCs w:val="24"/>
          <w:rtl w:val="0"/>
        </w:rPr>
        <w:t xml:space="preserve">, 2024).</w:t>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r w:rsidDel="00000000" w:rsidR="00000000" w:rsidRPr="00000000">
        <w:rPr>
          <w:rFonts w:ascii="Times New Roman" w:cs="Times New Roman" w:eastAsia="Times New Roman" w:hAnsi="Times New Roman"/>
          <w:b w:val="1"/>
          <w:bCs w:val="1"/>
          <w:sz w:val="24"/>
          <w:szCs w:val="24"/>
          <w:rtl w:val="0"/>
        </w:rPr>
        <w:t xml:space="preserve">National Institute of Standards and Technology (NIST) Special Publication (SP) 800-30</w:t>
      </w:r>
      <w:r w:rsidDel="00000000" w:rsidR="00000000" w:rsidRPr="00000000">
        <w:rPr>
          <w:rFonts w:ascii="Times New Roman" w:cs="Times New Roman" w:eastAsia="Times New Roman" w:hAnsi="Times New Roman"/>
          <w:sz w:val="24"/>
          <w:szCs w:val="24"/>
          <w:rtl w:val="0"/>
        </w:rPr>
        <w:t xml:space="preserve"> - NIST SP 800-30 provides a thorough, structured methodology for federal agencies and private organizations to conduct risk assessments in alignment with industry expectations. The framework provides a foundation organizations can follow to systematically identify threats, vulnerabilities, likelihoods, and potential impacts, enabling them to prioritize security investments and strengthen their overall risk posture (National Institute of Standards and Technology, 2012). Following NIST SP 800-30 will ensure consistency across risk assessments and help maintain compliance with financial regulations that require formalized risk assessment practices. This will provide a competitive advantage when establishing partnerships and establishing customer trust.</w:t>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r>
      <w:r w:rsidDel="00000000" w:rsidR="00000000" w:rsidRPr="00000000">
        <w:rPr>
          <w:rFonts w:ascii="Times New Roman" w:cs="Times New Roman" w:eastAsia="Times New Roman" w:hAnsi="Times New Roman"/>
          <w:b w:val="1"/>
          <w:bCs w:val="1"/>
          <w:sz w:val="24"/>
          <w:szCs w:val="24"/>
          <w:rtl w:val="0"/>
        </w:rPr>
        <w:t xml:space="preserve">NIST Cybersecurity Framework (CSF)</w:t>
      </w:r>
      <w:r w:rsidDel="00000000" w:rsidR="00000000" w:rsidRPr="00000000">
        <w:rPr>
          <w:rFonts w:ascii="Times New Roman" w:cs="Times New Roman" w:eastAsia="Times New Roman" w:hAnsi="Times New Roman"/>
          <w:sz w:val="24"/>
          <w:szCs w:val="24"/>
          <w:rtl w:val="0"/>
        </w:rPr>
        <w:t xml:space="preserve"> - NIST CSF provides a structured, risk-based approach to managing and enhancing cybersecurity across business operations (National Institute of Standards and Technology [NIST], 2018). This framework provides industry standardized guidelines to assist organizations with identifying cybersecurity vulnerabilities and implementing controls to include rapid detection and response capabilities. NIST CSF's flexible approach allows scalable security controls in alignment with business priorities to avoid imposing unnecessary controls and costs. Following this framework will mitigate operational, financial and reputational risks and ensure compliance with regulatory standards to position our organization to effectively partner and work with companies and clients.</w:t>
      </w:r>
    </w:p>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b w:val="1"/>
          <w:bCs w:val="1"/>
          <w:sz w:val="24"/>
          <w:szCs w:val="24"/>
          <w:rtl w:val="0"/>
        </w:rPr>
        <w:t xml:space="preserve"> Center for Internet Security (CIS) Security Controls</w:t>
      </w:r>
      <w:r w:rsidDel="00000000" w:rsidR="00000000" w:rsidRPr="00000000">
        <w:rPr>
          <w:rFonts w:ascii="Times New Roman" w:cs="Times New Roman" w:eastAsia="Times New Roman" w:hAnsi="Times New Roman"/>
          <w:sz w:val="24"/>
          <w:szCs w:val="24"/>
          <w:rtl w:val="0"/>
        </w:rPr>
        <w:t xml:space="preserve"> - CIS controls provides an industry recognized framework to manage cyber risk. The controls prioritize safeguards specifically designed to mitigate the most common cyberattacks (Center for Internet Security [CIS], n.d.; Splunk, 2024; UpGuard, 2025). The prioritized controls outlined by CIS allow organizations to direct limited security resources and budgets towards the most common cyber threats. CIS controls are aligned to help ensure compliance with regulatory and industry frameworks including NIST CSF, PCI DSS, and others that will help anchor the organization's implementation of other frameworks (CIS, n.d.; RSI Security, n.d.). Evidence derived from real world case studies show that implementation of CIS controls are proven to reduce cyber risk (CSI, n.d.; Lansweeper, 2025).</w:t>
      </w:r>
    </w:p>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10) </w:t>
      </w:r>
      <w:r w:rsidDel="00000000" w:rsidR="00000000" w:rsidRPr="00000000">
        <w:rPr>
          <w:rFonts w:ascii="Times New Roman" w:cs="Times New Roman" w:eastAsia="Times New Roman" w:hAnsi="Times New Roman"/>
          <w:b w:val="1"/>
          <w:bCs w:val="1"/>
          <w:sz w:val="24"/>
          <w:szCs w:val="24"/>
          <w:highlight w:val="white"/>
          <w:rtl w:val="0"/>
        </w:rPr>
        <w:t xml:space="preserve">Payment Card Industry Data Security Standard (PCI DSS)</w:t>
      </w:r>
      <w:r w:rsidDel="00000000" w:rsidR="00000000" w:rsidRPr="00000000">
        <w:rPr>
          <w:rFonts w:ascii="Times New Roman" w:cs="Times New Roman" w:eastAsia="Times New Roman" w:hAnsi="Times New Roman"/>
          <w:sz w:val="24"/>
          <w:szCs w:val="24"/>
          <w:rtl w:val="0"/>
        </w:rPr>
        <w:t xml:space="preserve"> - PCI DSS outlines a required compliance framework to secure cardholder data and prevent fraud, significantly reducing the likelihood of breaches or security incidents (PCI Security Standards Council, 2024). Non-compliance may result in significant financial penalties, including fines that can range from $5,000 to $100,000 per month and potential restrictions on our ability to process card payments (SecurityCompass, 2025). In addition to financial penalties for non-compliance, data breaches can result in lasting damage to include remediation costs, reputational damage and decline in customers. PCI DSS requires Level 1 merchants, those processing over 6 million transactions a year, to have an annual on-site assessment by a Qualified Security Assessor (QSA) (PCI Security Standards Council, 2022). Compliance with this standard reduces the risk of damage associated with data breaches through enhanced security practices and customer and industry trust.</w:t>
      </w:r>
    </w:p>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aforementioned are the currently recommended frameworks for SecurityGroup101, regulatory standards in the finance industry are constantly evolving creating a complex landscape of over 2,500 distinct regulatory expectations (Hoak, 2025). Therefore, in order to remain competitive and compliant, our organization must continuously assess and adopt robust Governance, Risk, and Compliance (GRC) frameworks that align with industry best practices and regulatory mandates. </w:t>
      </w:r>
    </w:p>
    <w:p w:rsidR="00000000" w:rsidDel="00000000" w:rsidP="00000000" w:rsidRDefault="00000000" w:rsidRPr="00000000" w14:paraId="00000054">
      <w:pPr>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Roadmap &amp; Implementation Plan</w:t>
      </w:r>
    </w:p>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SecurityGroup101 will use a phased roadmap in the development of its new Governance, Risk, and Compliance (GRC) program. Because the company operates in the highly regulated fintech industry, the roadmap is designed to be adaptable, allowing SecurityGroup101 to respond to rapidly evolving cybersecurity threats, regulatory expectations, and potential changes in business scale. This roadmap outlines the major phases and objectives that will guide SecurityGroup101 through the transition from fragmented risk management procedures to a fully integrated GRC program. The roadmap consists of four main phases: Assessment, Build, Implementation, and Monitor &amp; Improve. The timeline for the roadmap spans 18 months in total for the implementation of the entire GRC program.</w:t>
      </w:r>
    </w:p>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 Assessment (0-2 Months)</w:t>
      </w:r>
    </w:p>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Assessment phase consists of foundational information gathering, which is necessary to guide the subsequent GRC program planning at SecurityGroup101. Because SecurityGroup101 currently operates without a centralized risk governance model, this phase prioritizes collecting accurate, organization-wide information about the current security posture, operational maturity, and regulatory obligations.</w:t>
      </w:r>
    </w:p>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phase includes conducting an organizational maturity review to evaluate how each department in SecurityGroup101 currently manages governance, risk, and compliance activities. Additionally, regulatory requirements mapping will be expanded to identify all applicable laws, financial-sector standards, and compliance obligations, including GLBA for safeguarding customer information, FFIEC guidelines for financial institutions, SOX requirements for financial reporting integrity, PCI DSS for payment security, and other frameworks relevant to fintech operations. During this period, the organization must also compile a complete asset inventory, ensuring that all hardware, software, cloud resources, payment systems, and data flows are accurately documented.</w:t>
      </w:r>
    </w:p>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comprehensive gap analysis will compare existing practices to the requirements outlined in COBIT 2019, ISO 38500, NIST SP 800-30, the NIST Cybersecurity Framework (CSF), PCI DSS, CIS Controls, GLBA, FFIEC guidelines, and relevant SOX internal control requirements. Finally, the company will define its baseline risk posture, including insights from the quantitative risk assessment (QRA) which define the highest-risk assets such as customer data and employee workstations. This baseline therefore becomes the reference point for prioritizing remediation activities and developing the remaining phases for implementing the GRC program.</w:t>
      </w:r>
    </w:p>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2: Build (2-7 Months)</w:t>
      </w:r>
    </w:p>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Build phase transforms the findings of the Assessment phase into a structured governance foundation in the company. During this stage, SecurityGroup101 begins establishing the organizational structures necessary to support a long-term GRC program. This includes formalizing governance structures, defining policy decision rights, and establishing oversight responsibilities to ensure clear accountability across all departments. These activities align with COBIT 2019, ISO 38500, and the governance expectations in GLBA, FFIEC, and SOX, which emphasize board-level oversight, defined accountability, and strong internal control environments. By formalizing these structures early, SecurityGroup101 creates a consistent framework for directing, managing, and evaluating governance and risk-related activities.</w:t>
      </w:r>
    </w:p>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focus of this phase is the development of standardized control practices that introduce consistent security, compliance, and operational expectations across the organization. These controls help eliminate departmental inconsistencies identified during the maturity review and gap analysis and align SecurityGroup101 with financial-sector regulatory expectations. The company will also establish a comprehensive policy lifecycle process, including documented procedures for policy creation, approval workflows, version control, review cycles, and change management. This ensures that policies supporting GLBA, PCI DSS, FFIEC, SOX, and other frameworks remain accurate and enforceable as the organization continues to grow.</w:t>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widespread adoption of the GRC framework, this phase also includes the rollout of organization-wide GRC training. Employees will receive role-based instruction on compliance responsibilities, data-handling requirements, and financial-sector regulatory expectations. Remediation activities will be prioritized based on the high-impact risks identified in the quantitative risk assessment, particularly the ALE values tied to customer data and employee workstations. By the end of this phase, SecurityGroup101 will have established a formal governance model, standardized operating procedures, a centralized control framework, and trained employees, laying the foundation for technology deployment and workflow integration in Phase 3.</w:t>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3: Implementation (7-14 Months)</w:t>
      </w:r>
    </w:p>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phase takes the governance structures, controls, and policies developed in the Build phase and integrates them into SecurityGroup101’s day-to-day operations. A key focus during this phase is the deployment of a compliance automation platform, which centralizes risk registers, compliance workflows, audit logs, and control monitoring. This platform will be configured to support adherence to PCI DSS, GLBA, FFIEC, and SOX requirements, enabling workflow management and reporting for all regulatory guidelines. Continuous monitoring will be integrated to allow real-time alerts, anomaly detection, and early identification of compliance issues across IT systems, payment platforms, and databases.</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phase also emphasizes implementing the risk-reduction controls identified during the Assessment and Build phases. SecurityGroup101 will address high-priority vulnerabilities, enhance protections for customer data and employee workstations, and strengthen identity and access management (IAM) processes in line with GLBA Safeguards Rule and FFIEC guidance. PCI DSS alignment will continue with a focus on securing cardholder data, maintaining audit readiness, and enforcing standardized security procedures across all relevant business units. By the end of the Implementation phase, SecurityGroup101 will have transitioned from manual and fragmented processes to a standardized and continuously monitored GRC framework that aligns with regulatory and industry standards.</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4: Monitor &amp; Improve (14-18 Months)</w:t>
      </w:r>
    </w:p>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 &amp; Improve phase ensures that SecurityGroup101’s GRC program can be adaptive, effective, and sustainable in the long-term after implementation. Continuous compliance monitoring will track alignment to regulated internal controls, PCI DSS requirements, GLBA Safeguards, FFIEC guidance, and SOX related financial reporting controls. Regular internal audits and recurring risk assessments will evaluate the effectiveness of the defined policies, controls, and mitigation measures, ensuring that emerging risks are appropriately identified and remediated promptly. Key Performance Indicators (KPIs) and Key Risk Indicators (KRIs) will be monitored through dashboards and reporting to provide leadership and the board with real-time insight into risk exposure, control effectiveness, and compliance status. The organization will also periodically review regulatory changes, emerging threats, and industry best practices to update controls, policies, and procedures accordingly. With this phase, SecurityGroup101 will establish a continuous improvement cycle, maintaining operational resilience, strengthening governance, and ensuring ongoing regulatory compliance while supporting secure growth and maintaining customer trust.</w:t>
      </w:r>
    </w:p>
    <w:p w:rsidR="00000000" w:rsidDel="00000000" w:rsidP="00000000" w:rsidRDefault="00000000" w:rsidRPr="00000000" w14:paraId="000000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Cost/Benefit Analysis</w:t>
        <w:br w:type="textWrapping"/>
      </w:r>
      <w:r w:rsidDel="00000000" w:rsidR="00000000" w:rsidRPr="00000000">
        <w:rPr>
          <w:rFonts w:ascii="Times New Roman" w:cs="Times New Roman" w:eastAsia="Times New Roman" w:hAnsi="Times New Roman"/>
          <w:sz w:val="24"/>
          <w:szCs w:val="24"/>
          <w:rtl w:val="0"/>
        </w:rPr>
        <w:t xml:space="preserve">Implementing a formal GRC program at SecurityGroup101 will require time, money, and effort, but the benefits strongly outweigh the costs. The company will need to spend money on new tools such as a compliance automation platform, upgraded security systems, and possibly outside experts to help with certain parts of the program. There will also be costs related to training employees and adjusting daily operations to match new policies and procedures. In the beginning, some teams may experience slower workflows as everyone learns the new system.</w:t>
      </w:r>
    </w:p>
    <w:p w:rsidR="00000000" w:rsidDel="00000000" w:rsidP="00000000" w:rsidRDefault="00000000" w:rsidRPr="00000000" w14:paraId="000000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these costs may seem high, the benefits of the GRC program provide long-term value. The Quantitative Risk Assessment showed that customer data and employee workstations have the highest expected annual losses, with ALE values of 500,000 dollars and 400,000 dollars. By improving governance, tightening security controls, and introducing continuous monitoring, the company can significantly reduce the likelihood of incidents involving these assets. If the organization reduces expected losses by even 30 to 50 percent, it could avoid hundreds of thousands of dollars in damage each year.</w:t>
      </w:r>
    </w:p>
    <w:p w:rsidR="00000000" w:rsidDel="00000000" w:rsidP="00000000" w:rsidRDefault="00000000" w:rsidRPr="00000000" w14:paraId="000000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reducing financial losses, the GRC program will help SecurityGroup101 avoid expensive regulatory penalties, legal fees, and reputational harm. A single data breach or compliance failure could cost the company millions of dollars and cause long-term damage to customer trust. The GRC program supports stronger decision-making, more consistent processes, and better audit readiness. It also helps employees understand their responsibilities, which reduces mistakes and strengthens the overall security posture.</w:t>
      </w:r>
    </w:p>
    <w:p w:rsidR="00000000" w:rsidDel="00000000" w:rsidP="00000000" w:rsidRDefault="00000000" w:rsidRPr="00000000" w14:paraId="000000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these factors, the benefits of the GRC program clearly outweigh the costs. Preventing one major incident or avoiding one major penalty can easily pay for the entire program, and the organization will continue to gain value for years afterward.</w:t>
      </w:r>
    </w:p>
    <w:p w:rsidR="00000000" w:rsidDel="00000000" w:rsidP="00000000" w:rsidRDefault="00000000" w:rsidRPr="00000000" w14:paraId="000000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br w:type="textWrapping"/>
        <w:t xml:space="preserve">SecurityGroup101 is growing quickly in the fintech industry, and that growth brings new cybersecurity risks and increasing regulatory pressure. The company’s risk assessment showed that several important assets, especially customer data and employee workstations, face high levels of financial exposure. At the same time, the company’s risk management processes are inconsistent and not centralized, which makes it difficult for leadership to fully understand the company’s risk posture.</w:t>
      </w:r>
    </w:p>
    <w:p w:rsidR="00000000" w:rsidDel="00000000" w:rsidP="00000000" w:rsidRDefault="00000000" w:rsidRPr="00000000" w14:paraId="000000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Governance, Risk, and Compliance program provides a strong solution to these challenges. By aligning with frameworks such as COBIT 2019, ISO 38500, NIST SP 800-30, the NIST Cybersecurity Framework, PCI DSS, GLBA, and others, SecurityGroup101 will gain a structured and reliable method for managing both risks and compliance. The phased roadmap allows the company to build a mature and sustainable GRC program step by step, starting with assessment and ending with continuous monitoring and improvement.</w:t>
      </w:r>
    </w:p>
    <w:p w:rsidR="00000000" w:rsidDel="00000000" w:rsidP="00000000" w:rsidRDefault="00000000" w:rsidRPr="00000000" w14:paraId="00000072">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Overall, establishing a GRC program is not only a requirement for maintaining compliance, but it is also a smart business decision that strengthens the entire organization. It reduces the chances of costly security incidents, protects sensitive financial data, improves operational efficiency, and increases trust with customers and partners. With a strong GRC program in place, SecurityGroup101 will be better prepared for future growth, new threats, and rising regulatory expectations. This program will help the company remain secure, resilient, and competitive in the fast-paced fintech industry.</w:t>
      </w:r>
      <w:r w:rsidDel="00000000" w:rsidR="00000000" w:rsidRPr="00000000">
        <w:rPr>
          <w:rtl w:val="0"/>
        </w:rPr>
      </w:r>
    </w:p>
    <w:p w:rsidR="00000000" w:rsidDel="00000000" w:rsidP="00000000" w:rsidRDefault="00000000" w:rsidRPr="00000000" w14:paraId="00000073">
      <w:pPr>
        <w:spacing w:after="240" w:before="24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7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IBM. (2025). Cost of a data breach report. IBM. </w:t>
      </w:r>
      <w:hyperlink r:id="rId7">
        <w:r w:rsidDel="00000000" w:rsidR="00000000" w:rsidRPr="00000000">
          <w:rPr>
            <w:rFonts w:ascii="Times New Roman" w:cs="Times New Roman" w:eastAsia="Times New Roman" w:hAnsi="Times New Roman"/>
            <w:color w:val="1155cc"/>
            <w:sz w:val="24"/>
            <w:szCs w:val="24"/>
            <w:u w:val="single"/>
            <w:rtl w:val="0"/>
          </w:rPr>
          <w:t xml:space="preserve">https://www.ibm.com/reports/data-breach</w:t>
        </w:r>
      </w:hyperlink>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OCEG. (n.d.). </w:t>
      </w:r>
      <w:r w:rsidDel="00000000" w:rsidR="00000000" w:rsidRPr="00000000">
        <w:rPr>
          <w:rFonts w:ascii="Times New Roman" w:cs="Times New Roman" w:eastAsia="Times New Roman" w:hAnsi="Times New Roman"/>
          <w:i w:val="1"/>
          <w:iCs w:val="1"/>
          <w:sz w:val="24"/>
          <w:szCs w:val="24"/>
          <w:rtl w:val="0"/>
        </w:rPr>
        <w:t xml:space="preserve">What is GRC (Governance, Risk, and Compliance)?</w:t>
      </w:r>
      <w:r w:rsidDel="00000000" w:rsidR="00000000" w:rsidRPr="00000000">
        <w:rPr>
          <w:rFonts w:ascii="Times New Roman" w:cs="Times New Roman" w:eastAsia="Times New Roman" w:hAnsi="Times New Roman"/>
          <w:sz w:val="24"/>
          <w:szCs w:val="24"/>
          <w:rtl w:val="0"/>
        </w:rPr>
        <w:t xml:space="preserve"> Retrieved from </w:t>
      </w:r>
      <w:hyperlink r:id="rId8">
        <w:r w:rsidDel="00000000" w:rsidR="00000000" w:rsidRPr="00000000">
          <w:rPr>
            <w:rFonts w:ascii="Times New Roman" w:cs="Times New Roman" w:eastAsia="Times New Roman" w:hAnsi="Times New Roman"/>
            <w:color w:val="1155cc"/>
            <w:sz w:val="24"/>
            <w:szCs w:val="24"/>
            <w:u w:val="single"/>
            <w:rtl w:val="0"/>
          </w:rPr>
          <w:t xml:space="preserve">https://www.oceg.org/ideas/what-is-grc/</w:t>
        </w:r>
      </w:hyperlink>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Novikava, A. (2025, October 1). </w:t>
      </w:r>
      <w:r w:rsidDel="00000000" w:rsidR="00000000" w:rsidRPr="00000000">
        <w:rPr>
          <w:rFonts w:ascii="Times New Roman" w:cs="Times New Roman" w:eastAsia="Times New Roman" w:hAnsi="Times New Roman"/>
          <w:i w:val="1"/>
          <w:iCs w:val="1"/>
          <w:sz w:val="24"/>
          <w:szCs w:val="24"/>
          <w:rtl w:val="0"/>
        </w:rPr>
        <w:t xml:space="preserve">Biggest data breaches of 2025: What happened and safety tips</w:t>
      </w:r>
      <w:r w:rsidDel="00000000" w:rsidR="00000000" w:rsidRPr="00000000">
        <w:rPr>
          <w:rFonts w:ascii="Times New Roman" w:cs="Times New Roman" w:eastAsia="Times New Roman" w:hAnsi="Times New Roman"/>
          <w:sz w:val="24"/>
          <w:szCs w:val="24"/>
          <w:rtl w:val="0"/>
        </w:rPr>
        <w:t xml:space="preserve">. NordLayer. </w:t>
      </w:r>
      <w:hyperlink r:id="rId9">
        <w:r w:rsidDel="00000000" w:rsidR="00000000" w:rsidRPr="00000000">
          <w:rPr>
            <w:rFonts w:ascii="Times New Roman" w:cs="Times New Roman" w:eastAsia="Times New Roman" w:hAnsi="Times New Roman"/>
            <w:color w:val="1155cc"/>
            <w:sz w:val="24"/>
            <w:szCs w:val="24"/>
            <w:u w:val="single"/>
            <w:rtl w:val="0"/>
          </w:rPr>
          <w:t xml:space="preserve">https://nordlayer.com/blog/data-breaches-in-2025/</w:t>
        </w:r>
      </w:hyperlink>
      <w:r w:rsidDel="00000000" w:rsidR="00000000" w:rsidRPr="00000000">
        <w:rPr>
          <w:rtl w:val="0"/>
        </w:rPr>
      </w:r>
    </w:p>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Stapleton, S. </w:t>
      </w:r>
      <w:r w:rsidDel="00000000" w:rsidR="00000000" w:rsidRPr="00000000">
        <w:rPr>
          <w:rFonts w:ascii="Times New Roman" w:cs="Times New Roman" w:eastAsia="Times New Roman" w:hAnsi="Times New Roman"/>
          <w:i w:val="1"/>
          <w:iCs w:val="1"/>
          <w:sz w:val="24"/>
          <w:szCs w:val="24"/>
          <w:rtl w:val="0"/>
        </w:rPr>
        <w:t xml:space="preserve">What is GRC (Governance, Risk and Compliance)?</w:t>
      </w:r>
      <w:r w:rsidDel="00000000" w:rsidR="00000000" w:rsidRPr="00000000">
        <w:rPr>
          <w:rFonts w:ascii="Times New Roman" w:cs="Times New Roman" w:eastAsia="Times New Roman" w:hAnsi="Times New Roman"/>
          <w:sz w:val="24"/>
          <w:szCs w:val="24"/>
          <w:rtl w:val="0"/>
        </w:rPr>
        <w:t xml:space="preserve"> (2025, October 14). Pathlock. </w:t>
      </w:r>
      <w:hyperlink r:id="rId10">
        <w:r w:rsidDel="00000000" w:rsidR="00000000" w:rsidRPr="00000000">
          <w:rPr>
            <w:rFonts w:ascii="Times New Roman" w:cs="Times New Roman" w:eastAsia="Times New Roman" w:hAnsi="Times New Roman"/>
            <w:color w:val="1155cc"/>
            <w:sz w:val="24"/>
            <w:szCs w:val="24"/>
            <w:u w:val="single"/>
            <w:rtl w:val="0"/>
          </w:rPr>
          <w:t xml:space="preserve">https://pathlock.com/blog/grc/</w:t>
        </w:r>
      </w:hyperlink>
      <w:r w:rsidDel="00000000" w:rsidR="00000000" w:rsidRPr="00000000">
        <w:rPr>
          <w:rtl w:val="0"/>
        </w:rPr>
      </w:r>
    </w:p>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 H. (2024, March 11). </w:t>
      </w:r>
      <w:r w:rsidDel="00000000" w:rsidR="00000000" w:rsidRPr="00000000">
        <w:rPr>
          <w:rFonts w:ascii="Times New Roman" w:cs="Times New Roman" w:eastAsia="Times New Roman" w:hAnsi="Times New Roman"/>
          <w:i w:val="1"/>
          <w:iCs w:val="1"/>
          <w:sz w:val="24"/>
          <w:szCs w:val="24"/>
          <w:rtl w:val="0"/>
        </w:rPr>
        <w:t xml:space="preserve">7 key benefits of GRC in 2025</w:t>
      </w:r>
      <w:r w:rsidDel="00000000" w:rsidR="00000000" w:rsidRPr="00000000">
        <w:rPr>
          <w:rFonts w:ascii="Times New Roman" w:cs="Times New Roman" w:eastAsia="Times New Roman" w:hAnsi="Times New Roman"/>
          <w:sz w:val="24"/>
          <w:szCs w:val="24"/>
          <w:rtl w:val="0"/>
        </w:rPr>
        <w:t xml:space="preserve">. GRCMana. Retrieved from </w:t>
      </w:r>
      <w:hyperlink r:id="rId11">
        <w:r w:rsidDel="00000000" w:rsidR="00000000" w:rsidRPr="00000000">
          <w:rPr>
            <w:rFonts w:ascii="Times New Roman" w:cs="Times New Roman" w:eastAsia="Times New Roman" w:hAnsi="Times New Roman"/>
            <w:color w:val="1155cc"/>
            <w:sz w:val="24"/>
            <w:szCs w:val="24"/>
            <w:u w:val="single"/>
            <w:rtl w:val="0"/>
          </w:rPr>
          <w:t xml:space="preserve">https://www.grcmana.io/learn/grc/grc-benefits</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PCI Security Standards Council. (2022). Payment Card Industry Data Security Standard: Requirements and testing procedures, version 4.0. </w:t>
      </w:r>
      <w:hyperlink r:id="rId12">
        <w:r w:rsidDel="00000000" w:rsidR="00000000" w:rsidRPr="00000000">
          <w:rPr>
            <w:rFonts w:ascii="Times New Roman" w:cs="Times New Roman" w:eastAsia="Times New Roman" w:hAnsi="Times New Roman"/>
            <w:color w:val="1155cc"/>
            <w:sz w:val="24"/>
            <w:szCs w:val="24"/>
            <w:u w:val="single"/>
            <w:rtl w:val="0"/>
          </w:rPr>
          <w:t xml:space="preserve">https://www.pcisecuritystandards.org</w:t>
        </w:r>
      </w:hyperlink>
      <w:r w:rsidDel="00000000" w:rsidR="00000000" w:rsidRPr="00000000">
        <w:rPr>
          <w:rFonts w:ascii="Times New Roman" w:cs="Times New Roman" w:eastAsia="Times New Roman" w:hAnsi="Times New Roman"/>
          <w:sz w:val="24"/>
          <w:szCs w:val="24"/>
          <w:rtl w:val="0"/>
        </w:rPr>
        <w:br w:type="textWrapping"/>
        <w:t xml:space="preserve">NIST. (2012). Guide for conducting risk assessments (SP 800-30 Revision 1). National Institute of Standards and Technology. </w:t>
      </w:r>
      <w:hyperlink r:id="rId13">
        <w:r w:rsidDel="00000000" w:rsidR="00000000" w:rsidRPr="00000000">
          <w:rPr>
            <w:rFonts w:ascii="Times New Roman" w:cs="Times New Roman" w:eastAsia="Times New Roman" w:hAnsi="Times New Roman"/>
            <w:color w:val="1155cc"/>
            <w:sz w:val="24"/>
            <w:szCs w:val="24"/>
            <w:u w:val="single"/>
            <w:rtl w:val="0"/>
          </w:rPr>
          <w:t xml:space="preserve">https://csrc.nist.gov/publications/detail/sp/800-30/rev-1/final</w:t>
        </w:r>
      </w:hyperlink>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Bowman, K. (2025, February 5). </w:t>
      </w:r>
    </w:p>
    <w:p w:rsidR="00000000" w:rsidDel="00000000" w:rsidP="00000000" w:rsidRDefault="00000000" w:rsidRPr="00000000" w14:paraId="00000080">
      <w:pPr>
        <w:spacing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Sarbanes-Oxley Act of 2002 Summary | Definition, Titles &amp; Subsections</w:t>
      </w:r>
      <w:r w:rsidDel="00000000" w:rsidR="00000000" w:rsidRPr="00000000">
        <w:rPr>
          <w:rFonts w:ascii="Times New Roman" w:cs="Times New Roman" w:eastAsia="Times New Roman" w:hAnsi="Times New Roman"/>
          <w:sz w:val="24"/>
          <w:szCs w:val="24"/>
          <w:rtl w:val="0"/>
        </w:rPr>
        <w:t xml:space="preserve">. Pathlock.</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https://pathlock.com/learn/sarbanes-oxley-act-summary/</w:t>
        </w:r>
      </w:hyperlink>
      <w:r w:rsidDel="00000000" w:rsidR="00000000" w:rsidRPr="00000000">
        <w:rPr>
          <w:rtl w:val="0"/>
        </w:rPr>
      </w:r>
    </w:p>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Trade Commission. (2024). </w:t>
      </w:r>
    </w:p>
    <w:p w:rsidR="00000000" w:rsidDel="00000000" w:rsidP="00000000" w:rsidRDefault="00000000" w:rsidRPr="00000000" w14:paraId="00000083">
      <w:pPr>
        <w:spacing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Gramm-Leach-Bliley Act</w:t>
      </w:r>
      <w:r w:rsidDel="00000000" w:rsidR="00000000" w:rsidRPr="00000000">
        <w:rPr>
          <w:rFonts w:ascii="Times New Roman" w:cs="Times New Roman" w:eastAsia="Times New Roman" w:hAnsi="Times New Roman"/>
          <w:sz w:val="24"/>
          <w:szCs w:val="24"/>
          <w:rtl w:val="0"/>
        </w:rPr>
        <w:t xml:space="preserve">. Federal Trade Commission.</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https://www.ftc.gov/business-guidance/privacy-security/gramm-leach-bliley-act</w:t>
        </w:r>
      </w:hyperlink>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5">
      <w:pPr>
        <w:spacing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What is the Gramm-Leach-Bliley Act (GLBA)? | UpGuard</w:t>
      </w:r>
      <w:r w:rsidDel="00000000" w:rsidR="00000000" w:rsidRPr="00000000">
        <w:rPr>
          <w:rFonts w:ascii="Times New Roman" w:cs="Times New Roman" w:eastAsia="Times New Roman" w:hAnsi="Times New Roman"/>
          <w:sz w:val="24"/>
          <w:szCs w:val="24"/>
          <w:rtl w:val="0"/>
        </w:rPr>
        <w:t xml:space="preserve">. (n.d.).</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Www.upguard.com</w:t>
        </w:r>
      </w:hyperlink>
      <w:r w:rsidDel="00000000" w:rsidR="00000000" w:rsidRPr="00000000">
        <w:rPr>
          <w:rFonts w:ascii="Times New Roman" w:cs="Times New Roman" w:eastAsia="Times New Roman" w:hAnsi="Times New Roman"/>
          <w:sz w:val="24"/>
          <w:szCs w:val="24"/>
          <w:rtl w:val="0"/>
        </w:rPr>
        <w:t xml:space="preserve">.</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https://www.upguard.com/blog/glba</w:t>
        </w:r>
      </w:hyperlink>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Nelson, E. (2024, August 6). </w:t>
      </w:r>
    </w:p>
    <w:p w:rsidR="00000000" w:rsidDel="00000000" w:rsidP="00000000" w:rsidRDefault="00000000" w:rsidRPr="00000000" w14:paraId="00000088">
      <w:pPr>
        <w:spacing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Everything You Need to Know About the FFIEC</w:t>
      </w:r>
      <w:r w:rsidDel="00000000" w:rsidR="00000000" w:rsidRPr="00000000">
        <w:rPr>
          <w:rFonts w:ascii="Times New Roman" w:cs="Times New Roman" w:eastAsia="Times New Roman" w:hAnsi="Times New Roman"/>
          <w:sz w:val="24"/>
          <w:szCs w:val="24"/>
          <w:rtl w:val="0"/>
        </w:rPr>
        <w:t xml:space="preserve">. Hyperproof.</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https://hyperproof.io/resource/everything-you-need-to-know-about-the-ffiec/</w:t>
        </w:r>
      </w:hyperlink>
      <w:r w:rsidDel="00000000" w:rsidR="00000000" w:rsidRPr="00000000">
        <w:rPr>
          <w:rtl w:val="0"/>
        </w:rPr>
      </w:r>
    </w:p>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A">
      <w:pPr>
        <w:spacing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What is COBIT? Principles and Enablers Explained</w:t>
      </w:r>
      <w:r w:rsidDel="00000000" w:rsidR="00000000" w:rsidRPr="00000000">
        <w:rPr>
          <w:rFonts w:ascii="Times New Roman" w:cs="Times New Roman" w:eastAsia="Times New Roman" w:hAnsi="Times New Roman"/>
          <w:sz w:val="24"/>
          <w:szCs w:val="24"/>
          <w:rtl w:val="0"/>
        </w:rPr>
        <w:t xml:space="preserve">. (2024). Auditboard.com.</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https://auditboard.com/blog/cobit</w:t>
        </w:r>
      </w:hyperlink>
      <w:r w:rsidDel="00000000" w:rsidR="00000000" w:rsidRPr="00000000">
        <w:rPr>
          <w:rtl w:val="0"/>
        </w:rPr>
      </w:r>
    </w:p>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C">
      <w:pPr>
        <w:spacing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10 GRC trends: What’s next for governance, risk, and compliance?</w:t>
      </w:r>
      <w:r w:rsidDel="00000000" w:rsidR="00000000" w:rsidRPr="00000000">
        <w:rPr>
          <w:rFonts w:ascii="Times New Roman" w:cs="Times New Roman" w:eastAsia="Times New Roman" w:hAnsi="Times New Roman"/>
          <w:sz w:val="24"/>
          <w:szCs w:val="24"/>
          <w:rtl w:val="0"/>
        </w:rPr>
        <w:t xml:space="preserve"> (n.d.).</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Www.onetrust.com</w:t>
        </w:r>
      </w:hyperlink>
      <w:r w:rsidDel="00000000" w:rsidR="00000000" w:rsidRPr="00000000">
        <w:rPr>
          <w:rFonts w:ascii="Times New Roman" w:cs="Times New Roman" w:eastAsia="Times New Roman" w:hAnsi="Times New Roman"/>
          <w:sz w:val="24"/>
          <w:szCs w:val="24"/>
          <w:rtl w:val="0"/>
        </w:rPr>
        <w:t xml:space="preserve">.</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https://www.onetrust.com/blog/10-grc-trends/</w:t>
        </w:r>
      </w:hyperlink>
      <w:r w:rsidDel="00000000" w:rsidR="00000000" w:rsidRPr="00000000">
        <w:rPr>
          <w:rtl w:val="0"/>
        </w:rPr>
      </w:r>
    </w:p>
    <w:p w:rsidR="00000000" w:rsidDel="00000000" w:rsidP="00000000" w:rsidRDefault="00000000" w:rsidRPr="00000000" w14:paraId="000000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(2024). </w:t>
      </w:r>
    </w:p>
    <w:p w:rsidR="00000000" w:rsidDel="00000000" w:rsidP="00000000" w:rsidRDefault="00000000" w:rsidRPr="00000000" w14:paraId="0000008F">
      <w:pPr>
        <w:spacing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ISO/IEC 38500:2024</w:t>
      </w:r>
      <w:r w:rsidDel="00000000" w:rsidR="00000000" w:rsidRPr="00000000">
        <w:rPr>
          <w:rFonts w:ascii="Times New Roman" w:cs="Times New Roman" w:eastAsia="Times New Roman" w:hAnsi="Times New Roman"/>
          <w:sz w:val="24"/>
          <w:szCs w:val="24"/>
          <w:rtl w:val="0"/>
        </w:rPr>
        <w:t xml:space="preserve">. ISO.</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https://www.iso.org/standard/81684.html</w:t>
        </w:r>
      </w:hyperlink>
      <w:r w:rsidDel="00000000" w:rsidR="00000000" w:rsidRPr="00000000">
        <w:rPr>
          <w:rtl w:val="0"/>
        </w:rPr>
      </w:r>
    </w:p>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spacing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ISO 38500 vs ISO 27001: Governance vs Information Security Management</w:t>
      </w:r>
      <w:r w:rsidDel="00000000" w:rsidR="00000000" w:rsidRPr="00000000">
        <w:rPr>
          <w:rFonts w:ascii="Times New Roman" w:cs="Times New Roman" w:eastAsia="Times New Roman" w:hAnsi="Times New Roman"/>
          <w:sz w:val="24"/>
          <w:szCs w:val="24"/>
          <w:rtl w:val="0"/>
        </w:rPr>
        <w:t xml:space="preserve">. (2024, November 20). Neumetric.</w:t>
      </w:r>
      <w:hyperlink r:id="rId32">
        <w:r w:rsidDel="00000000" w:rsidR="00000000" w:rsidRPr="00000000">
          <w:rPr>
            <w:rFonts w:ascii="Times New Roman" w:cs="Times New Roman" w:eastAsia="Times New Roman" w:hAnsi="Times New Roman"/>
            <w:sz w:val="24"/>
            <w:szCs w:val="24"/>
            <w:rtl w:val="0"/>
          </w:rPr>
          <w:t xml:space="preserve"> </w:t>
        </w:r>
      </w:hyperlink>
      <w:hyperlink r:id="rId33">
        <w:r w:rsidDel="00000000" w:rsidR="00000000" w:rsidRPr="00000000">
          <w:rPr>
            <w:rFonts w:ascii="Times New Roman" w:cs="Times New Roman" w:eastAsia="Times New Roman" w:hAnsi="Times New Roman"/>
            <w:color w:val="1155cc"/>
            <w:sz w:val="24"/>
            <w:szCs w:val="24"/>
            <w:u w:val="single"/>
            <w:rtl w:val="0"/>
          </w:rPr>
          <w:t xml:space="preserve">https://www.neumetric.com/journal/iso-38500-vs-iso-27001-governance-vs-security/</w:t>
        </w:r>
      </w:hyperlink>
      <w:r w:rsidDel="00000000" w:rsidR="00000000" w:rsidRPr="00000000">
        <w:rPr>
          <w:rtl w:val="0"/>
        </w:rPr>
      </w:r>
    </w:p>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E. (2025, February 12). </w:t>
      </w:r>
    </w:p>
    <w:p w:rsidR="00000000" w:rsidDel="00000000" w:rsidP="00000000" w:rsidRDefault="00000000" w:rsidRPr="00000000" w14:paraId="00000094">
      <w:pPr>
        <w:spacing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The Crucial Role of ISO Standards in the Fintech Era: By Retired Member</w:t>
      </w:r>
      <w:r w:rsidDel="00000000" w:rsidR="00000000" w:rsidRPr="00000000">
        <w:rPr>
          <w:rFonts w:ascii="Times New Roman" w:cs="Times New Roman" w:eastAsia="Times New Roman" w:hAnsi="Times New Roman"/>
          <w:sz w:val="24"/>
          <w:szCs w:val="24"/>
          <w:rtl w:val="0"/>
        </w:rPr>
        <w:t xml:space="preserve">. Finextra Research; Finextra.</w:t>
      </w:r>
      <w:hyperlink r:id="rId34">
        <w:r w:rsidDel="00000000" w:rsidR="00000000" w:rsidRPr="00000000">
          <w:rPr>
            <w:rFonts w:ascii="Times New Roman" w:cs="Times New Roman" w:eastAsia="Times New Roman" w:hAnsi="Times New Roman"/>
            <w:sz w:val="24"/>
            <w:szCs w:val="24"/>
            <w:rtl w:val="0"/>
          </w:rPr>
          <w:t xml:space="preserve"> </w:t>
        </w:r>
      </w:hyperlink>
      <w:hyperlink r:id="rId35">
        <w:r w:rsidDel="00000000" w:rsidR="00000000" w:rsidRPr="00000000">
          <w:rPr>
            <w:rFonts w:ascii="Times New Roman" w:cs="Times New Roman" w:eastAsia="Times New Roman" w:hAnsi="Times New Roman"/>
            <w:color w:val="1155cc"/>
            <w:sz w:val="24"/>
            <w:szCs w:val="24"/>
            <w:u w:val="single"/>
            <w:rtl w:val="0"/>
          </w:rPr>
          <w:t xml:space="preserve">https://www.finextra.com/blogposting/27828/the-crucial-role-of-iso-standards-in-the-fintech-era</w:t>
        </w:r>
      </w:hyperlink>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Institute of Standards and Technology. (2012). </w:t>
      </w:r>
      <w:r w:rsidDel="00000000" w:rsidR="00000000" w:rsidRPr="00000000">
        <w:rPr>
          <w:rFonts w:ascii="Times New Roman" w:cs="Times New Roman" w:eastAsia="Times New Roman" w:hAnsi="Times New Roman"/>
          <w:i w:val="1"/>
          <w:iCs w:val="1"/>
          <w:sz w:val="24"/>
          <w:szCs w:val="24"/>
          <w:rtl w:val="0"/>
        </w:rPr>
        <w:t xml:space="preserve">Guide for conducting risk assessments</w:t>
      </w:r>
      <w:r w:rsidDel="00000000" w:rsidR="00000000" w:rsidRPr="00000000">
        <w:rPr>
          <w:rFonts w:ascii="Times New Roman" w:cs="Times New Roman" w:eastAsia="Times New Roman" w:hAnsi="Times New Roman"/>
          <w:sz w:val="24"/>
          <w:szCs w:val="24"/>
          <w:rtl w:val="0"/>
        </w:rPr>
        <w:t xml:space="preserve"> (NIST Special Publication 800-30 Revision 1). U.S. Department of Commerce.</w:t>
      </w:r>
    </w:p>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8">
      <w:pPr>
        <w:spacing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National Institute of Standards and Technology. (2018). </w:t>
      </w:r>
      <w:r w:rsidDel="00000000" w:rsidR="00000000" w:rsidRPr="00000000">
        <w:rPr>
          <w:rFonts w:ascii="Times New Roman" w:cs="Times New Roman" w:eastAsia="Times New Roman" w:hAnsi="Times New Roman"/>
          <w:i w:val="1"/>
          <w:iCs w:val="1"/>
          <w:sz w:val="24"/>
          <w:szCs w:val="24"/>
          <w:rtl w:val="0"/>
        </w:rPr>
        <w:t xml:space="preserve">Framework for improving critical infrastructure cybersecurity</w:t>
      </w:r>
      <w:r w:rsidDel="00000000" w:rsidR="00000000" w:rsidRPr="00000000">
        <w:rPr>
          <w:rFonts w:ascii="Times New Roman" w:cs="Times New Roman" w:eastAsia="Times New Roman" w:hAnsi="Times New Roman"/>
          <w:sz w:val="24"/>
          <w:szCs w:val="24"/>
          <w:rtl w:val="0"/>
        </w:rPr>
        <w:t xml:space="preserve"> (Version 1.1). U.S. Department of Commerce.</w:t>
      </w:r>
      <w:hyperlink r:id="rId36">
        <w:r w:rsidDel="00000000" w:rsidR="00000000" w:rsidRPr="00000000">
          <w:rPr>
            <w:rFonts w:ascii="Times New Roman" w:cs="Times New Roman" w:eastAsia="Times New Roman" w:hAnsi="Times New Roman"/>
            <w:sz w:val="24"/>
            <w:szCs w:val="24"/>
            <w:rtl w:val="0"/>
          </w:rPr>
          <w:t xml:space="preserve"> </w:t>
        </w:r>
      </w:hyperlink>
      <w:hyperlink r:id="rId37">
        <w:r w:rsidDel="00000000" w:rsidR="00000000" w:rsidRPr="00000000">
          <w:rPr>
            <w:rFonts w:ascii="Times New Roman" w:cs="Times New Roman" w:eastAsia="Times New Roman" w:hAnsi="Times New Roman"/>
            <w:color w:val="1155cc"/>
            <w:sz w:val="24"/>
            <w:szCs w:val="24"/>
            <w:u w:val="single"/>
            <w:rtl w:val="0"/>
          </w:rPr>
          <w:t xml:space="preserve">https://doi.org/10.6028/NIST.CSWP.04162018</w:t>
        </w:r>
      </w:hyperlink>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A">
      <w:pPr>
        <w:spacing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CSI. (n.d.). </w:t>
      </w:r>
      <w:r w:rsidDel="00000000" w:rsidR="00000000" w:rsidRPr="00000000">
        <w:rPr>
          <w:rFonts w:ascii="Times New Roman" w:cs="Times New Roman" w:eastAsia="Times New Roman" w:hAnsi="Times New Roman"/>
          <w:i w:val="1"/>
          <w:iCs w:val="1"/>
          <w:sz w:val="24"/>
          <w:szCs w:val="24"/>
          <w:rtl w:val="0"/>
        </w:rPr>
        <w:t xml:space="preserve">Practice cyber hygiene with 6 basic CIS controls</w:t>
      </w:r>
      <w:r w:rsidDel="00000000" w:rsidR="00000000" w:rsidRPr="00000000">
        <w:rPr>
          <w:rFonts w:ascii="Times New Roman" w:cs="Times New Roman" w:eastAsia="Times New Roman" w:hAnsi="Times New Roman"/>
          <w:sz w:val="24"/>
          <w:szCs w:val="24"/>
          <w:rtl w:val="0"/>
        </w:rPr>
        <w:t xml:space="preserve">. CSI. Retrieved November 30, 2025, from</w:t>
      </w:r>
      <w:hyperlink r:id="rId38">
        <w:r w:rsidDel="00000000" w:rsidR="00000000" w:rsidRPr="00000000">
          <w:rPr>
            <w:rFonts w:ascii="Times New Roman" w:cs="Times New Roman" w:eastAsia="Times New Roman" w:hAnsi="Times New Roman"/>
            <w:sz w:val="24"/>
            <w:szCs w:val="24"/>
            <w:rtl w:val="0"/>
          </w:rPr>
          <w:t xml:space="preserve"> </w:t>
        </w:r>
      </w:hyperlink>
      <w:hyperlink r:id="rId39">
        <w:r w:rsidDel="00000000" w:rsidR="00000000" w:rsidRPr="00000000">
          <w:rPr>
            <w:rFonts w:ascii="Times New Roman" w:cs="Times New Roman" w:eastAsia="Times New Roman" w:hAnsi="Times New Roman"/>
            <w:color w:val="1155cc"/>
            <w:sz w:val="24"/>
            <w:szCs w:val="24"/>
            <w:u w:val="single"/>
            <w:rtl w:val="0"/>
          </w:rPr>
          <w:t xml:space="preserve">https://www.csiweb.com/what-to-know/content-hub/blog/6-basic-cis-controls</w:t>
        </w:r>
      </w:hyperlink>
      <w:r w:rsidDel="00000000" w:rsidR="00000000" w:rsidRPr="00000000">
        <w:rPr>
          <w:rtl w:val="0"/>
        </w:rPr>
      </w:r>
    </w:p>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C">
      <w:pPr>
        <w:spacing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RSI Security. (n.d.). </w:t>
      </w:r>
      <w:r w:rsidDel="00000000" w:rsidR="00000000" w:rsidRPr="00000000">
        <w:rPr>
          <w:rFonts w:ascii="Times New Roman" w:cs="Times New Roman" w:eastAsia="Times New Roman" w:hAnsi="Times New Roman"/>
          <w:i w:val="1"/>
          <w:iCs w:val="1"/>
          <w:sz w:val="24"/>
          <w:szCs w:val="24"/>
          <w:rtl w:val="0"/>
        </w:rPr>
        <w:t xml:space="preserve">CIS compliance services: CIS controls &amp; benchmarks experts</w:t>
      </w:r>
      <w:r w:rsidDel="00000000" w:rsidR="00000000" w:rsidRPr="00000000">
        <w:rPr>
          <w:rFonts w:ascii="Times New Roman" w:cs="Times New Roman" w:eastAsia="Times New Roman" w:hAnsi="Times New Roman"/>
          <w:sz w:val="24"/>
          <w:szCs w:val="24"/>
          <w:rtl w:val="0"/>
        </w:rPr>
        <w:t xml:space="preserve">. RSI Security. Retrieved November 30, 2025, from</w:t>
      </w:r>
      <w:hyperlink r:id="rId40">
        <w:r w:rsidDel="00000000" w:rsidR="00000000" w:rsidRPr="00000000">
          <w:rPr>
            <w:rFonts w:ascii="Times New Roman" w:cs="Times New Roman" w:eastAsia="Times New Roman" w:hAnsi="Times New Roman"/>
            <w:sz w:val="24"/>
            <w:szCs w:val="24"/>
            <w:rtl w:val="0"/>
          </w:rPr>
          <w:t xml:space="preserve"> </w:t>
        </w:r>
      </w:hyperlink>
      <w:hyperlink r:id="rId41">
        <w:r w:rsidDel="00000000" w:rsidR="00000000" w:rsidRPr="00000000">
          <w:rPr>
            <w:rFonts w:ascii="Times New Roman" w:cs="Times New Roman" w:eastAsia="Times New Roman" w:hAnsi="Times New Roman"/>
            <w:color w:val="1155cc"/>
            <w:sz w:val="24"/>
            <w:szCs w:val="24"/>
            <w:u w:val="single"/>
            <w:rtl w:val="0"/>
          </w:rPr>
          <w:t xml:space="preserve">https://www.rsisecurity.com/center-for-internet-security/</w:t>
        </w:r>
      </w:hyperlink>
      <w:r w:rsidDel="00000000" w:rsidR="00000000" w:rsidRPr="00000000">
        <w:rPr>
          <w:rtl w:val="0"/>
        </w:rPr>
      </w:r>
    </w:p>
    <w:p w:rsidR="00000000" w:rsidDel="00000000" w:rsidP="00000000" w:rsidRDefault="00000000" w:rsidRPr="00000000" w14:paraId="0000009D">
      <w:pPr>
        <w:spacing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Splunk. (2024, October 11). </w:t>
      </w:r>
      <w:r w:rsidDel="00000000" w:rsidR="00000000" w:rsidRPr="00000000">
        <w:rPr>
          <w:rFonts w:ascii="Times New Roman" w:cs="Times New Roman" w:eastAsia="Times New Roman" w:hAnsi="Times New Roman"/>
          <w:i w:val="1"/>
          <w:iCs w:val="1"/>
          <w:sz w:val="24"/>
          <w:szCs w:val="24"/>
          <w:rtl w:val="0"/>
        </w:rPr>
        <w:t xml:space="preserve">CIS critical security controls: The complete guide</w:t>
      </w:r>
      <w:r w:rsidDel="00000000" w:rsidR="00000000" w:rsidRPr="00000000">
        <w:rPr>
          <w:rFonts w:ascii="Times New Roman" w:cs="Times New Roman" w:eastAsia="Times New Roman" w:hAnsi="Times New Roman"/>
          <w:sz w:val="24"/>
          <w:szCs w:val="24"/>
          <w:rtl w:val="0"/>
        </w:rPr>
        <w:t xml:space="preserve">. Splunk.</w:t>
      </w:r>
      <w:hyperlink r:id="rId42">
        <w:r w:rsidDel="00000000" w:rsidR="00000000" w:rsidRPr="00000000">
          <w:rPr>
            <w:rFonts w:ascii="Times New Roman" w:cs="Times New Roman" w:eastAsia="Times New Roman" w:hAnsi="Times New Roman"/>
            <w:sz w:val="24"/>
            <w:szCs w:val="24"/>
            <w:rtl w:val="0"/>
          </w:rPr>
          <w:t xml:space="preserve"> </w:t>
        </w:r>
      </w:hyperlink>
      <w:hyperlink r:id="rId43">
        <w:r w:rsidDel="00000000" w:rsidR="00000000" w:rsidRPr="00000000">
          <w:rPr>
            <w:rFonts w:ascii="Times New Roman" w:cs="Times New Roman" w:eastAsia="Times New Roman" w:hAnsi="Times New Roman"/>
            <w:color w:val="1155cc"/>
            <w:sz w:val="24"/>
            <w:szCs w:val="24"/>
            <w:u w:val="single"/>
            <w:rtl w:val="0"/>
          </w:rPr>
          <w:t xml:space="preserve">https://www.splunk.com/en_us/blog/learn/cis-critical-security-controls.html</w:t>
        </w:r>
      </w:hyperlink>
      <w:r w:rsidDel="00000000" w:rsidR="00000000" w:rsidRPr="00000000">
        <w:rPr>
          <w:rtl w:val="0"/>
        </w:rPr>
      </w:r>
    </w:p>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F">
      <w:pPr>
        <w:spacing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Lansweeper. (2025, February 25). </w:t>
      </w:r>
      <w:r w:rsidDel="00000000" w:rsidR="00000000" w:rsidRPr="00000000">
        <w:rPr>
          <w:rFonts w:ascii="Times New Roman" w:cs="Times New Roman" w:eastAsia="Times New Roman" w:hAnsi="Times New Roman"/>
          <w:i w:val="1"/>
          <w:iCs w:val="1"/>
          <w:sz w:val="24"/>
          <w:szCs w:val="24"/>
          <w:rtl w:val="0"/>
        </w:rPr>
        <w:t xml:space="preserve">Navigating CIS controls in 2025</w:t>
      </w:r>
      <w:r w:rsidDel="00000000" w:rsidR="00000000" w:rsidRPr="00000000">
        <w:rPr>
          <w:rFonts w:ascii="Times New Roman" w:cs="Times New Roman" w:eastAsia="Times New Roman" w:hAnsi="Times New Roman"/>
          <w:sz w:val="24"/>
          <w:szCs w:val="24"/>
          <w:rtl w:val="0"/>
        </w:rPr>
        <w:t xml:space="preserve">. Lansweeper.</w:t>
      </w:r>
      <w:hyperlink r:id="rId44">
        <w:r w:rsidDel="00000000" w:rsidR="00000000" w:rsidRPr="00000000">
          <w:rPr>
            <w:rFonts w:ascii="Times New Roman" w:cs="Times New Roman" w:eastAsia="Times New Roman" w:hAnsi="Times New Roman"/>
            <w:sz w:val="24"/>
            <w:szCs w:val="24"/>
            <w:rtl w:val="0"/>
          </w:rPr>
          <w:t xml:space="preserve"> </w:t>
        </w:r>
      </w:hyperlink>
      <w:hyperlink r:id="rId45">
        <w:r w:rsidDel="00000000" w:rsidR="00000000" w:rsidRPr="00000000">
          <w:rPr>
            <w:rFonts w:ascii="Times New Roman" w:cs="Times New Roman" w:eastAsia="Times New Roman" w:hAnsi="Times New Roman"/>
            <w:color w:val="1155cc"/>
            <w:sz w:val="24"/>
            <w:szCs w:val="24"/>
            <w:u w:val="single"/>
            <w:rtl w:val="0"/>
          </w:rPr>
          <w:t xml:space="preserve">https://www.lansweeper.com/blog/itam/navigating-cis-controls-in-2025</w:t>
        </w:r>
      </w:hyperlink>
      <w:r w:rsidDel="00000000" w:rsidR="00000000" w:rsidRPr="00000000">
        <w:rPr>
          <w:rtl w:val="0"/>
        </w:rPr>
      </w:r>
    </w:p>
    <w:p w:rsidR="00000000" w:rsidDel="00000000" w:rsidP="00000000" w:rsidRDefault="00000000" w:rsidRPr="00000000" w14:paraId="000000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Hoak, D. (2025, April 22). </w:t>
      </w:r>
    </w:p>
    <w:p w:rsidR="00000000" w:rsidDel="00000000" w:rsidP="00000000" w:rsidRDefault="00000000" w:rsidRPr="00000000" w14:paraId="000000A2">
      <w:pPr>
        <w:spacing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The Top 5 GRC Challenges for Financial Services in 2025 | RegScale</w:t>
      </w:r>
      <w:r w:rsidDel="00000000" w:rsidR="00000000" w:rsidRPr="00000000">
        <w:rPr>
          <w:rFonts w:ascii="Times New Roman" w:cs="Times New Roman" w:eastAsia="Times New Roman" w:hAnsi="Times New Roman"/>
          <w:sz w:val="24"/>
          <w:szCs w:val="24"/>
          <w:rtl w:val="0"/>
        </w:rPr>
        <w:t xml:space="preserve">. RegScale.</w:t>
      </w:r>
      <w:hyperlink r:id="rId46">
        <w:r w:rsidDel="00000000" w:rsidR="00000000" w:rsidRPr="00000000">
          <w:rPr>
            <w:rFonts w:ascii="Times New Roman" w:cs="Times New Roman" w:eastAsia="Times New Roman" w:hAnsi="Times New Roman"/>
            <w:sz w:val="24"/>
            <w:szCs w:val="24"/>
            <w:rtl w:val="0"/>
          </w:rPr>
          <w:t xml:space="preserve"> </w:t>
        </w:r>
      </w:hyperlink>
      <w:hyperlink r:id="rId47">
        <w:r w:rsidDel="00000000" w:rsidR="00000000" w:rsidRPr="00000000">
          <w:rPr>
            <w:rFonts w:ascii="Times New Roman" w:cs="Times New Roman" w:eastAsia="Times New Roman" w:hAnsi="Times New Roman"/>
            <w:color w:val="1155cc"/>
            <w:sz w:val="24"/>
            <w:szCs w:val="24"/>
            <w:u w:val="single"/>
            <w:rtl w:val="0"/>
          </w:rPr>
          <w:t xml:space="preserve">https://regscale.com/blog/financial-services-grc-challenges-2025/</w:t>
        </w:r>
      </w:hyperlink>
      <w:r w:rsidDel="00000000" w:rsidR="00000000" w:rsidRPr="00000000">
        <w:rPr>
          <w:rtl w:val="0"/>
        </w:rPr>
      </w:r>
    </w:p>
    <w:p w:rsidR="00000000" w:rsidDel="00000000" w:rsidP="00000000" w:rsidRDefault="00000000" w:rsidRPr="00000000" w14:paraId="000000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4">
      <w:pPr>
        <w:spacing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SecurityCompass. (2025). </w:t>
      </w:r>
      <w:r w:rsidDel="00000000" w:rsidR="00000000" w:rsidRPr="00000000">
        <w:rPr>
          <w:rFonts w:ascii="Times New Roman" w:cs="Times New Roman" w:eastAsia="Times New Roman" w:hAnsi="Times New Roman"/>
          <w:i w:val="1"/>
          <w:iCs w:val="1"/>
          <w:sz w:val="24"/>
          <w:szCs w:val="24"/>
          <w:rtl w:val="0"/>
        </w:rPr>
        <w:t xml:space="preserve">PCI DSS: Compliance, fines, and consequences.</w:t>
      </w:r>
      <w:hyperlink r:id="rId48">
        <w:r w:rsidDel="00000000" w:rsidR="00000000" w:rsidRPr="00000000">
          <w:rPr>
            <w:rFonts w:ascii="Times New Roman" w:cs="Times New Roman" w:eastAsia="Times New Roman" w:hAnsi="Times New Roman"/>
            <w:i w:val="1"/>
            <w:iCs w:val="1"/>
            <w:sz w:val="24"/>
            <w:szCs w:val="24"/>
            <w:rtl w:val="0"/>
          </w:rPr>
          <w:t xml:space="preserve"> </w:t>
        </w:r>
      </w:hyperlink>
      <w:hyperlink r:id="rId49">
        <w:r w:rsidDel="00000000" w:rsidR="00000000" w:rsidRPr="00000000">
          <w:rPr>
            <w:rFonts w:ascii="Times New Roman" w:cs="Times New Roman" w:eastAsia="Times New Roman" w:hAnsi="Times New Roman"/>
            <w:color w:val="1155cc"/>
            <w:sz w:val="24"/>
            <w:szCs w:val="24"/>
            <w:u w:val="single"/>
            <w:rtl w:val="0"/>
          </w:rPr>
          <w:t xml:space="preserve">https://www.securitycompass.com/blog/pci-non-compliance-fees</w:t>
        </w:r>
      </w:hyperlink>
      <w:r w:rsidDel="00000000" w:rsidR="00000000" w:rsidRPr="00000000">
        <w:rPr>
          <w:rtl w:val="0"/>
        </w:rPr>
      </w:r>
    </w:p>
    <w:p w:rsidR="00000000" w:rsidDel="00000000" w:rsidP="00000000" w:rsidRDefault="00000000" w:rsidRPr="00000000" w14:paraId="000000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spacing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PCI Security Standards Council. (2024). </w:t>
      </w:r>
      <w:r w:rsidDel="00000000" w:rsidR="00000000" w:rsidRPr="00000000">
        <w:rPr>
          <w:rFonts w:ascii="Times New Roman" w:cs="Times New Roman" w:eastAsia="Times New Roman" w:hAnsi="Times New Roman"/>
          <w:i w:val="1"/>
          <w:iCs w:val="1"/>
          <w:sz w:val="24"/>
          <w:szCs w:val="24"/>
          <w:rtl w:val="0"/>
        </w:rPr>
        <w:t xml:space="preserve">PCI DSS: Payment Card Industry Data Security Standard.</w:t>
      </w:r>
      <w:hyperlink r:id="rId50">
        <w:r w:rsidDel="00000000" w:rsidR="00000000" w:rsidRPr="00000000">
          <w:rPr>
            <w:rFonts w:ascii="Times New Roman" w:cs="Times New Roman" w:eastAsia="Times New Roman" w:hAnsi="Times New Roman"/>
            <w:i w:val="1"/>
            <w:iCs w:val="1"/>
            <w:sz w:val="24"/>
            <w:szCs w:val="24"/>
            <w:rtl w:val="0"/>
          </w:rPr>
          <w:t xml:space="preserve"> </w:t>
        </w:r>
      </w:hyperlink>
      <w:hyperlink r:id="rId51">
        <w:r w:rsidDel="00000000" w:rsidR="00000000" w:rsidRPr="00000000">
          <w:rPr>
            <w:rFonts w:ascii="Times New Roman" w:cs="Times New Roman" w:eastAsia="Times New Roman" w:hAnsi="Times New Roman"/>
            <w:color w:val="1155cc"/>
            <w:sz w:val="24"/>
            <w:szCs w:val="24"/>
            <w:u w:val="single"/>
            <w:rtl w:val="0"/>
          </w:rPr>
          <w:t xml:space="preserve">https://www.pcisecuritystandards.org</w:t>
        </w:r>
      </w:hyperlink>
      <w:r w:rsidDel="00000000" w:rsidR="00000000" w:rsidRPr="00000000">
        <w:rPr>
          <w:rtl w:val="0"/>
        </w:rPr>
      </w:r>
    </w:p>
    <w:p w:rsidR="00000000" w:rsidDel="00000000" w:rsidP="00000000" w:rsidRDefault="00000000" w:rsidRPr="00000000" w14:paraId="000000A7">
      <w:pPr>
        <w:spacing w:lin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egan Geer" w:id="0" w:date="2025-12-02T00:10:12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Paper needs to be 10-12 pages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rsisecurity.com/center-for-internet-security/?utm_source=chatgpt.com" TargetMode="External"/><Relationship Id="rId42" Type="http://schemas.openxmlformats.org/officeDocument/2006/relationships/hyperlink" Target="https://www.splunk.com/en_us/blog/learn/cis-critical-security-controls.html?utm_source=chatgpt.com" TargetMode="External"/><Relationship Id="rId41" Type="http://schemas.openxmlformats.org/officeDocument/2006/relationships/hyperlink" Target="https://www.rsisecurity.com/center-for-internet-security/?utm_source=chatgpt.com" TargetMode="External"/><Relationship Id="rId44" Type="http://schemas.openxmlformats.org/officeDocument/2006/relationships/hyperlink" Target="https://www.lansweeper.com/blog/itam/navigating-cis-controls-in-2025?utm_source=chatgpt.com" TargetMode="External"/><Relationship Id="rId43" Type="http://schemas.openxmlformats.org/officeDocument/2006/relationships/hyperlink" Target="https://www.splunk.com/en_us/blog/learn/cis-critical-security-controls.html?utm_source=chatgpt.com" TargetMode="External"/><Relationship Id="rId46" Type="http://schemas.openxmlformats.org/officeDocument/2006/relationships/hyperlink" Target="https://regscale.com/blog/financial-services-grc-challenges-2025/" TargetMode="External"/><Relationship Id="rId45" Type="http://schemas.openxmlformats.org/officeDocument/2006/relationships/hyperlink" Target="https://www.lansweeper.com/blog/itam/navigating-cis-controls-in-2025?utm_source=chatgpt.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nordlayer.com/blog/data-breaches-in-2025/" TargetMode="External"/><Relationship Id="rId48" Type="http://schemas.openxmlformats.org/officeDocument/2006/relationships/hyperlink" Target="https://www.securitycompass.com/blog/pci-non-compliance-fees?utm_source=chatgpt.com" TargetMode="External"/><Relationship Id="rId47" Type="http://schemas.openxmlformats.org/officeDocument/2006/relationships/hyperlink" Target="https://regscale.com/blog/financial-services-grc-challenges-2025/" TargetMode="External"/><Relationship Id="rId49" Type="http://schemas.openxmlformats.org/officeDocument/2006/relationships/hyperlink" Target="https://www.securitycompass.com/blog/pci-non-compliance-fees?utm_source=chatgpt.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ibm.com/reports/data-breach" TargetMode="External"/><Relationship Id="rId8" Type="http://schemas.openxmlformats.org/officeDocument/2006/relationships/hyperlink" Target="https://www.oceg.org/ideas/what-is-grc/" TargetMode="External"/><Relationship Id="rId31" Type="http://schemas.openxmlformats.org/officeDocument/2006/relationships/hyperlink" Target="https://www.iso.org/standard/81684.html" TargetMode="External"/><Relationship Id="rId30" Type="http://schemas.openxmlformats.org/officeDocument/2006/relationships/hyperlink" Target="https://www.iso.org/standard/81684.html" TargetMode="External"/><Relationship Id="rId33" Type="http://schemas.openxmlformats.org/officeDocument/2006/relationships/hyperlink" Target="https://www.neumetric.com/journal/iso-38500-vs-iso-27001-governance-vs-security/" TargetMode="External"/><Relationship Id="rId32" Type="http://schemas.openxmlformats.org/officeDocument/2006/relationships/hyperlink" Target="https://www.neumetric.com/journal/iso-38500-vs-iso-27001-governance-vs-security/" TargetMode="External"/><Relationship Id="rId35" Type="http://schemas.openxmlformats.org/officeDocument/2006/relationships/hyperlink" Target="https://www.finextra.com/blogposting/27828/the-crucial-role-of-iso-standards-in-the-fintech-era" TargetMode="External"/><Relationship Id="rId34" Type="http://schemas.openxmlformats.org/officeDocument/2006/relationships/hyperlink" Target="https://www.finextra.com/blogposting/27828/the-crucial-role-of-iso-standards-in-the-fintech-era" TargetMode="External"/><Relationship Id="rId37" Type="http://schemas.openxmlformats.org/officeDocument/2006/relationships/hyperlink" Target="https://doi.org/10.6028/NIST.CSWP.04162018" TargetMode="External"/><Relationship Id="rId36" Type="http://schemas.openxmlformats.org/officeDocument/2006/relationships/hyperlink" Target="https://doi.org/10.6028/NIST.CSWP.04162018" TargetMode="External"/><Relationship Id="rId39" Type="http://schemas.openxmlformats.org/officeDocument/2006/relationships/hyperlink" Target="https://www.csiweb.com/what-to-know/content-hub/blog/6-basic-cis-controls?utm_source=chatgpt.com" TargetMode="External"/><Relationship Id="rId38" Type="http://schemas.openxmlformats.org/officeDocument/2006/relationships/hyperlink" Target="https://www.csiweb.com/what-to-know/content-hub/blog/6-basic-cis-controls?utm_source=chatgpt.com" TargetMode="External"/><Relationship Id="rId20" Type="http://schemas.openxmlformats.org/officeDocument/2006/relationships/hyperlink" Target="https://www.upguard.com/blog/glba" TargetMode="External"/><Relationship Id="rId22" Type="http://schemas.openxmlformats.org/officeDocument/2006/relationships/hyperlink" Target="https://hyperproof.io/resource/everything-you-need-to-know-about-the-ffiec/" TargetMode="External"/><Relationship Id="rId21" Type="http://schemas.openxmlformats.org/officeDocument/2006/relationships/hyperlink" Target="https://www.upguard.com/blog/glba" TargetMode="External"/><Relationship Id="rId24" Type="http://schemas.openxmlformats.org/officeDocument/2006/relationships/hyperlink" Target="https://auditboard.com/blog/cobit" TargetMode="External"/><Relationship Id="rId23" Type="http://schemas.openxmlformats.org/officeDocument/2006/relationships/hyperlink" Target="https://hyperproof.io/resource/everything-you-need-to-know-about-the-ffiec/" TargetMode="External"/><Relationship Id="rId26" Type="http://schemas.openxmlformats.org/officeDocument/2006/relationships/hyperlink" Target="http://www.onetrust.com" TargetMode="External"/><Relationship Id="rId25" Type="http://schemas.openxmlformats.org/officeDocument/2006/relationships/hyperlink" Target="https://auditboard.com/blog/cobit" TargetMode="External"/><Relationship Id="rId28" Type="http://schemas.openxmlformats.org/officeDocument/2006/relationships/hyperlink" Target="https://www.onetrust.com/blog/10-grc-trends/" TargetMode="External"/><Relationship Id="rId27" Type="http://schemas.openxmlformats.org/officeDocument/2006/relationships/hyperlink" Target="http://www.onetrust.com" TargetMode="External"/><Relationship Id="rId29" Type="http://schemas.openxmlformats.org/officeDocument/2006/relationships/hyperlink" Target="https://www.onetrust.com/blog/10-grc-trends/" TargetMode="External"/><Relationship Id="rId51" Type="http://schemas.openxmlformats.org/officeDocument/2006/relationships/hyperlink" Target="https://www.pcisecuritystandards.org" TargetMode="External"/><Relationship Id="rId50" Type="http://schemas.openxmlformats.org/officeDocument/2006/relationships/hyperlink" Target="https://www.pcisecuritystandards.org" TargetMode="External"/><Relationship Id="rId11" Type="http://schemas.openxmlformats.org/officeDocument/2006/relationships/hyperlink" Target="https://www.grcmana.io/learn/grc/grc-benefits" TargetMode="External"/><Relationship Id="rId10" Type="http://schemas.openxmlformats.org/officeDocument/2006/relationships/hyperlink" Target="https://pathlock.com/blog/grc/" TargetMode="External"/><Relationship Id="rId13" Type="http://schemas.openxmlformats.org/officeDocument/2006/relationships/hyperlink" Target="https://csrc.nist.gov/publications/detail/sp/800-30/rev-1/final" TargetMode="External"/><Relationship Id="rId12" Type="http://schemas.openxmlformats.org/officeDocument/2006/relationships/hyperlink" Target="https://www.pcisecuritystandards.org" TargetMode="External"/><Relationship Id="rId15" Type="http://schemas.openxmlformats.org/officeDocument/2006/relationships/hyperlink" Target="https://pathlock.com/learn/sarbanes-oxley-act-summary/" TargetMode="External"/><Relationship Id="rId14" Type="http://schemas.openxmlformats.org/officeDocument/2006/relationships/hyperlink" Target="https://pathlock.com/learn/sarbanes-oxley-act-summary/" TargetMode="External"/><Relationship Id="rId17" Type="http://schemas.openxmlformats.org/officeDocument/2006/relationships/hyperlink" Target="https://www.ftc.gov/business-guidance/privacy-security/gramm-leach-bliley-act" TargetMode="External"/><Relationship Id="rId16" Type="http://schemas.openxmlformats.org/officeDocument/2006/relationships/hyperlink" Target="https://www.ftc.gov/business-guidance/privacy-security/gramm-leach-bliley-act" TargetMode="External"/><Relationship Id="rId19" Type="http://schemas.openxmlformats.org/officeDocument/2006/relationships/hyperlink" Target="http://www.upguard.com" TargetMode="External"/><Relationship Id="rId18" Type="http://schemas.openxmlformats.org/officeDocument/2006/relationships/hyperlink" Target="http://www.upguar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